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方正小标宋简体" w:hAnsi="仿宋" w:eastAsia="方正小标宋简体" w:cs="Times New Roman"/>
          <w:color w:val="auto"/>
          <w:sz w:val="44"/>
          <w:szCs w:val="44"/>
          <w:lang w:val="en-US" w:eastAsia="zh-CN"/>
        </w:rPr>
      </w:pPr>
      <w:r>
        <w:rPr>
          <w:rFonts w:hint="eastAsia" w:ascii="方正小标宋简体" w:hAnsi="仿宋" w:eastAsia="方正小标宋简体" w:cs="Times New Roman"/>
          <w:color w:val="auto"/>
          <w:sz w:val="44"/>
          <w:szCs w:val="44"/>
          <w:lang w:val="en-US" w:eastAsia="zh-CN"/>
        </w:rPr>
        <w:t>克拉玛依市独山子区烟草制品零售点</w:t>
      </w:r>
    </w:p>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方正仿宋_GB2312" w:hAnsi="方正仿宋_GB2312" w:eastAsia="方正仿宋_GB2312" w:cs="方正仿宋_GB2312"/>
          <w:b/>
          <w:bCs/>
          <w:i w:val="0"/>
          <w:iCs w:val="0"/>
          <w:caps w:val="0"/>
          <w:color w:val="000000"/>
          <w:spacing w:val="0"/>
          <w:sz w:val="44"/>
          <w:szCs w:val="44"/>
          <w:shd w:val="clear" w:fill="FFFFFF"/>
          <w:vertAlign w:val="baseline"/>
        </w:rPr>
      </w:pPr>
      <w:r>
        <w:rPr>
          <w:rFonts w:hint="eastAsia" w:ascii="方正小标宋简体" w:hAnsi="仿宋" w:eastAsia="方正小标宋简体" w:cs="Times New Roman"/>
          <w:color w:val="auto"/>
          <w:sz w:val="44"/>
          <w:szCs w:val="44"/>
          <w:lang w:val="en-US" w:eastAsia="zh-CN"/>
        </w:rPr>
        <w:t>测距标准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center"/>
        <w:textAlignment w:val="baseline"/>
        <w:rPr>
          <w:rFonts w:hint="eastAsia" w:ascii="方正仿宋_GB2312" w:hAnsi="方正仿宋_GB2312" w:eastAsia="方正仿宋_GB2312" w:cs="方正仿宋_GB2312"/>
          <w:b/>
          <w:bCs/>
          <w:i w:val="0"/>
          <w:iCs w:val="0"/>
          <w:caps w:val="0"/>
          <w:color w:val="000000"/>
          <w:spacing w:val="0"/>
          <w:sz w:val="32"/>
          <w:szCs w:val="32"/>
          <w:shd w:val="clear" w:fill="FFFFFF"/>
          <w:vertAlign w:val="baseline"/>
        </w:rPr>
      </w:pPr>
      <w:r>
        <w:rPr>
          <w:rFonts w:hint="eastAsia" w:ascii="方正仿宋_GB2312" w:hAnsi="方正仿宋_GB2312" w:eastAsia="方正仿宋_GB2312" w:cs="方正仿宋_GB2312"/>
          <w:b/>
          <w:bCs/>
          <w:i w:val="0"/>
          <w:iCs w:val="0"/>
          <w:caps w:val="0"/>
          <w:color w:val="000000"/>
          <w:spacing w:val="0"/>
          <w:sz w:val="32"/>
          <w:szCs w:val="32"/>
          <w:shd w:val="clear" w:fill="FFFFFF"/>
          <w:vertAlign w:val="baseline"/>
        </w:rPr>
        <w:t>第一章</w:t>
      </w:r>
      <w:r>
        <w:rPr>
          <w:rFonts w:hint="eastAsia" w:ascii="方正仿宋_GB2312" w:hAnsi="方正仿宋_GB2312" w:eastAsia="方正仿宋_GB2312" w:cs="方正仿宋_GB2312"/>
          <w:b/>
          <w:bCs/>
          <w:i w:val="0"/>
          <w:iCs w:val="0"/>
          <w:caps w:val="0"/>
          <w:color w:val="000000"/>
          <w:spacing w:val="0"/>
          <w:sz w:val="32"/>
          <w:szCs w:val="32"/>
          <w:shd w:val="clear" w:fill="FFFFFF"/>
          <w:vertAlign w:val="baseline"/>
          <w:lang w:val="en-US" w:eastAsia="zh-CN"/>
        </w:rPr>
        <w:t xml:space="preserve"> </w:t>
      </w:r>
      <w:r>
        <w:rPr>
          <w:rFonts w:hint="eastAsia" w:ascii="方正仿宋_GB2312" w:hAnsi="方正仿宋_GB2312" w:eastAsia="方正仿宋_GB2312" w:cs="方正仿宋_GB2312"/>
          <w:b/>
          <w:bCs/>
          <w:i w:val="0"/>
          <w:iCs w:val="0"/>
          <w:caps w:val="0"/>
          <w:color w:val="000000"/>
          <w:spacing w:val="0"/>
          <w:sz w:val="32"/>
          <w:szCs w:val="32"/>
          <w:shd w:val="clear" w:fill="FFFFFF"/>
          <w:vertAlign w:val="baseline"/>
        </w:rPr>
        <w:t>总则</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642" w:firstLineChars="200"/>
        <w:textAlignment w:val="baseline"/>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 xml:space="preserve">第一条 </w:t>
      </w:r>
      <w:r>
        <w:rPr>
          <w:rFonts w:hint="eastAsia" w:ascii="仿宋_GB2312" w:hAnsi="仿宋_GB2312" w:eastAsia="仿宋_GB2312" w:cs="仿宋_GB2312"/>
          <w:color w:val="auto"/>
          <w:kern w:val="2"/>
          <w:sz w:val="32"/>
          <w:szCs w:val="32"/>
          <w:lang w:val="en-US" w:eastAsia="zh-CN" w:bidi="ar-SA"/>
        </w:rPr>
        <w:t>为统一测距标准，确保测距结果的公开、公平、公正，制定本标准。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642" w:firstLineChars="200"/>
        <w:jc w:val="both"/>
        <w:textAlignment w:val="baseline"/>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 xml:space="preserve">第二条 </w:t>
      </w:r>
      <w:r>
        <w:rPr>
          <w:rFonts w:hint="eastAsia" w:ascii="仿宋_GB2312" w:hAnsi="仿宋_GB2312" w:eastAsia="仿宋_GB2312" w:cs="仿宋_GB2312"/>
          <w:color w:val="auto"/>
          <w:kern w:val="2"/>
          <w:sz w:val="32"/>
          <w:szCs w:val="32"/>
          <w:lang w:val="en-US" w:eastAsia="zh-CN" w:bidi="ar-SA"/>
        </w:rPr>
        <w:t>本规则适用于克拉玛依市独山子区烟草制品零售点间隔距离（以下简称间距）测量。</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642" w:firstLineChars="200"/>
        <w:jc w:val="both"/>
        <w:textAlignment w:val="baseline"/>
        <w:rPr>
          <w:rFonts w:hint="eastAsia" w:ascii="方正仿宋_GB2312" w:hAnsi="方正仿宋_GB2312" w:eastAsia="方正仿宋_GB2312" w:cs="方正仿宋_GB2312"/>
          <w:b/>
          <w:bCs/>
          <w:i w:val="0"/>
          <w:iCs w:val="0"/>
          <w:caps w:val="0"/>
          <w:color w:val="000000"/>
          <w:spacing w:val="0"/>
          <w:sz w:val="32"/>
          <w:szCs w:val="32"/>
          <w:shd w:val="clear" w:fill="FFFFFF"/>
          <w:vertAlign w:val="baseline"/>
          <w:lang w:val="en-US" w:eastAsia="zh-CN"/>
        </w:rPr>
      </w:pPr>
      <w:r>
        <w:rPr>
          <w:rFonts w:hint="eastAsia" w:ascii="仿宋_GB2312" w:hAnsi="仿宋_GB2312" w:eastAsia="仿宋_GB2312" w:cs="仿宋_GB2312"/>
          <w:b/>
          <w:bCs/>
          <w:color w:val="auto"/>
          <w:kern w:val="2"/>
          <w:sz w:val="32"/>
          <w:szCs w:val="32"/>
          <w:lang w:val="en-US" w:eastAsia="zh-CN" w:bidi="ar-SA"/>
        </w:rPr>
        <w:t xml:space="preserve">第三条 </w:t>
      </w:r>
      <w:r>
        <w:rPr>
          <w:rFonts w:hint="eastAsia" w:ascii="仿宋_GB2312" w:hAnsi="仿宋_GB2312" w:eastAsia="仿宋_GB2312" w:cs="仿宋_GB2312"/>
          <w:color w:val="auto"/>
          <w:kern w:val="2"/>
          <w:sz w:val="32"/>
          <w:szCs w:val="32"/>
          <w:lang w:val="en-US" w:eastAsia="zh-CN" w:bidi="ar-SA"/>
        </w:rPr>
        <w:t>间距测量是指烟草专卖管理人员对申请点与参照点之间的无障碍最短距离进行测量。如需穿越车道，车道测量线路以无障碍最短测量距离为准。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center"/>
        <w:textAlignment w:val="baseline"/>
        <w:rPr>
          <w:rFonts w:hint="eastAsia" w:ascii="方正仿宋_GB2312" w:hAnsi="方正仿宋_GB2312" w:eastAsia="方正仿宋_GB2312" w:cs="方正仿宋_GB2312"/>
          <w:b/>
          <w:bCs/>
          <w:i w:val="0"/>
          <w:iCs w:val="0"/>
          <w:caps w:val="0"/>
          <w:color w:val="000000"/>
          <w:spacing w:val="0"/>
          <w:sz w:val="32"/>
          <w:szCs w:val="32"/>
          <w:shd w:val="clear" w:fill="FFFFFF"/>
          <w:vertAlign w:val="baseline"/>
          <w:lang w:val="en-US" w:eastAsia="zh-CN"/>
        </w:rPr>
      </w:pPr>
      <w:r>
        <w:rPr>
          <w:rFonts w:hint="eastAsia" w:ascii="方正仿宋_GB2312" w:hAnsi="方正仿宋_GB2312" w:eastAsia="方正仿宋_GB2312" w:cs="方正仿宋_GB2312"/>
          <w:b/>
          <w:bCs/>
          <w:i w:val="0"/>
          <w:iCs w:val="0"/>
          <w:caps w:val="0"/>
          <w:color w:val="000000"/>
          <w:spacing w:val="0"/>
          <w:sz w:val="32"/>
          <w:szCs w:val="32"/>
          <w:shd w:val="clear" w:fill="FFFFFF"/>
          <w:vertAlign w:val="baseline"/>
          <w:lang w:val="en-US" w:eastAsia="zh-CN"/>
        </w:rPr>
        <w:t>第二章 测量标准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642" w:firstLineChars="200"/>
        <w:textAlignment w:val="baseline"/>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 xml:space="preserve">第四章 </w:t>
      </w:r>
      <w:r>
        <w:rPr>
          <w:rFonts w:hint="eastAsia" w:ascii="仿宋_GB2312" w:hAnsi="仿宋_GB2312" w:eastAsia="仿宋_GB2312" w:cs="仿宋_GB2312"/>
          <w:color w:val="auto"/>
          <w:kern w:val="2"/>
          <w:sz w:val="32"/>
          <w:szCs w:val="32"/>
          <w:lang w:val="en-US" w:eastAsia="zh-CN" w:bidi="ar-SA"/>
        </w:rPr>
        <w:t>测量点为申请点与参照点店门最近门边距，申请点或参照点有多扇门的，以两者最近店门门边距为测量点；中小学校、幼儿园作为参照点的，以中小学、幼儿园出入口距离申请点的最近一侧为测量点。如下图（红色标注点为测量点，下同）：</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center"/>
        <w:textAlignment w:val="baseline"/>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drawing>
          <wp:inline distT="0" distB="0" distL="114300" distR="114300">
            <wp:extent cx="4683125" cy="1520825"/>
            <wp:effectExtent l="0" t="0" r="3175" b="3175"/>
            <wp:docPr id="2" name="图片 2" descr="图1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11(1)(2)"/>
                    <pic:cNvPicPr>
                      <a:picLocks noChangeAspect="1"/>
                    </pic:cNvPicPr>
                  </pic:nvPicPr>
                  <pic:blipFill>
                    <a:blip r:embed="rId4"/>
                    <a:stretch>
                      <a:fillRect/>
                    </a:stretch>
                  </pic:blipFill>
                  <pic:spPr>
                    <a:xfrm>
                      <a:off x="0" y="0"/>
                      <a:ext cx="4683125" cy="1520825"/>
                    </a:xfrm>
                    <a:prstGeom prst="rect">
                      <a:avLst/>
                    </a:prstGeom>
                  </pic:spPr>
                </pic:pic>
              </a:graphicData>
            </a:graphic>
          </wp:inline>
        </w:drawing>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center"/>
        <w:textAlignment w:val="baseline"/>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drawing>
          <wp:inline distT="0" distB="0" distL="114300" distR="114300">
            <wp:extent cx="4998085" cy="2146300"/>
            <wp:effectExtent l="0" t="0" r="12065" b="6350"/>
            <wp:docPr id="6"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descr="IMG_258"/>
                    <pic:cNvPicPr>
                      <a:picLocks noChangeAspect="1"/>
                    </pic:cNvPicPr>
                  </pic:nvPicPr>
                  <pic:blipFill>
                    <a:blip r:embed="rId5"/>
                    <a:stretch>
                      <a:fillRect/>
                    </a:stretch>
                  </pic:blipFill>
                  <pic:spPr>
                    <a:xfrm>
                      <a:off x="0" y="0"/>
                      <a:ext cx="4998085" cy="2146300"/>
                    </a:xfrm>
                    <a:prstGeom prst="rect">
                      <a:avLst/>
                    </a:prstGeom>
                    <a:noFill/>
                    <a:ln w="9525">
                      <a:noFill/>
                    </a:ln>
                  </pic:spPr>
                </pic:pic>
              </a:graphicData>
            </a:graphic>
          </wp:inline>
        </w:drawing>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642" w:firstLineChars="200"/>
        <w:textAlignment w:val="baseline"/>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 xml:space="preserve">第五条 </w:t>
      </w:r>
      <w:r>
        <w:rPr>
          <w:rFonts w:hint="eastAsia" w:ascii="仿宋_GB2312" w:hAnsi="仿宋_GB2312" w:eastAsia="仿宋_GB2312" w:cs="仿宋_GB2312"/>
          <w:color w:val="auto"/>
          <w:kern w:val="2"/>
          <w:sz w:val="32"/>
          <w:szCs w:val="32"/>
          <w:lang w:val="en-US" w:eastAsia="zh-CN" w:bidi="ar-SA"/>
        </w:rPr>
        <w:t>间距测量标准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642" w:firstLineChars="200"/>
        <w:textAlignment w:val="baseline"/>
        <w:rPr>
          <w:rFonts w:hint="eastAsia" w:ascii="仿宋_GB2312" w:hAnsi="仿宋_GB2312" w:eastAsia="仿宋_GB2312" w:cs="仿宋_GB2312"/>
          <w:b/>
          <w:bCs/>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（一）非道路区域</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640" w:firstLineChars="200"/>
        <w:textAlignment w:val="baseline"/>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申请点与参照点位于非道路地面区域（包括步行街、市场内等情形）的间距测量，按申请点与参照点之间的无障碍最短距离进行测量，如下图：</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640" w:firstLineChars="200"/>
        <w:textAlignment w:val="baseline"/>
        <w:rPr>
          <w:rFonts w:hint="eastAsia" w:ascii="仿宋_GB2312" w:hAnsi="仿宋_GB2312" w:eastAsia="仿宋_GB2312" w:cs="仿宋_GB2312"/>
          <w:color w:val="auto"/>
          <w:kern w:val="2"/>
          <w:sz w:val="32"/>
          <w:szCs w:val="32"/>
          <w:lang w:val="en-US" w:eastAsia="zh-CN" w:bidi="ar-SA"/>
        </w:r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center"/>
        <w:textAlignment w:val="baseline"/>
        <w:rPr>
          <w:rFonts w:hint="eastAsia" w:ascii="仿宋_GB2312" w:hAnsi="仿宋_GB2312" w:eastAsia="仿宋_GB2312" w:cs="仿宋_GB2312"/>
          <w:b/>
          <w:bCs/>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drawing>
          <wp:inline distT="0" distB="0" distL="114300" distR="114300">
            <wp:extent cx="5654675" cy="1929765"/>
            <wp:effectExtent l="0" t="0" r="3175" b="13335"/>
            <wp:docPr id="5" name="图片 5" descr="图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12"/>
                    <pic:cNvPicPr>
                      <a:picLocks noChangeAspect="1"/>
                    </pic:cNvPicPr>
                  </pic:nvPicPr>
                  <pic:blipFill>
                    <a:blip r:embed="rId6"/>
                    <a:stretch>
                      <a:fillRect/>
                    </a:stretch>
                  </pic:blipFill>
                  <pic:spPr>
                    <a:xfrm>
                      <a:off x="0" y="0"/>
                      <a:ext cx="5654675" cy="1929765"/>
                    </a:xfrm>
                    <a:prstGeom prst="rect">
                      <a:avLst/>
                    </a:prstGeom>
                  </pic:spPr>
                </pic:pic>
              </a:graphicData>
            </a:graphic>
          </wp:inline>
        </w:drawing>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420"/>
        <w:textAlignment w:val="baseline"/>
        <w:rPr>
          <w:rFonts w:hint="eastAsia" w:ascii="仿宋_GB2312" w:hAnsi="仿宋_GB2312" w:eastAsia="仿宋_GB2312" w:cs="仿宋_GB2312"/>
          <w:b/>
          <w:bCs/>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（二）道路区域</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640" w:firstLineChars="200"/>
        <w:textAlignment w:val="baseline"/>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1.申请点与参照点位于平直道路同侧，按申请点与参照点之间的无障碍最短距离进行测量，如下图：</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center"/>
        <w:textAlignment w:val="baseline"/>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drawing>
          <wp:inline distT="0" distB="0" distL="114300" distR="114300">
            <wp:extent cx="5537835" cy="3060065"/>
            <wp:effectExtent l="0" t="0" r="5715" b="6985"/>
            <wp:docPr id="22" name="图片 22" descr="图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图10"/>
                    <pic:cNvPicPr>
                      <a:picLocks noChangeAspect="1"/>
                    </pic:cNvPicPr>
                  </pic:nvPicPr>
                  <pic:blipFill>
                    <a:blip r:embed="rId7"/>
                    <a:stretch>
                      <a:fillRect/>
                    </a:stretch>
                  </pic:blipFill>
                  <pic:spPr>
                    <a:xfrm>
                      <a:off x="0" y="0"/>
                      <a:ext cx="5537835" cy="3060065"/>
                    </a:xfrm>
                    <a:prstGeom prst="rect">
                      <a:avLst/>
                    </a:prstGeom>
                  </pic:spPr>
                </pic:pic>
              </a:graphicData>
            </a:graphic>
          </wp:inline>
        </w:drawing>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640" w:firstLineChars="200"/>
        <w:textAlignment w:val="baseline"/>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2.申请点和参照点位于交叉路口同侧，按申请点与参照点之间的无障碍最短距离进行测量，如下图：</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center"/>
        <w:textAlignment w:val="baseline"/>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drawing>
          <wp:inline distT="0" distB="0" distL="114300" distR="114300">
            <wp:extent cx="5591810" cy="3807460"/>
            <wp:effectExtent l="0" t="0" r="8890" b="2540"/>
            <wp:docPr id="26" name="图片 26" descr="图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图9"/>
                    <pic:cNvPicPr>
                      <a:picLocks noChangeAspect="1"/>
                    </pic:cNvPicPr>
                  </pic:nvPicPr>
                  <pic:blipFill>
                    <a:blip r:embed="rId8"/>
                    <a:stretch>
                      <a:fillRect/>
                    </a:stretch>
                  </pic:blipFill>
                  <pic:spPr>
                    <a:xfrm>
                      <a:off x="0" y="0"/>
                      <a:ext cx="5591810" cy="3807460"/>
                    </a:xfrm>
                    <a:prstGeom prst="rect">
                      <a:avLst/>
                    </a:prstGeom>
                  </pic:spPr>
                </pic:pic>
              </a:graphicData>
            </a:graphic>
          </wp:inline>
        </w:drawing>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center"/>
        <w:textAlignment w:val="baseline"/>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drawing>
          <wp:inline distT="0" distB="0" distL="114300" distR="114300">
            <wp:extent cx="5608955" cy="3542665"/>
            <wp:effectExtent l="0" t="0" r="10795" b="635"/>
            <wp:docPr id="27" name="图片 27" descr="图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图8"/>
                    <pic:cNvPicPr>
                      <a:picLocks noChangeAspect="1"/>
                    </pic:cNvPicPr>
                  </pic:nvPicPr>
                  <pic:blipFill>
                    <a:blip r:embed="rId9"/>
                    <a:stretch>
                      <a:fillRect/>
                    </a:stretch>
                  </pic:blipFill>
                  <pic:spPr>
                    <a:xfrm>
                      <a:off x="0" y="0"/>
                      <a:ext cx="5608955" cy="3542665"/>
                    </a:xfrm>
                    <a:prstGeom prst="rect">
                      <a:avLst/>
                    </a:prstGeom>
                  </pic:spPr>
                </pic:pic>
              </a:graphicData>
            </a:graphic>
          </wp:inline>
        </w:drawing>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640" w:firstLineChars="200"/>
        <w:textAlignment w:val="baseline"/>
        <w:rPr>
          <w:rFonts w:hint="default"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3.申请点与参照点位于道路两侧且两者之间为人车混合道路，确认安全可通行，按两点之间无障碍最短距离测量，如下图：</w:t>
      </w: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rightChars="0"/>
        <w:jc w:val="both"/>
        <w:textAlignment w:val="baseline"/>
        <w:rPr>
          <w:rFonts w:hint="eastAsia" w:ascii="仿宋_GB2312" w:hAnsi="仿宋_GB2312" w:eastAsia="仿宋_GB2312" w:cs="仿宋_GB2312"/>
          <w:color w:val="0000FF"/>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drawing>
          <wp:inline distT="0" distB="0" distL="114300" distR="114300">
            <wp:extent cx="5647690" cy="3075940"/>
            <wp:effectExtent l="0" t="0" r="10160" b="10160"/>
            <wp:docPr id="1" name="图片 1" descr="图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7"/>
                    <pic:cNvPicPr>
                      <a:picLocks noChangeAspect="1"/>
                    </pic:cNvPicPr>
                  </pic:nvPicPr>
                  <pic:blipFill>
                    <a:blip r:embed="rId10"/>
                    <a:stretch>
                      <a:fillRect/>
                    </a:stretch>
                  </pic:blipFill>
                  <pic:spPr>
                    <a:xfrm>
                      <a:off x="0" y="0"/>
                      <a:ext cx="5647690" cy="3075940"/>
                    </a:xfrm>
                    <a:prstGeom prst="rect">
                      <a:avLst/>
                    </a:prstGeom>
                  </pic:spPr>
                </pic:pic>
              </a:graphicData>
            </a:graphic>
          </wp:inline>
        </w:drawing>
      </w: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420" w:leftChars="0" w:right="0" w:rightChars="0"/>
        <w:textAlignment w:val="baseline"/>
        <w:rPr>
          <w:rFonts w:hint="eastAsia" w:ascii="仿宋_GB2312" w:hAnsi="仿宋_GB2312" w:eastAsia="仿宋_GB2312" w:cs="仿宋_GB2312"/>
          <w:color w:val="0000FF"/>
          <w:kern w:val="2"/>
          <w:sz w:val="32"/>
          <w:szCs w:val="32"/>
          <w:lang w:val="en-US" w:eastAsia="zh-CN" w:bidi="ar-SA"/>
        </w:r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640" w:firstLineChars="200"/>
        <w:textAlignment w:val="baseline"/>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4.申请点与参照点位于道路两侧且两者之间为车道区域，认申请点与参照点之间的无障碍最短测量线路后，车道区域按障碍最短距离测量至另一侧，其它区域按两点之间无障碍最短距离测量，如下图：</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both"/>
        <w:textAlignment w:val="baseline"/>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drawing>
          <wp:inline distT="0" distB="0" distL="114300" distR="114300">
            <wp:extent cx="5878830" cy="3252470"/>
            <wp:effectExtent l="0" t="0" r="7620" b="5080"/>
            <wp:docPr id="25" name="图片 25" descr="图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图6"/>
                    <pic:cNvPicPr>
                      <a:picLocks noChangeAspect="1"/>
                    </pic:cNvPicPr>
                  </pic:nvPicPr>
                  <pic:blipFill>
                    <a:blip r:embed="rId11"/>
                    <a:stretch>
                      <a:fillRect/>
                    </a:stretch>
                  </pic:blipFill>
                  <pic:spPr>
                    <a:xfrm>
                      <a:off x="0" y="0"/>
                      <a:ext cx="5878830" cy="3252470"/>
                    </a:xfrm>
                    <a:prstGeom prst="rect">
                      <a:avLst/>
                    </a:prstGeom>
                  </pic:spPr>
                </pic:pic>
              </a:graphicData>
            </a:graphic>
          </wp:inline>
        </w:drawing>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center"/>
        <w:textAlignment w:val="baseline"/>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drawing>
          <wp:inline distT="0" distB="0" distL="114300" distR="114300">
            <wp:extent cx="5851525" cy="3136900"/>
            <wp:effectExtent l="0" t="0" r="15875" b="6350"/>
            <wp:docPr id="28" name="图片 28" descr="图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图4"/>
                    <pic:cNvPicPr>
                      <a:picLocks noChangeAspect="1"/>
                    </pic:cNvPicPr>
                  </pic:nvPicPr>
                  <pic:blipFill>
                    <a:blip r:embed="rId12"/>
                    <a:stretch>
                      <a:fillRect/>
                    </a:stretch>
                  </pic:blipFill>
                  <pic:spPr>
                    <a:xfrm>
                      <a:off x="0" y="0"/>
                      <a:ext cx="5851525" cy="3136900"/>
                    </a:xfrm>
                    <a:prstGeom prst="rect">
                      <a:avLst/>
                    </a:prstGeom>
                  </pic:spPr>
                </pic:pic>
              </a:graphicData>
            </a:graphic>
          </wp:inline>
        </w:drawing>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640" w:firstLineChars="200"/>
        <w:textAlignment w:val="baseline"/>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5.申请点与参照点位于道路两侧且两者之间为人车分离道路，确认申请点与参照点之间的无障碍最短测量线路后，车道区域按障碍最短距离测量至另一侧，其它区域按两点之间无障碍最短距离测量，如下图：</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640" w:right="0" w:hanging="640" w:hangingChars="200"/>
        <w:jc w:val="left"/>
        <w:textAlignment w:val="baseline"/>
        <w:rPr>
          <w:rFonts w:hint="eastAsia" w:ascii="仿宋_GB2312" w:hAnsi="仿宋_GB2312" w:eastAsia="仿宋_GB2312" w:cs="仿宋_GB2312"/>
          <w:b/>
          <w:bCs/>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drawing>
          <wp:inline distT="0" distB="0" distL="114300" distR="114300">
            <wp:extent cx="5810250" cy="3695065"/>
            <wp:effectExtent l="0" t="0" r="0" b="635"/>
            <wp:docPr id="29" name="图片 29" descr="图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图3"/>
                    <pic:cNvPicPr>
                      <a:picLocks noChangeAspect="1"/>
                    </pic:cNvPicPr>
                  </pic:nvPicPr>
                  <pic:blipFill>
                    <a:blip r:embed="rId13"/>
                    <a:stretch>
                      <a:fillRect/>
                    </a:stretch>
                  </pic:blipFill>
                  <pic:spPr>
                    <a:xfrm>
                      <a:off x="0" y="0"/>
                      <a:ext cx="5810250" cy="3695065"/>
                    </a:xfrm>
                    <a:prstGeom prst="rect">
                      <a:avLst/>
                    </a:prstGeom>
                  </pic:spPr>
                </pic:pic>
              </a:graphicData>
            </a:graphic>
          </wp:inline>
        </w:drawing>
      </w:r>
      <w:r>
        <w:rPr>
          <w:rFonts w:hint="eastAsia" w:ascii="仿宋_GB2312" w:hAnsi="仿宋_GB2312" w:eastAsia="仿宋_GB2312" w:cs="仿宋_GB2312"/>
          <w:b/>
          <w:bCs/>
          <w:color w:val="auto"/>
          <w:kern w:val="2"/>
          <w:sz w:val="32"/>
          <w:szCs w:val="32"/>
          <w:lang w:val="en-US" w:eastAsia="zh-CN" w:bidi="ar-SA"/>
        </w:rPr>
        <w:t>（三）特殊区域</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640" w:firstLineChars="200"/>
        <w:textAlignment w:val="baseline"/>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1.申请点与参照点之间有台阶、楼梯、电扶梯的，以其坡长进行测量，如下图：</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center"/>
        <w:textAlignment w:val="baseline"/>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drawing>
          <wp:inline distT="0" distB="0" distL="114300" distR="114300">
            <wp:extent cx="5522595" cy="2541270"/>
            <wp:effectExtent l="0" t="0" r="1905" b="11430"/>
            <wp:docPr id="30" name="图片 30" descr="图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图2"/>
                    <pic:cNvPicPr>
                      <a:picLocks noChangeAspect="1"/>
                    </pic:cNvPicPr>
                  </pic:nvPicPr>
                  <pic:blipFill>
                    <a:blip r:embed="rId14"/>
                    <a:stretch>
                      <a:fillRect/>
                    </a:stretch>
                  </pic:blipFill>
                  <pic:spPr>
                    <a:xfrm>
                      <a:off x="0" y="0"/>
                      <a:ext cx="5522595" cy="2541270"/>
                    </a:xfrm>
                    <a:prstGeom prst="rect">
                      <a:avLst/>
                    </a:prstGeom>
                  </pic:spPr>
                </pic:pic>
              </a:graphicData>
            </a:graphic>
          </wp:inline>
        </w:drawing>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640" w:firstLineChars="200"/>
        <w:textAlignment w:val="baseline"/>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2.申请点或参照点位于大楼内部不同楼层，通过楼梯、电扶梯或垂直升降电梯最短距离进行测量，楼梯、电扶梯依照本规则第五条第（三）项第1目进行测量；通过垂直升降电梯的，以楼层垂直层高进行测量，如下图：</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center"/>
        <w:textAlignment w:val="baseline"/>
        <w:rPr>
          <w:rFonts w:hint="eastAsia" w:ascii="仿宋_GB2312" w:hAnsi="仿宋_GB2312" w:eastAsia="仿宋_GB2312" w:cs="仿宋_GB2312"/>
          <w:b/>
          <w:bCs/>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drawing>
          <wp:inline distT="0" distB="0" distL="114300" distR="114300">
            <wp:extent cx="4493260" cy="4124960"/>
            <wp:effectExtent l="0" t="0" r="2540" b="8890"/>
            <wp:docPr id="31" name="图片 31" descr="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图1"/>
                    <pic:cNvPicPr>
                      <a:picLocks noChangeAspect="1"/>
                    </pic:cNvPicPr>
                  </pic:nvPicPr>
                  <pic:blipFill>
                    <a:blip r:embed="rId15"/>
                    <a:stretch>
                      <a:fillRect/>
                    </a:stretch>
                  </pic:blipFill>
                  <pic:spPr>
                    <a:xfrm>
                      <a:off x="0" y="0"/>
                      <a:ext cx="4493260" cy="4124960"/>
                    </a:xfrm>
                    <a:prstGeom prst="rect">
                      <a:avLst/>
                    </a:prstGeom>
                  </pic:spPr>
                </pic:pic>
              </a:graphicData>
            </a:graphic>
          </wp:inline>
        </w:drawing>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420"/>
        <w:jc w:val="center"/>
        <w:textAlignment w:val="baseline"/>
        <w:rPr>
          <w:rFonts w:hint="eastAsia" w:ascii="仿宋_GB2312" w:hAnsi="仿宋_GB2312" w:eastAsia="仿宋_GB2312" w:cs="仿宋_GB2312"/>
          <w:b/>
          <w:bCs/>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第三章 附则</w:t>
      </w:r>
      <w:bookmarkStart w:id="0" w:name="_GoBack"/>
      <w:bookmarkEnd w:id="0"/>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642" w:firstLineChars="200"/>
        <w:textAlignment w:val="baseline"/>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 xml:space="preserve">第六条 </w:t>
      </w:r>
      <w:r>
        <w:rPr>
          <w:rFonts w:hint="eastAsia" w:ascii="仿宋_GB2312" w:hAnsi="仿宋_GB2312" w:eastAsia="仿宋_GB2312" w:cs="仿宋_GB2312"/>
          <w:color w:val="auto"/>
          <w:kern w:val="2"/>
          <w:sz w:val="32"/>
          <w:szCs w:val="32"/>
          <w:lang w:val="en-US" w:eastAsia="zh-CN" w:bidi="ar-SA"/>
        </w:rPr>
        <w:t>测量结果在正负0.3米范围以内，申请人或利害关系人提出复核的，由测量单位进行二次测量，并全程视音频记录。</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642" w:firstLineChars="200"/>
        <w:textAlignment w:val="baseline"/>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 xml:space="preserve">第七条 </w:t>
      </w:r>
      <w:r>
        <w:rPr>
          <w:rFonts w:hint="eastAsia" w:ascii="仿宋_GB2312" w:hAnsi="仿宋_GB2312" w:eastAsia="仿宋_GB2312" w:cs="仿宋_GB2312"/>
          <w:color w:val="auto"/>
          <w:kern w:val="2"/>
          <w:sz w:val="32"/>
          <w:szCs w:val="32"/>
          <w:lang w:val="en-US" w:eastAsia="zh-CN" w:bidi="ar-SA"/>
        </w:rPr>
        <w:t>本规则所称参照点是指申请人周边已经设立的最近烟草制品零售点或中小学校、幼儿园。</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642" w:firstLineChars="200"/>
        <w:textAlignment w:val="baseline"/>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 xml:space="preserve">第八条 </w:t>
      </w:r>
      <w:r>
        <w:rPr>
          <w:rFonts w:hint="eastAsia" w:ascii="仿宋_GB2312" w:hAnsi="仿宋_GB2312" w:eastAsia="仿宋_GB2312" w:cs="仿宋_GB2312"/>
          <w:color w:val="auto"/>
          <w:kern w:val="2"/>
          <w:sz w:val="32"/>
          <w:szCs w:val="32"/>
          <w:lang w:val="en-US" w:eastAsia="zh-CN" w:bidi="ar-SA"/>
        </w:rPr>
        <w:t>本规则所称障碍物，是指政府相关职能部门依法设置的固定隔离带、绿化带以及各类河流、湖泊、建筑物等物理屏障。停车线以及临时性设置相关设施、小区消防门、道路阶段性施工或放置物品影响测量等情况均不属于本规定所称的障碍物。</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642" w:firstLineChars="200"/>
        <w:textAlignment w:val="baseline"/>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 xml:space="preserve">第九条 </w:t>
      </w:r>
      <w:r>
        <w:rPr>
          <w:rFonts w:hint="eastAsia" w:ascii="仿宋_GB2312" w:hAnsi="仿宋_GB2312" w:eastAsia="仿宋_GB2312" w:cs="仿宋_GB2312"/>
          <w:color w:val="auto"/>
          <w:kern w:val="2"/>
          <w:sz w:val="32"/>
          <w:szCs w:val="32"/>
          <w:lang w:val="en-US" w:eastAsia="zh-CN" w:bidi="ar-SA"/>
        </w:rPr>
        <w:t>本规则所称店门，是指申请点或参照点中所有通道口，包括但不限于正常通勤门、消防门、货运进出口、餐厨进出口、员工进出口等。</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2"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 xml:space="preserve">第十条 </w:t>
      </w:r>
      <w:r>
        <w:rPr>
          <w:rFonts w:hint="eastAsia" w:ascii="仿宋_GB2312" w:hAnsi="仿宋_GB2312" w:eastAsia="仿宋_GB2312" w:cs="仿宋_GB2312"/>
          <w:color w:val="auto"/>
          <w:kern w:val="2"/>
          <w:sz w:val="32"/>
          <w:szCs w:val="32"/>
          <w:lang w:val="en-US" w:eastAsia="zh-CN" w:bidi="ar-SA"/>
        </w:rPr>
        <w:t>中小学、中等职业学校、特殊教育学校、专门学校及幼儿园出入口（门），包括主校门、侧（后）门、消防通道、应急通道、教职工通道、垃圾清运通道等。</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642" w:firstLineChars="200"/>
        <w:textAlignment w:val="baseline"/>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 xml:space="preserve">第十一条 </w:t>
      </w:r>
      <w:r>
        <w:rPr>
          <w:rFonts w:hint="eastAsia" w:ascii="仿宋_GB2312" w:hAnsi="仿宋_GB2312" w:eastAsia="仿宋_GB2312" w:cs="仿宋_GB2312"/>
          <w:color w:val="auto"/>
          <w:kern w:val="2"/>
          <w:sz w:val="32"/>
          <w:szCs w:val="32"/>
          <w:lang w:val="en-US" w:eastAsia="zh-CN" w:bidi="ar-SA"/>
        </w:rPr>
        <w:t>本规则未明确测量方法的特殊情形，按照无障碍最短距离测量原则由克拉玛依市独山子区烟草专卖局负责解释。</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642" w:firstLineChars="200"/>
        <w:textAlignment w:val="baseline"/>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 xml:space="preserve">第十二条 </w:t>
      </w:r>
      <w:r>
        <w:rPr>
          <w:rFonts w:hint="eastAsia" w:ascii="仿宋_GB2312" w:hAnsi="仿宋_GB2312" w:eastAsia="仿宋_GB2312" w:cs="仿宋_GB2312"/>
          <w:color w:val="auto"/>
          <w:kern w:val="2"/>
          <w:sz w:val="32"/>
          <w:szCs w:val="32"/>
          <w:lang w:val="en-US" w:eastAsia="zh-CN" w:bidi="ar-SA"/>
        </w:rPr>
        <w:t>遇本规则与上级文件不一致的，以上级文件规定为准。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642" w:firstLineChars="200"/>
        <w:jc w:val="both"/>
        <w:textAlignment w:val="baseline"/>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 xml:space="preserve">第十三条 </w:t>
      </w:r>
      <w:r>
        <w:rPr>
          <w:rFonts w:hint="eastAsia" w:ascii="仿宋_GB2312" w:hAnsi="仿宋_GB2312" w:eastAsia="仿宋_GB2312" w:cs="仿宋_GB2312"/>
          <w:color w:val="auto"/>
          <w:kern w:val="2"/>
          <w:sz w:val="32"/>
          <w:szCs w:val="32"/>
          <w:lang w:val="en-US" w:eastAsia="zh-CN" w:bidi="ar-SA"/>
        </w:rPr>
        <w:t>本规则由克拉玛依市独山子区烟草专卖局负责解释。</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firstLine="642" w:firstLineChars="200"/>
        <w:textAlignment w:val="baseline"/>
        <w:rPr>
          <w:rFonts w:hint="eastAsia" w:ascii="方正仿宋_GB2312" w:hAnsi="方正仿宋_GB2312" w:eastAsia="方正仿宋_GB2312" w:cs="方正仿宋_GB2312"/>
          <w:sz w:val="32"/>
          <w:szCs w:val="32"/>
        </w:rPr>
      </w:pPr>
      <w:r>
        <w:rPr>
          <w:rFonts w:hint="eastAsia" w:ascii="仿宋_GB2312" w:hAnsi="仿宋_GB2312" w:eastAsia="仿宋_GB2312" w:cs="仿宋_GB2312"/>
          <w:b/>
          <w:bCs/>
          <w:color w:val="auto"/>
          <w:kern w:val="2"/>
          <w:sz w:val="32"/>
          <w:szCs w:val="32"/>
          <w:lang w:val="en-US" w:eastAsia="zh-CN" w:bidi="ar-SA"/>
        </w:rPr>
        <w:t>第十四条</w:t>
      </w:r>
      <w:r>
        <w:rPr>
          <w:rFonts w:hint="eastAsia" w:ascii="仿宋_GB2312" w:hAnsi="仿宋_GB2312" w:eastAsia="仿宋_GB2312" w:cs="仿宋_GB2312"/>
          <w:color w:val="auto"/>
          <w:kern w:val="2"/>
          <w:sz w:val="32"/>
          <w:szCs w:val="32"/>
          <w:lang w:val="en-US" w:eastAsia="zh-CN" w:bidi="ar-SA"/>
        </w:rPr>
        <w:t> 本规则与《克拉玛依市独山子区烟草制品零售点合理布局规划（2026版）》同步实施。</w:t>
      </w:r>
    </w:p>
    <w:sectPr>
      <w:pgSz w:w="11906" w:h="16838"/>
      <w:pgMar w:top="1871" w:right="1587" w:bottom="1871"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ESI仿宋-GB2312">
    <w:panose1 w:val="02000500000000000000"/>
    <w:charset w:val="86"/>
    <w:family w:val="auto"/>
    <w:pitch w:val="default"/>
    <w:sig w:usb0="800002AF" w:usb1="084F6CF8" w:usb2="00000010" w:usb3="00000000" w:csb0="0004000F"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00"/>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仿宋_GB2312">
    <w:altName w:val="方正仿宋_GBK"/>
    <w:panose1 w:val="02000000000000000000"/>
    <w:charset w:val="86"/>
    <w:family w:val="auto"/>
    <w:pitch w:val="default"/>
    <w:sig w:usb0="00000000" w:usb1="00000000" w:usb2="00000012" w:usb3="00000000" w:csb0="00040001" w:csb1="00000000"/>
  </w:font>
  <w:font w:name="仿宋_GB2312">
    <w:altName w:val="方正仿宋_GBK"/>
    <w:panose1 w:val="02010609030101010101"/>
    <w:charset w:val="86"/>
    <w:family w:val="modern"/>
    <w:pitch w:val="default"/>
    <w:sig w:usb0="00000000" w:usb1="00000000" w:usb2="00000000" w:usb3="00000000" w:csb0="00040000" w:csb1="00000000"/>
  </w:font>
  <w:font w:name="C059">
    <w:panose1 w:val="00000500000000000000"/>
    <w:charset w:val="00"/>
    <w:family w:val="auto"/>
    <w:pitch w:val="default"/>
    <w:sig w:usb0="00000287" w:usb1="00000800" w:usb2="00000000" w:usb3="00000000" w:csb0="6000009F" w:csb1="00000000"/>
  </w:font>
  <w:font w:name="MathJax_Vector">
    <w:panose1 w:val="02000603000000000000"/>
    <w:charset w:val="00"/>
    <w:family w:val="auto"/>
    <w:pitch w:val="default"/>
    <w:sig w:usb0="00000001" w:usb1="00000020" w:usb2="00000000" w:usb3="00000000" w:csb0="00000001" w:csb1="00000000"/>
  </w:font>
  <w:font w:name="方正黑体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B746A07"/>
    <w:rsid w:val="02301FCF"/>
    <w:rsid w:val="16FAAA72"/>
    <w:rsid w:val="18F02060"/>
    <w:rsid w:val="25E604AB"/>
    <w:rsid w:val="29332221"/>
    <w:rsid w:val="2D0F4D53"/>
    <w:rsid w:val="2DB06E65"/>
    <w:rsid w:val="2F5D3667"/>
    <w:rsid w:val="30DA11D4"/>
    <w:rsid w:val="36AF6145"/>
    <w:rsid w:val="38AE5B5B"/>
    <w:rsid w:val="3F6F3D49"/>
    <w:rsid w:val="5B746A07"/>
    <w:rsid w:val="61DF6415"/>
    <w:rsid w:val="61F6EF4A"/>
    <w:rsid w:val="6A7E25F5"/>
    <w:rsid w:val="6FBCFFE1"/>
    <w:rsid w:val="6FE77EC7"/>
    <w:rsid w:val="76A96BCB"/>
    <w:rsid w:val="77FB697E"/>
    <w:rsid w:val="79C142AC"/>
    <w:rsid w:val="7BBFA299"/>
    <w:rsid w:val="7DFC35C1"/>
    <w:rsid w:val="7EE12CFA"/>
    <w:rsid w:val="7FDD5C07"/>
    <w:rsid w:val="7FDDC097"/>
    <w:rsid w:val="7FFD90F0"/>
    <w:rsid w:val="7FFF752A"/>
    <w:rsid w:val="86D5F6EA"/>
    <w:rsid w:val="9BBA75A7"/>
    <w:rsid w:val="BDBFAED0"/>
    <w:rsid w:val="BF67A1F2"/>
    <w:rsid w:val="CFF69113"/>
    <w:rsid w:val="D7D7EC20"/>
    <w:rsid w:val="DBFFA579"/>
    <w:rsid w:val="DFE65D48"/>
    <w:rsid w:val="EB9F6DF8"/>
    <w:rsid w:val="EF7E2527"/>
    <w:rsid w:val="F6EEFA85"/>
    <w:rsid w:val="FFEACFE2"/>
    <w:rsid w:val="FFFFB3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Emphasis"/>
    <w:basedOn w:val="7"/>
    <w:qFormat/>
    <w:uiPriority w:val="0"/>
    <w:rPr>
      <w:i/>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417</Words>
  <Characters>417</Characters>
  <Lines>0</Lines>
  <Paragraphs>0</Paragraphs>
  <TotalTime>2</TotalTime>
  <ScaleCrop>false</ScaleCrop>
  <LinksUpToDate>false</LinksUpToDate>
  <CharactersWithSpaces>418</CharactersWithSpaces>
  <Application>WPS Office_11.8.2.12313_F1E327BC-269C-435d-A152-05C5408002CA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2026-10-27T08:04:00Z</dcterms:created>
  <dc:creator>Bubble酱</dc:creator>
  <cp:lastModifiedBy>kylin</cp:lastModifiedBy>
  <cp:lastPrinted>2026-10-28T18:41:00Z</cp:lastPrinted>
  <dcterms:modified xsi:type="dcterms:W3CDTF">2026-11-05T12:01:19Z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2052-11.8.2.12313</vt:lpwstr>
  </property>
  <property fmtid="{D5CDD505-2E9C-101B-9397-08002B2CF9AE}" pid="3" name="ICV">
    <vt:lpwstr>0A9DA6C1B9CF430AB5C2B244A0E4D82D_11</vt:lpwstr>
  </property>
  <property fmtid="{D5CDD505-2E9C-101B-9397-08002B2CF9AE}" pid="4" name="KSOTemplateDocerSaveRecord">
    <vt:lpwstr>eyJoZGlkIjoiMGRhYjU4MjFkZDRmZjQwNTYzNTgyYTRkMjUwZGI3NDEiLCJ1c2VySWQiOiIxMjAxNzA2NzI0In0=</vt:lpwstr>
  </property>
</Properties>
</file>