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color w:val="auto"/>
          <w:sz w:val="44"/>
          <w:szCs w:val="44"/>
        </w:rPr>
      </w:pPr>
      <w:bookmarkStart w:id="0" w:name="_GoBack"/>
      <w:bookmarkEnd w:id="0"/>
      <w:r>
        <w:rPr>
          <w:rFonts w:hint="eastAsia" w:ascii="方正小标宋简体" w:hAnsi="方正小标宋简体" w:eastAsia="方正小标宋简体" w:cs="方正小标宋简体"/>
          <w:color w:val="auto"/>
          <w:sz w:val="44"/>
          <w:szCs w:val="44"/>
          <w:lang w:eastAsia="zh-CN"/>
        </w:rPr>
        <w:t>《克拉玛依市独山子区</w:t>
      </w:r>
      <w:r>
        <w:rPr>
          <w:rFonts w:hint="eastAsia" w:ascii="方正小标宋简体" w:hAnsi="方正小标宋简体" w:eastAsia="方正小标宋简体" w:cs="方正小标宋简体"/>
          <w:color w:val="auto"/>
          <w:sz w:val="44"/>
          <w:szCs w:val="44"/>
        </w:rPr>
        <w:t>烟草制品零售点</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rPr>
        <w:t>合理布局规划</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2026年-2031年</w:t>
      </w:r>
      <w:r>
        <w:rPr>
          <w:rFonts w:hint="eastAsia" w:ascii="方正小标宋简体" w:hAnsi="方正小标宋简体" w:eastAsia="方正小标宋简体" w:cs="方正小标宋简体"/>
          <w:color w:val="auto"/>
          <w:sz w:val="44"/>
          <w:szCs w:val="44"/>
          <w:lang w:eastAsia="zh-CN"/>
        </w:rPr>
        <w:t>）</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起草说明</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国家烟草专卖局、新疆维吾尔自治区烟草专卖局关于“优化零售市场资源配置，正确处理‘放管服’改革与合理布局的关系，适时评估修订合理布局规划，有效调控市场合理容量，维护市场正常经营秩序”的工作要求，</w:t>
      </w:r>
      <w:r>
        <w:rPr>
          <w:rFonts w:hint="eastAsia" w:ascii="仿宋_GB2312" w:hAnsi="仿宋_GB2312" w:eastAsia="仿宋_GB2312" w:cs="仿宋_GB2312"/>
          <w:color w:val="auto"/>
          <w:sz w:val="32"/>
          <w:szCs w:val="32"/>
          <w:lang w:eastAsia="zh-CN"/>
        </w:rPr>
        <w:t>克拉玛依市独山子区</w:t>
      </w:r>
      <w:r>
        <w:rPr>
          <w:rFonts w:hint="eastAsia" w:ascii="仿宋_GB2312" w:hAnsi="仿宋_GB2312" w:eastAsia="仿宋_GB2312" w:cs="仿宋_GB2312"/>
          <w:color w:val="auto"/>
          <w:sz w:val="32"/>
          <w:szCs w:val="32"/>
        </w:rPr>
        <w:t>烟草专卖局结合辖区实际，对现行《</w:t>
      </w:r>
      <w:r>
        <w:rPr>
          <w:rFonts w:hint="eastAsia" w:ascii="仿宋_GB2312" w:hAnsi="仿宋_GB2312" w:eastAsia="仿宋_GB2312" w:cs="仿宋_GB2312"/>
          <w:color w:val="auto"/>
          <w:sz w:val="32"/>
          <w:szCs w:val="32"/>
          <w:lang w:eastAsia="zh-CN"/>
        </w:rPr>
        <w:t>克拉玛依市独山子区</w:t>
      </w:r>
      <w:r>
        <w:rPr>
          <w:rFonts w:hint="eastAsia" w:ascii="仿宋_GB2312" w:hAnsi="仿宋_GB2312" w:eastAsia="仿宋_GB2312" w:cs="仿宋_GB2312"/>
          <w:color w:val="auto"/>
          <w:sz w:val="32"/>
          <w:szCs w:val="32"/>
        </w:rPr>
        <w:t>烟草制品零售点合理布局规划》（以下简称《规划》）进行了全面评估，发现部分条款与当前</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域经济发展、社区治理变化已不完全适应。为此，我局于2026年</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月启动修订工作，经过调研论证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数据测算等，形成了修订草案，现就有关情况说明如下：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黑体-GB2312" w:hAnsi="CESI黑体-GB2312" w:eastAsia="CESI黑体-GB2312" w:cs="CESI黑体-GB2312"/>
          <w:b w:val="0"/>
          <w:bCs w:val="0"/>
          <w:color w:val="auto"/>
          <w:sz w:val="32"/>
          <w:szCs w:val="32"/>
        </w:rPr>
      </w:pPr>
      <w:r>
        <w:rPr>
          <w:rFonts w:hint="eastAsia" w:ascii="CESI黑体-GB2312" w:hAnsi="CESI黑体-GB2312" w:eastAsia="CESI黑体-GB2312" w:cs="CESI黑体-GB2312"/>
          <w:b w:val="0"/>
          <w:bCs w:val="0"/>
          <w:color w:val="auto"/>
          <w:sz w:val="32"/>
          <w:szCs w:val="32"/>
        </w:rPr>
        <w:t>一、修订</w:t>
      </w:r>
      <w:r>
        <w:rPr>
          <w:rFonts w:hint="eastAsia" w:ascii="CESI黑体-GB2312" w:hAnsi="CESI黑体-GB2312" w:eastAsia="CESI黑体-GB2312" w:cs="CESI黑体-GB2312"/>
          <w:b w:val="0"/>
          <w:bCs w:val="0"/>
          <w:color w:val="auto"/>
          <w:sz w:val="32"/>
          <w:szCs w:val="32"/>
          <w:lang w:eastAsia="zh-CN"/>
        </w:rPr>
        <w:t>《规划》</w:t>
      </w:r>
      <w:r>
        <w:rPr>
          <w:rFonts w:hint="eastAsia" w:ascii="CESI黑体-GB2312" w:hAnsi="CESI黑体-GB2312" w:eastAsia="CESI黑体-GB2312" w:cs="CESI黑体-GB2312"/>
          <w:b w:val="0"/>
          <w:bCs w:val="0"/>
          <w:color w:val="auto"/>
          <w:sz w:val="32"/>
          <w:szCs w:val="32"/>
        </w:rPr>
        <w:t>的法定依据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根据《中华人民共和国行政许可法》《中华人民共和国未成年人保护法》《中华人民共和国烟草专卖法》《中华人民共和国烟草专卖法实施条例》《烟草专卖许可证管理办法》</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《烟草专卖许可证管理办法实施细则》等法律法规、规章和规范性文件，结合</w:t>
      </w:r>
      <w:r>
        <w:rPr>
          <w:rFonts w:hint="eastAsia" w:ascii="仿宋_GB2312" w:hAnsi="仿宋_GB2312" w:eastAsia="仿宋_GB2312" w:cs="仿宋_GB2312"/>
          <w:color w:val="auto"/>
          <w:sz w:val="32"/>
          <w:szCs w:val="32"/>
          <w:lang w:eastAsia="zh-CN"/>
        </w:rPr>
        <w:t>本辖区</w:t>
      </w:r>
      <w:r>
        <w:rPr>
          <w:rFonts w:hint="eastAsia" w:ascii="仿宋_GB2312" w:hAnsi="仿宋_GB2312" w:eastAsia="仿宋_GB2312" w:cs="仿宋_GB2312"/>
          <w:color w:val="auto"/>
          <w:sz w:val="32"/>
          <w:szCs w:val="32"/>
        </w:rPr>
        <w:t>实际，制定本规划。</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（一）符合《中华人民共和国行政许可法》对行政许可设定的要求</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color w:val="auto"/>
          <w:sz w:val="32"/>
          <w:szCs w:val="32"/>
          <w:lang w:val="en-US" w:eastAsia="zh-CN"/>
        </w:rPr>
      </w:pPr>
      <w:r>
        <w:rPr>
          <w:rFonts w:hint="default" w:ascii="仿宋_GB2312" w:eastAsia="仿宋_GB2312"/>
          <w:color w:val="auto"/>
          <w:sz w:val="32"/>
          <w:szCs w:val="32"/>
          <w:lang w:val="en-US" w:eastAsia="zh-CN"/>
        </w:rPr>
        <w:t>烟草制品零售许可系《烟草专卖法》设定的法定行政许可事项，本规划作为对该项许可中</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合理布局</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条件的具体细化，符合行政许可法定原则，属于行政机关依法履行许可管理职责的正当行为。</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（二）</w:t>
      </w:r>
      <w:r>
        <w:rPr>
          <w:rFonts w:hint="default" w:ascii="CESI楷体-GB2312" w:hAnsi="CESI楷体-GB2312" w:eastAsia="CESI楷体-GB2312" w:cs="CESI楷体-GB2312"/>
          <w:b w:val="0"/>
          <w:bCs/>
          <w:color w:val="auto"/>
          <w:sz w:val="32"/>
          <w:szCs w:val="32"/>
          <w:lang w:val="en-US" w:eastAsia="zh-CN"/>
        </w:rPr>
        <w:t>符合《中华人民共和国烟草专卖法》及其实施条例对烟草专卖行政机关的授权</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楷体_GB2312" w:hAnsi="仿宋" w:eastAsia="楷体_GB2312"/>
          <w:b/>
          <w:color w:val="auto"/>
          <w:sz w:val="32"/>
          <w:szCs w:val="32"/>
          <w:lang w:val="en-US" w:eastAsia="zh-CN"/>
        </w:rPr>
      </w:pPr>
      <w:r>
        <w:rPr>
          <w:rFonts w:hint="default" w:ascii="仿宋_GB2312" w:eastAsia="仿宋_GB2312"/>
          <w:color w:val="auto"/>
          <w:sz w:val="32"/>
          <w:szCs w:val="32"/>
          <w:lang w:val="en-US" w:eastAsia="zh-CN"/>
        </w:rPr>
        <w:t>《中华人民共和国烟草专卖法》第三条规定：</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国家对烟草专卖品的生产、销售、进出口依法实行专卖管理，并实行烟草专卖许可证制度。</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《中华人民共和国烟草专卖法实施条例》第九条规定，取得烟草专卖零售许可证应当具备四项条件，其中第三项为</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符合烟草制品零售点合理布局的要求</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。《烟草专卖许可证管理办法》第十三条进一步细化了零售许可证的申请条件，将</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符合当地烟草制品零售点合理布局的要求</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作为法定条件之一。同时，该办法第十五条</w:t>
      </w:r>
      <w:r>
        <w:rPr>
          <w:rFonts w:hint="eastAsia" w:ascii="仿宋_GB2312" w:eastAsia="仿宋_GB2312"/>
          <w:color w:val="auto"/>
          <w:sz w:val="32"/>
          <w:szCs w:val="32"/>
          <w:lang w:val="en-US" w:eastAsia="zh-CN"/>
        </w:rPr>
        <w:t>第二款规定</w:t>
      </w:r>
      <w:r>
        <w:rPr>
          <w:rFonts w:hint="default" w:ascii="仿宋_GB2312" w:eastAsia="仿宋_GB2312"/>
          <w:color w:val="auto"/>
          <w:sz w:val="32"/>
          <w:szCs w:val="32"/>
          <w:lang w:val="en-US" w:eastAsia="zh-CN"/>
        </w:rPr>
        <w:t>：</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烟草制品零售点合理布局规划、经营资金要求和经营场所条件，由县级以上烟草专卖局制定，并报上一级烟草专卖局备案。</w:t>
      </w:r>
      <w:r>
        <w:rPr>
          <w:rFonts w:hint="eastAsia" w:ascii="仿宋_GB2312" w:eastAsia="仿宋_GB2312"/>
          <w:color w:val="auto"/>
          <w:sz w:val="32"/>
          <w:szCs w:val="32"/>
          <w:lang w:val="en-US" w:eastAsia="zh-CN"/>
        </w:rPr>
        <w:t>”</w:t>
      </w:r>
      <w:r>
        <w:rPr>
          <w:rFonts w:hint="default" w:ascii="仿宋_GB2312" w:eastAsia="仿宋_GB2312"/>
          <w:color w:val="auto"/>
          <w:sz w:val="32"/>
          <w:szCs w:val="32"/>
          <w:lang w:val="en-US" w:eastAsia="zh-CN"/>
        </w:rPr>
        <w:t>综上，</w:t>
      </w:r>
      <w:r>
        <w:rPr>
          <w:rFonts w:hint="eastAsia" w:ascii="仿宋_GB2312" w:eastAsia="仿宋_GB2312"/>
          <w:color w:val="auto"/>
          <w:sz w:val="32"/>
          <w:szCs w:val="32"/>
          <w:lang w:val="en-US" w:eastAsia="zh-CN"/>
        </w:rPr>
        <w:t>我局</w:t>
      </w:r>
      <w:r>
        <w:rPr>
          <w:rFonts w:hint="default" w:ascii="仿宋_GB2312" w:eastAsia="仿宋_GB2312"/>
          <w:color w:val="auto"/>
          <w:sz w:val="32"/>
          <w:szCs w:val="32"/>
          <w:lang w:val="en-US" w:eastAsia="zh-CN"/>
        </w:rPr>
        <w:t>依法享有制定本辖区烟草制品零售点合理布局规划的法定权限。</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rPr>
        <w:t>本《规划》根据</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中华人民共和国</w:t>
      </w:r>
      <w:r>
        <w:rPr>
          <w:rFonts w:hint="eastAsia" w:ascii="仿宋_GB2312" w:hAnsi="仿宋" w:eastAsia="仿宋_GB2312"/>
          <w:color w:val="auto"/>
          <w:sz w:val="32"/>
          <w:szCs w:val="32"/>
        </w:rPr>
        <w:t>烟草专卖法实施条例》第九条、《烟草专卖许可证管理办法》第十三条，对取得烟草专卖零售许可证应当具备的四个条件中</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符合当地</w:t>
      </w:r>
      <w:r>
        <w:rPr>
          <w:rFonts w:hint="eastAsia" w:ascii="仿宋_GB2312" w:hAnsi="仿宋" w:eastAsia="仿宋_GB2312"/>
          <w:color w:val="auto"/>
          <w:sz w:val="32"/>
          <w:szCs w:val="32"/>
          <w:lang w:val="en-US" w:eastAsia="zh-CN"/>
        </w:rPr>
        <w:t>烟草制品</w:t>
      </w:r>
      <w:r>
        <w:rPr>
          <w:rFonts w:hint="eastAsia" w:ascii="仿宋_GB2312" w:hAnsi="仿宋" w:eastAsia="仿宋_GB2312"/>
          <w:color w:val="auto"/>
          <w:sz w:val="32"/>
          <w:szCs w:val="32"/>
        </w:rPr>
        <w:t>零售点合理布局</w:t>
      </w:r>
      <w:r>
        <w:rPr>
          <w:rFonts w:hint="eastAsia" w:ascii="仿宋_GB2312" w:hAnsi="仿宋" w:eastAsia="仿宋_GB2312"/>
          <w:color w:val="auto"/>
          <w:sz w:val="32"/>
          <w:szCs w:val="32"/>
          <w:lang w:val="en-US" w:eastAsia="zh-CN"/>
        </w:rPr>
        <w:t>的</w:t>
      </w:r>
      <w:r>
        <w:rPr>
          <w:rFonts w:hint="eastAsia" w:ascii="仿宋_GB2312" w:hAnsi="仿宋" w:eastAsia="仿宋_GB2312"/>
          <w:color w:val="auto"/>
          <w:sz w:val="32"/>
          <w:szCs w:val="32"/>
        </w:rPr>
        <w:t>要求</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条件的细化，并未增设新的行政许可事项，也未增加新的行政许可条件，符合《中华人民共和国行政许可法》的要求。</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rPr>
        <w:t>本《规划》是在对辖区卷烟零售市场现状进行全面调查摸底、数据测算和专题调研的基础上</w:t>
      </w:r>
      <w:r>
        <w:rPr>
          <w:rFonts w:hint="eastAsia" w:ascii="仿宋_GB2312" w:hAnsi="仿宋_GB2312" w:eastAsia="仿宋_GB2312" w:cs="仿宋_GB2312"/>
          <w:color w:val="auto"/>
          <w:sz w:val="32"/>
          <w:szCs w:val="32"/>
          <w:lang w:eastAsia="zh-CN"/>
        </w:rPr>
        <w:t>起草的，</w:t>
      </w:r>
      <w:r>
        <w:rPr>
          <w:rFonts w:hint="eastAsia" w:ascii="仿宋_GB2312" w:hAnsi="仿宋" w:eastAsia="仿宋_GB2312"/>
          <w:color w:val="auto"/>
          <w:sz w:val="32"/>
          <w:szCs w:val="32"/>
        </w:rPr>
        <w:t>并依照《中华人民共和国行政许可法》的有关规定，征求社会各方面意见，</w:t>
      </w:r>
      <w:r>
        <w:rPr>
          <w:rFonts w:hint="eastAsia" w:ascii="仿宋_GB2312" w:hAnsi="仿宋" w:eastAsia="仿宋_GB2312"/>
          <w:color w:val="auto"/>
          <w:sz w:val="32"/>
          <w:szCs w:val="32"/>
          <w:lang w:eastAsia="zh-CN"/>
        </w:rPr>
        <w:t>开展合法性审查，</w:t>
      </w:r>
      <w:r>
        <w:rPr>
          <w:rFonts w:hint="eastAsia" w:ascii="仿宋_GB2312" w:hAnsi="仿宋" w:eastAsia="仿宋_GB2312"/>
          <w:color w:val="auto"/>
          <w:sz w:val="32"/>
          <w:szCs w:val="32"/>
        </w:rPr>
        <w:t>举行公开听证，并依据听证会结果完成《规划》的制定</w:t>
      </w:r>
      <w:r>
        <w:rPr>
          <w:rFonts w:hint="eastAsia" w:ascii="仿宋_GB2312" w:hAnsi="仿宋" w:eastAsia="仿宋_GB2312"/>
          <w:color w:val="auto"/>
          <w:sz w:val="32"/>
          <w:szCs w:val="32"/>
          <w:lang w:eastAsia="zh-CN"/>
        </w:rPr>
        <w:t>，后续将按照规定进行公告及备案等各项工作</w:t>
      </w:r>
      <w:r>
        <w:rPr>
          <w:rFonts w:hint="eastAsia" w:ascii="仿宋_GB2312" w:hAnsi="仿宋" w:eastAsia="仿宋_GB2312"/>
          <w:color w:val="auto"/>
          <w:sz w:val="32"/>
          <w:szCs w:val="32"/>
        </w:rPr>
        <w:t>，程序上符合《中华人民共和国行政许可法》的要求。</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（三）</w:t>
      </w:r>
      <w:r>
        <w:rPr>
          <w:rFonts w:hint="default" w:ascii="CESI楷体-GB2312" w:hAnsi="CESI楷体-GB2312" w:eastAsia="CESI楷体-GB2312" w:cs="CESI楷体-GB2312"/>
          <w:b w:val="0"/>
          <w:bCs/>
          <w:color w:val="auto"/>
          <w:sz w:val="32"/>
          <w:szCs w:val="32"/>
          <w:lang w:val="en-US" w:eastAsia="zh-CN"/>
        </w:rPr>
        <w:t>符合《中华人民共和国未成年人保护法》关于保护未成年人免受烟草侵害的规定</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eastAsia="仿宋_GB2312"/>
          <w:color w:val="auto"/>
          <w:sz w:val="32"/>
          <w:szCs w:val="32"/>
          <w:lang w:val="en-US" w:eastAsia="zh-CN"/>
        </w:rPr>
      </w:pPr>
      <w:r>
        <w:rPr>
          <w:rFonts w:hint="eastAsia" w:ascii="仿宋_GB2312" w:hAnsi="仿宋_GB2312" w:eastAsia="仿宋_GB2312" w:cs="仿宋_GB2312"/>
          <w:color w:val="auto"/>
          <w:sz w:val="32"/>
          <w:szCs w:val="32"/>
        </w:rPr>
        <w:t>《中华人民共和国未成年人保护法》第五十九条规定：“学校、幼儿园周边不得设置烟、酒、彩票销售网点。”设</w:t>
      </w:r>
      <w:r>
        <w:rPr>
          <w:rFonts w:hint="eastAsia" w:ascii="仿宋_GB2312" w:hAnsi="仿宋_GB2312" w:eastAsia="仿宋_GB2312" w:cs="仿宋_GB2312"/>
          <w:color w:val="auto"/>
          <w:sz w:val="32"/>
          <w:szCs w:val="32"/>
          <w:lang w:eastAsia="zh-CN"/>
        </w:rPr>
        <w:t>本《规划》</w:t>
      </w:r>
      <w:r>
        <w:rPr>
          <w:rFonts w:hint="default" w:ascii="仿宋_GB2312" w:eastAsia="仿宋_GB2312"/>
          <w:color w:val="auto"/>
          <w:sz w:val="32"/>
          <w:szCs w:val="32"/>
          <w:lang w:val="en-US" w:eastAsia="zh-CN"/>
        </w:rPr>
        <w:t>将中小学、幼儿园周边距离限制作为零售点设置的禁止性准入条件，是落实未成年人保护法定要求的必要措施，体现了保护未成年人身心健康的社会责任。</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（四）</w:t>
      </w:r>
      <w:r>
        <w:rPr>
          <w:rFonts w:hint="default" w:ascii="CESI楷体-GB2312" w:hAnsi="CESI楷体-GB2312" w:eastAsia="CESI楷体-GB2312" w:cs="CESI楷体-GB2312"/>
          <w:b w:val="0"/>
          <w:bCs/>
          <w:color w:val="auto"/>
          <w:sz w:val="32"/>
          <w:szCs w:val="32"/>
          <w:lang w:val="en-US" w:eastAsia="zh-CN"/>
        </w:rPr>
        <w:t>符合国家烟草专卖局优化政务服务的政策指引</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color w:val="auto"/>
          <w:sz w:val="32"/>
          <w:szCs w:val="32"/>
          <w:lang w:val="en-US" w:eastAsia="zh-CN"/>
        </w:rPr>
      </w:pPr>
      <w:r>
        <w:rPr>
          <w:rFonts w:hint="default" w:ascii="仿宋_GB2312" w:eastAsia="仿宋_GB2312"/>
          <w:color w:val="auto"/>
          <w:sz w:val="32"/>
          <w:szCs w:val="32"/>
          <w:lang w:val="en-US" w:eastAsia="zh-CN"/>
        </w:rPr>
        <w:t>国家烟草专卖局印发的《完善烟草专卖零售许可管理优化政务服务工作指引》（国烟法〔2024〕55号）明确要求，坚持零售户总量合理稳定的调控机制，将测算的零售户合理容量作为零售点布局规划的重要参考，通过合理布局、动态调节，实现零售户总量合理稳定；依法依规制定零售点布局规划，动态评估修订，根据零售户市场存量与合理容量的数量关系及变化趋势，相应放宽、维持或收紧布局规划要求。本规划在制定过程中，充分落实上述政策要求，建立定期评估与动态调整机制，确保布局规划的科学性和时效性。</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黑体-GB2312" w:hAnsi="CESI黑体-GB2312" w:eastAsia="CESI黑体-GB2312" w:cs="CESI黑体-GB2312"/>
          <w:b w:val="0"/>
          <w:bCs w:val="0"/>
          <w:color w:val="auto"/>
          <w:sz w:val="32"/>
          <w:szCs w:val="32"/>
        </w:rPr>
      </w:pPr>
      <w:r>
        <w:rPr>
          <w:rFonts w:hint="eastAsia" w:ascii="CESI黑体-GB2312" w:hAnsi="CESI黑体-GB2312" w:eastAsia="CESI黑体-GB2312" w:cs="CESI黑体-GB2312"/>
          <w:b w:val="0"/>
          <w:bCs w:val="0"/>
          <w:color w:val="auto"/>
          <w:sz w:val="32"/>
          <w:szCs w:val="32"/>
        </w:rPr>
        <w:t>二、修订</w:t>
      </w:r>
      <w:r>
        <w:rPr>
          <w:rFonts w:hint="eastAsia" w:ascii="CESI黑体-GB2312" w:hAnsi="CESI黑体-GB2312" w:eastAsia="CESI黑体-GB2312" w:cs="CESI黑体-GB2312"/>
          <w:b w:val="0"/>
          <w:bCs w:val="0"/>
          <w:color w:val="auto"/>
          <w:sz w:val="32"/>
          <w:szCs w:val="32"/>
          <w:lang w:eastAsia="zh-CN"/>
        </w:rPr>
        <w:t>规划</w:t>
      </w:r>
      <w:r>
        <w:rPr>
          <w:rFonts w:hint="eastAsia" w:ascii="CESI黑体-GB2312" w:hAnsi="CESI黑体-GB2312" w:eastAsia="CESI黑体-GB2312" w:cs="CESI黑体-GB2312"/>
          <w:b w:val="0"/>
          <w:bCs w:val="0"/>
          <w:color w:val="auto"/>
          <w:sz w:val="32"/>
          <w:szCs w:val="32"/>
        </w:rPr>
        <w:t>的必要性</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自2021年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月现行烟草制品零售点合理布局规划发布实施以来，在优化</w:t>
      </w:r>
      <w:r>
        <w:rPr>
          <w:rFonts w:hint="eastAsia" w:ascii="仿宋_GB2312" w:hAnsi="仿宋_GB2312" w:eastAsia="仿宋_GB2312" w:cs="仿宋_GB2312"/>
          <w:color w:val="auto"/>
          <w:sz w:val="32"/>
          <w:szCs w:val="32"/>
          <w:lang w:eastAsia="zh-CN"/>
        </w:rPr>
        <w:t>克拉玛依市独山子区</w:t>
      </w:r>
      <w:r>
        <w:rPr>
          <w:rFonts w:hint="eastAsia" w:ascii="仿宋_GB2312" w:hAnsi="仿宋_GB2312" w:eastAsia="仿宋_GB2312" w:cs="仿宋_GB2312"/>
          <w:color w:val="auto"/>
          <w:sz w:val="32"/>
          <w:szCs w:val="32"/>
        </w:rPr>
        <w:t>卷烟市场资源配置、规范卷烟零售市场主体准入、维护卷烟市场经营秩序等方面发挥了重要作用。但是，随着近年来</w:t>
      </w:r>
      <w:r>
        <w:rPr>
          <w:rFonts w:hint="eastAsia" w:ascii="仿宋_GB2312" w:hAnsi="仿宋_GB2312" w:eastAsia="仿宋_GB2312" w:cs="仿宋_GB2312"/>
          <w:color w:val="auto"/>
          <w:sz w:val="32"/>
          <w:szCs w:val="32"/>
          <w:lang w:eastAsia="zh-CN"/>
        </w:rPr>
        <w:t>克拉玛依市独山子区</w:t>
      </w:r>
      <w:r>
        <w:rPr>
          <w:rFonts w:hint="eastAsia" w:ascii="仿宋_GB2312" w:hAnsi="仿宋_GB2312" w:eastAsia="仿宋_GB2312" w:cs="仿宋_GB2312"/>
          <w:color w:val="auto"/>
          <w:sz w:val="32"/>
          <w:szCs w:val="32"/>
        </w:rPr>
        <w:t>经济发展、人口流动及城市建设的不断推进，现行《规划》部分条款与当前实际的不适应性逐渐显现：</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CESI楷体-GB2312" w:hAnsi="CESI楷体-GB2312" w:eastAsia="CESI楷体-GB2312" w:cs="CESI楷体-GB2312"/>
          <w:b w:val="0"/>
          <w:bCs/>
          <w:color w:val="auto"/>
          <w:sz w:val="32"/>
          <w:szCs w:val="32"/>
          <w:lang w:val="en-US" w:eastAsia="zh-CN"/>
        </w:rPr>
        <w:t>（一）市场单元网格容量需进一步贴合市场实际。</w:t>
      </w:r>
      <w:r>
        <w:rPr>
          <w:rFonts w:hint="eastAsia" w:ascii="仿宋_GB2312" w:hAnsi="仿宋_GB2312" w:eastAsia="仿宋_GB2312" w:cs="仿宋_GB2312"/>
          <w:color w:val="auto"/>
          <w:sz w:val="32"/>
          <w:szCs w:val="32"/>
        </w:rPr>
        <w:t>现行《规划》</w:t>
      </w:r>
      <w:r>
        <w:rPr>
          <w:rFonts w:hint="eastAsia" w:ascii="仿宋_GB2312" w:hAnsi="仿宋_GB2312" w:eastAsia="仿宋_GB2312" w:cs="仿宋_GB2312"/>
          <w:color w:val="auto"/>
          <w:sz w:val="32"/>
          <w:szCs w:val="32"/>
          <w:lang w:eastAsia="zh-CN"/>
        </w:rPr>
        <w:t>中居民小区、商住区、商业区在计算市场单元网格容量时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采取的是以居民户数或固定门店数量作为计算依据，</w:t>
      </w:r>
      <w:r>
        <w:rPr>
          <w:rFonts w:hint="eastAsia" w:ascii="仿宋_GB2312" w:hAnsi="仿宋_GB2312" w:eastAsia="仿宋_GB2312" w:cs="仿宋_GB2312"/>
          <w:color w:val="auto"/>
          <w:sz w:val="32"/>
          <w:szCs w:val="32"/>
        </w:rPr>
        <w:t>体现了因地制宜的布局思路。但在具体执行过程中，</w:t>
      </w:r>
      <w:r>
        <w:rPr>
          <w:rFonts w:hint="eastAsia" w:ascii="仿宋_GB2312" w:hAnsi="仿宋_GB2312" w:eastAsia="仿宋_GB2312" w:cs="仿宋_GB2312"/>
          <w:color w:val="auto"/>
          <w:sz w:val="32"/>
          <w:szCs w:val="32"/>
          <w:lang w:eastAsia="zh-CN"/>
        </w:rPr>
        <w:t>存在容量设置未完全贴合市场，容量设置相对较固定，没有充分考虑</w:t>
      </w:r>
      <w:r>
        <w:rPr>
          <w:rFonts w:hint="eastAsia" w:ascii="仿宋_GB2312" w:hAnsi="仿宋_GB2312" w:eastAsia="仿宋_GB2312" w:cs="仿宋_GB2312"/>
          <w:color w:val="auto"/>
          <w:sz w:val="32"/>
          <w:szCs w:val="32"/>
          <w:highlight w:val="none"/>
          <w:lang w:val="en-US" w:eastAsia="zh-CN"/>
        </w:rPr>
        <w:t>人口数量、消费需求、经济发展水平等关键因素的情况</w:t>
      </w:r>
      <w:r>
        <w:rPr>
          <w:rFonts w:hint="eastAsia" w:ascii="仿宋_GB2312" w:hAnsi="仿宋_GB2312" w:eastAsia="仿宋_GB2312" w:cs="仿宋_GB2312"/>
          <w:color w:val="auto"/>
          <w:sz w:val="32"/>
          <w:szCs w:val="32"/>
        </w:rPr>
        <w:t>。为进一步提升</w:t>
      </w:r>
      <w:r>
        <w:rPr>
          <w:rFonts w:hint="eastAsia" w:ascii="仿宋_GB2312" w:hAnsi="仿宋_GB2312" w:eastAsia="仿宋_GB2312" w:cs="仿宋_GB2312"/>
          <w:color w:val="auto"/>
          <w:sz w:val="32"/>
          <w:szCs w:val="32"/>
          <w:lang w:eastAsia="zh-CN"/>
        </w:rPr>
        <w:t>市场单元网格容量设置的科学性及适配性</w:t>
      </w:r>
      <w:r>
        <w:rPr>
          <w:rFonts w:hint="eastAsia" w:ascii="仿宋_GB2312" w:hAnsi="仿宋_GB2312" w:eastAsia="仿宋_GB2312" w:cs="仿宋_GB2312"/>
          <w:color w:val="auto"/>
          <w:sz w:val="32"/>
          <w:szCs w:val="32"/>
        </w:rPr>
        <w:t>，本次修订</w:t>
      </w:r>
      <w:r>
        <w:rPr>
          <w:rFonts w:hint="eastAsia" w:ascii="仿宋_GB2312" w:hAnsi="仿宋_GB2312" w:eastAsia="仿宋_GB2312" w:cs="仿宋_GB2312"/>
          <w:color w:val="auto"/>
          <w:sz w:val="32"/>
          <w:szCs w:val="32"/>
          <w:lang w:eastAsia="zh-CN"/>
        </w:rPr>
        <w:t>采取</w:t>
      </w:r>
      <w:r>
        <w:rPr>
          <w:rFonts w:hint="eastAsia" w:ascii="仿宋_GB2312" w:hAnsi="仿宋_GB2312" w:eastAsia="仿宋_GB2312" w:cs="仿宋_GB2312"/>
          <w:color w:val="auto"/>
          <w:sz w:val="32"/>
          <w:szCs w:val="32"/>
          <w:highlight w:val="none"/>
          <w:lang w:val="en-US" w:eastAsia="zh-CN"/>
        </w:rPr>
        <w:t>社区市场单元、行政（自然）村（连队）市场单元、特殊区域市场单元划分模式</w:t>
      </w:r>
      <w:r>
        <w:rPr>
          <w:rFonts w:hint="eastAsia" w:ascii="仿宋_GB2312" w:hAnsi="仿宋_GB2312" w:eastAsia="仿宋_GB2312" w:cs="仿宋_GB2312"/>
          <w:color w:val="auto"/>
          <w:sz w:val="32"/>
          <w:szCs w:val="32"/>
        </w:rPr>
        <w:t>，</w:t>
      </w:r>
      <w:r>
        <w:rPr>
          <w:rFonts w:hint="eastAsia" w:ascii="仿宋_GB2312" w:eastAsia="仿宋_GB2312"/>
          <w:color w:val="auto"/>
          <w:sz w:val="32"/>
          <w:szCs w:val="32"/>
          <w:lang w:val="en-US" w:eastAsia="zh-CN"/>
        </w:rPr>
        <w:t>采集全区及所辖129、130团所有社区、行政村的常住人口、流动人口等基础人口数据，以及各社区、行政村的行政区划边界、社区新增设立、合并分立及未来发展规划等空间地理信息，从专卖管理信息系统和营销管理平台中调取全区各社区、行政村现有零售户的年度销量、单箱销售结构、经营毛利等经营数据，按单元网格进行汇总统计，</w:t>
      </w:r>
      <w:r>
        <w:rPr>
          <w:rFonts w:hint="eastAsia" w:ascii="仿宋_GB2312" w:hAnsi="仿宋_GB2312" w:eastAsia="仿宋_GB2312" w:cs="仿宋_GB2312"/>
          <w:color w:val="auto"/>
          <w:sz w:val="32"/>
          <w:szCs w:val="32"/>
        </w:rPr>
        <w:t>以更好地适应</w:t>
      </w:r>
      <w:r>
        <w:rPr>
          <w:rFonts w:hint="eastAsia" w:ascii="仿宋_GB2312" w:hAnsi="仿宋_GB2312" w:eastAsia="仿宋_GB2312" w:cs="仿宋_GB2312"/>
          <w:color w:val="auto"/>
          <w:sz w:val="32"/>
          <w:szCs w:val="32"/>
          <w:lang w:eastAsia="zh-CN"/>
        </w:rPr>
        <w:t>克拉玛依市独山子区</w:t>
      </w:r>
      <w:r>
        <w:rPr>
          <w:rFonts w:hint="eastAsia" w:ascii="仿宋_GB2312" w:hAnsi="仿宋_GB2312" w:eastAsia="仿宋_GB2312" w:cs="仿宋_GB2312"/>
          <w:color w:val="auto"/>
          <w:sz w:val="32"/>
          <w:szCs w:val="32"/>
        </w:rPr>
        <w:t>不同区域的实际情况。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CESI楷体-GB2312" w:hAnsi="CESI楷体-GB2312" w:eastAsia="CESI楷体-GB2312" w:cs="CESI楷体-GB2312"/>
          <w:b w:val="0"/>
          <w:bCs/>
          <w:color w:val="auto"/>
          <w:sz w:val="32"/>
          <w:szCs w:val="32"/>
          <w:lang w:val="en-US" w:eastAsia="zh-CN"/>
        </w:rPr>
        <w:t>（二）经营场所准入的细化标准需要进一步补充。</w:t>
      </w:r>
      <w:r>
        <w:rPr>
          <w:rFonts w:hint="eastAsia" w:ascii="仿宋_GB2312" w:hAnsi="仿宋_GB2312" w:eastAsia="仿宋_GB2312" w:cs="仿宋_GB2312"/>
          <w:color w:val="auto"/>
          <w:sz w:val="32"/>
          <w:szCs w:val="32"/>
        </w:rPr>
        <w:t>现行《规划》已对不予设置零售点的情形作出了规定，涵盖了无固定经营场所、与住所不相独立、基于安全因素不适宜经营等主要类型，为规范市场准入发挥了积极作用。但近年来，随着新业态不断涌现、经营场所形态日趋多样，部分情形的具体认定标准需要进一步细化和补充，以确保执法人员在实际操作中有更加明确的依据，更好地维护公平竞争的市场环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CESI楷体-GB2312" w:hAnsi="CESI楷体-GB2312" w:eastAsia="CESI楷体-GB2312" w:cs="CESI楷体-GB2312"/>
          <w:b w:val="0"/>
          <w:bCs/>
          <w:color w:val="auto"/>
          <w:sz w:val="32"/>
          <w:szCs w:val="32"/>
          <w:lang w:val="en-US" w:eastAsia="zh-CN"/>
        </w:rPr>
        <w:t>（三）弱势群体、优抚对象的认定标准需要进一步明确。</w:t>
      </w:r>
      <w:r>
        <w:rPr>
          <w:rFonts w:hint="eastAsia" w:ascii="仿宋_GB2312" w:hAnsi="仿宋_GB2312" w:eastAsia="仿宋_GB2312" w:cs="仿宋_GB2312"/>
          <w:color w:val="auto"/>
          <w:sz w:val="32"/>
          <w:szCs w:val="32"/>
        </w:rPr>
        <w:t>现行《规划》针对弱势群体、优抚对象</w:t>
      </w:r>
      <w:r>
        <w:rPr>
          <w:rFonts w:hint="eastAsia" w:ascii="仿宋_GB2312" w:eastAsia="仿宋_GB2312"/>
          <w:color w:val="auto"/>
          <w:sz w:val="32"/>
          <w:szCs w:val="32"/>
        </w:rPr>
        <w:t>本人首次申请办理烟草专卖零售许可证</w:t>
      </w:r>
      <w:r>
        <w:rPr>
          <w:rFonts w:hint="eastAsia" w:ascii="仿宋_GB2312" w:eastAsia="仿宋_GB2312"/>
          <w:color w:val="auto"/>
          <w:sz w:val="32"/>
          <w:szCs w:val="32"/>
          <w:lang w:eastAsia="zh-CN"/>
        </w:rPr>
        <w:t>有相应的放宽政策，但</w:t>
      </w:r>
      <w:r>
        <w:rPr>
          <w:rFonts w:hint="eastAsia" w:ascii="仿宋_GB2312" w:hAnsi="仿宋_GB2312" w:eastAsia="仿宋_GB2312" w:cs="仿宋_GB2312"/>
          <w:color w:val="auto"/>
          <w:sz w:val="32"/>
          <w:szCs w:val="32"/>
        </w:rPr>
        <w:t>不同</w:t>
      </w:r>
      <w:r>
        <w:rPr>
          <w:rFonts w:hint="eastAsia" w:ascii="仿宋_GB2312" w:hAnsi="仿宋_GB2312" w:eastAsia="仿宋_GB2312" w:cs="仿宋_GB2312"/>
          <w:color w:val="auto"/>
          <w:sz w:val="32"/>
          <w:szCs w:val="32"/>
          <w:lang w:eastAsia="zh-CN"/>
        </w:rPr>
        <w:t>群众对于</w:t>
      </w:r>
      <w:r>
        <w:rPr>
          <w:rFonts w:hint="eastAsia" w:ascii="仿宋_GB2312" w:hAnsi="仿宋_GB2312" w:eastAsia="仿宋_GB2312" w:cs="仿宋_GB2312"/>
          <w:color w:val="auto"/>
          <w:sz w:val="32"/>
          <w:szCs w:val="32"/>
        </w:rPr>
        <w:t>弱势群体、优抚对象</w:t>
      </w:r>
      <w:r>
        <w:rPr>
          <w:rFonts w:hint="eastAsia" w:ascii="仿宋_GB2312" w:hAnsi="仿宋_GB2312" w:eastAsia="仿宋_GB2312" w:cs="仿宋_GB2312"/>
          <w:color w:val="auto"/>
          <w:sz w:val="32"/>
          <w:szCs w:val="32"/>
          <w:lang w:eastAsia="zh-CN"/>
        </w:rPr>
        <w:t>范围理解不同，造成一些不必要的误解和执法人员在执行过程中的困难，明确此类范围，能</w:t>
      </w:r>
      <w:r>
        <w:rPr>
          <w:rFonts w:hint="eastAsia" w:ascii="仿宋_GB2312" w:hAnsi="仿宋_GB2312" w:eastAsia="仿宋_GB2312" w:cs="仿宋_GB2312"/>
          <w:color w:val="auto"/>
          <w:sz w:val="32"/>
          <w:szCs w:val="32"/>
        </w:rPr>
        <w:t>确保执法人员在实际操作中有更加明确的依据，更好地维护公平竞争的市场环境。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（四）无雪茄烟专营店的准入标准。</w:t>
      </w:r>
      <w:r>
        <w:rPr>
          <w:rFonts w:hint="eastAsia" w:ascii="仿宋_GB2312" w:hAnsi="仿宋_GB2312" w:eastAsia="仿宋_GB2312" w:cs="仿宋_GB2312"/>
          <w:color w:val="auto"/>
          <w:sz w:val="32"/>
          <w:szCs w:val="32"/>
          <w:lang w:eastAsia="zh-CN"/>
        </w:rPr>
        <w:t>近</w:t>
      </w:r>
      <w:r>
        <w:rPr>
          <w:rFonts w:hint="eastAsia" w:ascii="仿宋_GB2312" w:hAnsi="仿宋_GB2312" w:eastAsia="仿宋_GB2312" w:cs="仿宋_GB2312"/>
          <w:color w:val="auto"/>
          <w:sz w:val="32"/>
          <w:szCs w:val="32"/>
          <w:lang w:val="en-US" w:eastAsia="zh-CN"/>
        </w:rPr>
        <w:t>3年，克拉玛依市雪茄烟市场发展迅速，已成为全疆继乌鲁木齐后第二大雪茄烟消费市场，且</w:t>
      </w:r>
      <w:r>
        <w:rPr>
          <w:rFonts w:hint="eastAsia" w:ascii="仿宋_GB2312" w:hAnsi="仿宋_GB2312" w:eastAsia="仿宋_GB2312" w:cs="仿宋_GB2312"/>
          <w:color w:val="auto"/>
          <w:sz w:val="32"/>
          <w:szCs w:val="32"/>
        </w:rPr>
        <w:t>雪茄烟作为烟草制品的特殊品类，其消费群体、消费场景与卷烟存在显著差异，具有专业化经营的特征</w:t>
      </w:r>
      <w:r>
        <w:rPr>
          <w:rFonts w:hint="eastAsia" w:ascii="仿宋_GB2312" w:hAnsi="仿宋_GB2312" w:eastAsia="仿宋_GB2312" w:cs="仿宋_GB2312"/>
          <w:color w:val="auto"/>
          <w:sz w:val="32"/>
          <w:szCs w:val="32"/>
          <w:lang w:eastAsia="zh-CN"/>
        </w:rPr>
        <w:t>，因此在雪茄烟专营点的准入条件上应区别于普通零售点。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黑体-GB2312" w:hAnsi="CESI黑体-GB2312" w:eastAsia="CESI黑体-GB2312" w:cs="CESI黑体-GB2312"/>
          <w:b w:val="0"/>
          <w:bCs w:val="0"/>
          <w:color w:val="auto"/>
          <w:sz w:val="32"/>
          <w:szCs w:val="32"/>
        </w:rPr>
      </w:pPr>
      <w:r>
        <w:rPr>
          <w:rFonts w:hint="eastAsia" w:ascii="CESI黑体-GB2312" w:hAnsi="CESI黑体-GB2312" w:eastAsia="CESI黑体-GB2312" w:cs="CESI黑体-GB2312"/>
          <w:b w:val="0"/>
          <w:bCs w:val="0"/>
          <w:color w:val="auto"/>
          <w:sz w:val="32"/>
          <w:szCs w:val="32"/>
        </w:rPr>
        <w:t>三、</w:t>
      </w:r>
      <w:r>
        <w:rPr>
          <w:rFonts w:hint="eastAsia" w:ascii="CESI黑体-GB2312" w:hAnsi="CESI黑体-GB2312" w:eastAsia="CESI黑体-GB2312" w:cs="CESI黑体-GB2312"/>
          <w:b w:val="0"/>
          <w:bCs w:val="0"/>
          <w:color w:val="auto"/>
          <w:sz w:val="32"/>
          <w:szCs w:val="32"/>
          <w:lang w:eastAsia="zh-CN"/>
        </w:rPr>
        <w:t>起草</w:t>
      </w:r>
      <w:r>
        <w:rPr>
          <w:rFonts w:hint="eastAsia" w:ascii="CESI黑体-GB2312" w:hAnsi="CESI黑体-GB2312" w:eastAsia="CESI黑体-GB2312" w:cs="CESI黑体-GB2312"/>
          <w:b w:val="0"/>
          <w:bCs w:val="0"/>
          <w:color w:val="auto"/>
          <w:sz w:val="32"/>
          <w:szCs w:val="32"/>
        </w:rPr>
        <w:t>过程</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2026年5月，按照《程序规定》要求，组织专卖人员通过实地走访与数据调取相结合的方式开展市场调研，采集全区所有社区、行政村的常住人口、户籍人口、流动人口等基础人口数据，以及各社区、行政村的行政区划边界、社区新增设立、合并分立及未来发展规划等空间地理信息，并从专卖管理信息系统和营销管理平台中调取全区各社区、行政村现有零售户的年度销量、单箱销售结构、经营毛利等经营数据，按单元网格进行汇总统计，为后续网格划分和零售点容量测算奠定数据基础。2026年9月，独山子区局制定本辖区烟草制品零售点合理布局规划；2026年9月24日，独山子区局将烟草制品零售点合理布局规划通过独山子区人民政府网站公开征求意见，同时征求区人大</w:t>
      </w:r>
      <w:r>
        <w:rPr>
          <w:rFonts w:hint="eastAsia" w:ascii="仿宋" w:hAnsi="仿宋" w:eastAsia="仿宋"/>
          <w:color w:val="auto"/>
          <w:sz w:val="30"/>
          <w:szCs w:val="30"/>
        </w:rPr>
        <w:t>常委会</w:t>
      </w:r>
      <w:r>
        <w:rPr>
          <w:rFonts w:hint="eastAsia" w:ascii="仿宋_GB2312" w:hAnsi="仿宋_GB2312" w:eastAsia="仿宋_GB2312" w:cs="仿宋_GB2312"/>
          <w:color w:val="auto"/>
          <w:sz w:val="32"/>
          <w:szCs w:val="32"/>
          <w:lang w:val="en-US" w:eastAsia="zh-CN"/>
        </w:rPr>
        <w:t>法工委和司法部门意见建议；经社会公开征求意见后，规划草案将报克拉玛依市烟草专卖局专卖科、监督科、公职律师、外聘法律顾问进行合法性审核与公平竞争审查；并计划于2026年11月4日，举行公开听证并向社会公布，自公布之日起30日后施行。</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黑体-GB2312" w:hAnsi="CESI黑体-GB2312" w:eastAsia="CESI黑体-GB2312" w:cs="CESI黑体-GB2312"/>
          <w:b w:val="0"/>
          <w:bCs w:val="0"/>
          <w:color w:val="auto"/>
          <w:sz w:val="32"/>
          <w:szCs w:val="32"/>
        </w:rPr>
      </w:pPr>
      <w:r>
        <w:rPr>
          <w:rFonts w:hint="eastAsia" w:ascii="CESI黑体-GB2312" w:hAnsi="CESI黑体-GB2312" w:eastAsia="CESI黑体-GB2312" w:cs="CESI黑体-GB2312"/>
          <w:b w:val="0"/>
          <w:bCs w:val="0"/>
          <w:color w:val="auto"/>
          <w:sz w:val="32"/>
          <w:szCs w:val="32"/>
        </w:rPr>
        <w:t>四、文件修订的主要内容介绍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（一）市场单元划分（本规划第八条）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现行《规划》</w:t>
      </w:r>
      <w:r>
        <w:rPr>
          <w:rFonts w:hint="eastAsia" w:ascii="仿宋_GB2312" w:hAnsi="仿宋_GB2312" w:eastAsia="仿宋_GB2312" w:cs="仿宋_GB2312"/>
          <w:color w:val="auto"/>
          <w:sz w:val="32"/>
          <w:szCs w:val="32"/>
          <w:lang w:eastAsia="zh-CN"/>
        </w:rPr>
        <w:t>采取</w:t>
      </w:r>
      <w:r>
        <w:rPr>
          <w:rFonts w:hint="eastAsia" w:ascii="仿宋_GB2312" w:hAnsi="仿宋_GB2312" w:eastAsia="仿宋_GB2312" w:cs="仿宋_GB2312"/>
          <w:color w:val="auto"/>
          <w:sz w:val="32"/>
          <w:szCs w:val="32"/>
        </w:rPr>
        <w:t>居民区</w:t>
      </w:r>
      <w:r>
        <w:rPr>
          <w:rFonts w:hint="eastAsia" w:ascii="仿宋_GB2312" w:hAnsi="仿宋_GB2312" w:eastAsia="仿宋_GB2312" w:cs="仿宋_GB2312"/>
          <w:color w:val="auto"/>
          <w:sz w:val="32"/>
          <w:szCs w:val="32"/>
          <w:lang w:eastAsia="zh-CN"/>
        </w:rPr>
        <w:t>网格每</w:t>
      </w:r>
      <w:r>
        <w:rPr>
          <w:rFonts w:hint="eastAsia" w:ascii="仿宋_GB2312" w:hAnsi="仿宋_GB2312" w:eastAsia="仿宋_GB2312" w:cs="仿宋_GB2312"/>
          <w:color w:val="auto"/>
          <w:sz w:val="32"/>
          <w:szCs w:val="32"/>
          <w:lang w:val="en-US" w:eastAsia="zh-CN"/>
        </w:rPr>
        <w:t>300户设置1个零售点</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商住区网格每</w:t>
      </w:r>
      <w:r>
        <w:rPr>
          <w:rFonts w:hint="eastAsia" w:ascii="仿宋_GB2312" w:hAnsi="仿宋_GB2312" w:eastAsia="仿宋_GB2312" w:cs="仿宋_GB2312"/>
          <w:color w:val="auto"/>
          <w:sz w:val="32"/>
          <w:szCs w:val="32"/>
          <w:lang w:val="en-US" w:eastAsia="zh-CN"/>
        </w:rPr>
        <w:t>150户设置1个零售点、</w:t>
      </w:r>
      <w:r>
        <w:rPr>
          <w:rFonts w:hint="eastAsia" w:ascii="仿宋_GB2312" w:hAnsi="仿宋_GB2312" w:eastAsia="仿宋_GB2312" w:cs="仿宋_GB2312"/>
          <w:color w:val="auto"/>
          <w:sz w:val="32"/>
          <w:szCs w:val="32"/>
        </w:rPr>
        <w:t>商业区网格按固定门店数</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10%</w:t>
      </w:r>
      <w:r>
        <w:rPr>
          <w:rFonts w:hint="eastAsia" w:ascii="仿宋_GB2312" w:hAnsi="仿宋_GB2312" w:eastAsia="仿宋_GB2312" w:cs="仿宋_GB2312"/>
          <w:color w:val="auto"/>
          <w:sz w:val="32"/>
          <w:szCs w:val="32"/>
          <w:lang w:val="en-US" w:eastAsia="zh-CN"/>
        </w:rPr>
        <w:t>设置零售点。本次修订</w:t>
      </w:r>
      <w:r>
        <w:rPr>
          <w:rFonts w:hint="eastAsia" w:ascii="仿宋_GB2312" w:hAnsi="仿宋_GB2312" w:eastAsia="仿宋_GB2312" w:cs="仿宋_GB2312"/>
          <w:color w:val="auto"/>
          <w:sz w:val="32"/>
          <w:szCs w:val="32"/>
          <w:highlight w:val="none"/>
          <w:lang w:val="en-US" w:eastAsia="zh-CN"/>
        </w:rPr>
        <w:t>按照社会功能属性、经济发展状况和消费环境，分为社区市场单元、行政（自然）村（连队）市场单元、特殊区域市场单元，各市场单元基于市场单元内人口数量、消费需求、经济发展水平等关键因素，科学测算得出的烟草制品零售点合理数量上限，根据</w:t>
      </w:r>
      <w:r>
        <w:rPr>
          <w:rFonts w:hint="eastAsia" w:ascii="仿宋" w:hAnsi="仿宋" w:eastAsia="仿宋" w:cs="仿宋"/>
          <w:b w:val="0"/>
          <w:bCs w:val="0"/>
          <w:color w:val="auto"/>
          <w:kern w:val="0"/>
          <w:sz w:val="32"/>
          <w:szCs w:val="32"/>
          <w:lang w:val="en-US" w:eastAsia="zh-CN" w:bidi="ar"/>
        </w:rPr>
        <w:t>人口、消费、经营等数据变化进行动态调整，</w:t>
      </w:r>
      <w:r>
        <w:rPr>
          <w:rFonts w:hint="eastAsia" w:ascii="仿宋_GB2312" w:hAnsi="仿宋_GB2312" w:eastAsia="仿宋_GB2312" w:cs="仿宋_GB2312"/>
          <w:color w:val="auto"/>
          <w:sz w:val="32"/>
          <w:szCs w:val="32"/>
          <w:highlight w:val="none"/>
          <w:lang w:val="en-US" w:eastAsia="zh-CN"/>
        </w:rPr>
        <w:t>容量设置贴近市场真实需求，</w:t>
      </w:r>
      <w:r>
        <w:rPr>
          <w:rFonts w:hint="eastAsia" w:ascii="仿宋" w:hAnsi="仿宋" w:eastAsia="仿宋" w:cs="仿宋"/>
          <w:b w:val="0"/>
          <w:bCs w:val="0"/>
          <w:color w:val="auto"/>
          <w:kern w:val="0"/>
          <w:sz w:val="32"/>
          <w:szCs w:val="32"/>
          <w:lang w:val="en-US" w:eastAsia="zh-CN" w:bidi="ar"/>
        </w:rPr>
        <w:t>能够有效优化市场资源配置，避免零售点过度饱和或覆盖不足的问题，实现市场公平与消费便利的平衡。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（二）完善特殊区域布局标准（本规划第八条第三项）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本次修订对特殊区域网格布局标准进行了系统完善：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新增</w:t>
      </w:r>
      <w:r>
        <w:rPr>
          <w:rFonts w:hint="eastAsia" w:ascii="仿宋_GB2312" w:hAnsi="仿宋_GB2312" w:eastAsia="仿宋_GB2312" w:cs="仿宋_GB2312"/>
          <w:b w:val="0"/>
          <w:bCs w:val="0"/>
          <w:color w:val="auto"/>
          <w:kern w:val="0"/>
          <w:sz w:val="32"/>
          <w:szCs w:val="32"/>
          <w:lang w:val="en-US" w:eastAsia="zh-CN"/>
        </w:rPr>
        <w:t>包含酒店、餐饮、休闲、购物、娱乐等为一体，满足消费多样化的游客集散中心，按固定门店数10%的比例设置零售点，不足10户的，可设置1个零售点，网格内零售点间距不少于20米（含）</w:t>
      </w:r>
      <w:r>
        <w:rPr>
          <w:rFonts w:hint="eastAsia" w:ascii="仿宋_GB2312" w:eastAsia="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修改</w:t>
      </w:r>
      <w:r>
        <w:rPr>
          <w:rFonts w:hint="eastAsia" w:ascii="仿宋_GB2312" w:hAnsi="仿宋_GB2312" w:eastAsia="仿宋_GB2312" w:cs="仿宋_GB2312"/>
          <w:b w:val="0"/>
          <w:color w:val="auto"/>
          <w:sz w:val="32"/>
          <w:szCs w:val="32"/>
          <w:highlight w:val="none"/>
          <w:lang w:val="en-US" w:eastAsia="zh-CN"/>
        </w:rPr>
        <w:t>高速公路服务区内（单侧）的经营场所</w:t>
      </w:r>
      <w:r>
        <w:rPr>
          <w:rFonts w:hint="eastAsia" w:ascii="仿宋_GB2312" w:hAnsi="仿宋_GB2312" w:eastAsia="仿宋_GB2312" w:cs="仿宋_GB2312"/>
          <w:b w:val="0"/>
          <w:bCs w:val="0"/>
          <w:color w:val="auto"/>
          <w:kern w:val="0"/>
          <w:sz w:val="32"/>
          <w:szCs w:val="32"/>
          <w:lang w:val="en-US" w:eastAsia="zh-CN"/>
        </w:rPr>
        <w:t>设置2个零售点（含服务区内加油站）</w:t>
      </w:r>
      <w:r>
        <w:rPr>
          <w:rFonts w:hint="eastAsia" w:ascii="仿宋_GB2312" w:eastAsia="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3.新增军管区、警管区布局标准。军管区、警管区（即军事单位、监狱、拘留所、看守所、戒毒所等特殊区域)内的经营场所，</w:t>
      </w:r>
      <w:r>
        <w:rPr>
          <w:rFonts w:hint="eastAsia" w:ascii="仿宋_GB2312" w:hAnsi="仿宋_GB2312" w:eastAsia="仿宋_GB2312" w:cs="仿宋_GB2312"/>
          <w:b w:val="0"/>
          <w:bCs w:val="0"/>
          <w:color w:val="auto"/>
          <w:kern w:val="0"/>
          <w:sz w:val="32"/>
          <w:szCs w:val="32"/>
          <w:lang w:val="en-US" w:eastAsia="zh-CN"/>
        </w:rPr>
        <w:t>可设置1个零售点</w:t>
      </w:r>
      <w:r>
        <w:rPr>
          <w:rFonts w:hint="eastAsia" w:ascii="仿宋_GB2312" w:eastAsia="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4.完善独立工矿区、新建建筑</w:t>
      </w:r>
      <w:r>
        <w:rPr>
          <w:rFonts w:hint="eastAsia" w:ascii="仿宋_GB2312" w:hAnsi="仿宋_GB2312" w:eastAsia="仿宋_GB2312" w:cs="仿宋_GB2312"/>
          <w:b w:val="0"/>
          <w:bCs w:val="0"/>
          <w:color w:val="auto"/>
          <w:kern w:val="0"/>
          <w:sz w:val="32"/>
          <w:szCs w:val="32"/>
          <w:lang w:val="en-US" w:eastAsia="zh-CN"/>
        </w:rPr>
        <w:t>工地、封闭式生产制造企业内新设零售点的。新增企业、工矿区（或项目部）可设置1个零售点，对独立于企业、工矿区（或项目部）的员工生活小区设置零售点由1个增加到2个；</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（三）细化和完善不予设置零售点的情形（本规划第十二条）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本次修订对不予设置零售点的情形进行了系统梳理和细化：</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1.明确了无固定经营场所的具体情形。现行《规划》对此未作明确定义。本次修订明确</w:t>
      </w:r>
      <w:r>
        <w:rPr>
          <w:rFonts w:hint="eastAsia" w:ascii="仿宋_GB2312" w:hAnsi="仿宋_GB2312" w:eastAsia="仿宋_GB2312" w:cs="仿宋_GB2312"/>
          <w:b w:val="0"/>
          <w:bCs w:val="0"/>
          <w:color w:val="auto"/>
          <w:kern w:val="0"/>
          <w:sz w:val="32"/>
          <w:szCs w:val="32"/>
          <w:lang w:val="en-US" w:eastAsia="zh-CN"/>
        </w:rPr>
        <w:t>“无固定经营场所的”包括但不限于：①流动摊点（车、棚、柜）、集装箱屋、活动板房、改装改建车位；②居民楼、商用楼内公用楼梯间或公用巷道；③危险建筑、已被政府纳入拆迁规划的区域及尚未竣工或未交付使用的场所等；④配电房、保安室、收费室等具有法定专属用途的房屋等场所</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2.明确了与住所不相独立的具体情形。本次修订新增此项，明确</w:t>
      </w:r>
      <w:r>
        <w:rPr>
          <w:rFonts w:hint="eastAsia" w:ascii="仿宋_GB2312" w:hAnsi="仿宋_GB2312" w:eastAsia="仿宋_GB2312" w:cs="仿宋_GB2312"/>
          <w:b w:val="0"/>
          <w:bCs w:val="0"/>
          <w:color w:val="auto"/>
          <w:kern w:val="0"/>
          <w:sz w:val="32"/>
          <w:szCs w:val="32"/>
          <w:lang w:val="en-US" w:eastAsia="zh-CN"/>
        </w:rPr>
        <w:t>住宅公寓、住宅配套的仓库、储藏室、生活住所的车库、地下室等未对消费者全开放的场所</w:t>
      </w:r>
      <w:r>
        <w:rPr>
          <w:rFonts w:hint="eastAsia" w:ascii="仿宋_GB2312" w:hAnsi="仿宋_GB2312" w:eastAsia="仿宋_GB2312" w:cs="仿宋_GB2312"/>
          <w:color w:val="auto"/>
          <w:sz w:val="32"/>
          <w:szCs w:val="32"/>
        </w:rPr>
        <w:t>不予设置。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明确了经营场所基于安全因素的具体情形。</w:t>
      </w:r>
      <w:r>
        <w:rPr>
          <w:rFonts w:hint="eastAsia" w:ascii="仿宋_GB2312" w:hAnsi="仿宋_GB2312" w:eastAsia="仿宋_GB2312" w:cs="仿宋_GB2312"/>
          <w:color w:val="auto"/>
          <w:sz w:val="32"/>
          <w:szCs w:val="32"/>
        </w:rPr>
        <w:t>本次修订新增此项，</w:t>
      </w:r>
      <w:r>
        <w:rPr>
          <w:rFonts w:hint="eastAsia" w:ascii="仿宋_GB2312" w:hAnsi="仿宋_GB2312" w:eastAsia="仿宋_GB2312" w:cs="仿宋_GB2312"/>
          <w:color w:val="auto"/>
          <w:sz w:val="32"/>
          <w:szCs w:val="32"/>
          <w:lang w:eastAsia="zh-CN"/>
        </w:rPr>
        <w:t>明确</w:t>
      </w:r>
      <w:r>
        <w:rPr>
          <w:rFonts w:hint="eastAsia" w:ascii="仿宋_GB2312" w:hAnsi="仿宋_GB2312" w:eastAsia="仿宋_GB2312" w:cs="仿宋_GB2312"/>
          <w:b w:val="0"/>
          <w:color w:val="auto"/>
          <w:sz w:val="32"/>
          <w:highlight w:val="none"/>
          <w:lang w:val="en-US" w:eastAsia="zh-CN"/>
        </w:rPr>
        <w:t>生产、经营、储存有毒有害、易燃易爆、放射性、易挥发及具有刺激性气味等物品，容易造成烟草制品污染的油漆化工、农药化肥、烟花爆竹、机油制品等的场所（符合法定条件，具备安全保障措施的加油站、加气站便利店除外）</w:t>
      </w:r>
      <w:r>
        <w:rPr>
          <w:rFonts w:hint="eastAsia" w:ascii="仿宋_GB2312" w:hAnsi="仿宋_GB2312" w:eastAsia="仿宋_GB2312" w:cs="仿宋_GB2312"/>
          <w:color w:val="auto"/>
          <w:sz w:val="32"/>
          <w:szCs w:val="32"/>
        </w:rPr>
        <w:t>不予设置零售点。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.新增利用信息网络渠道销售烟草制品的禁止情形，与现行《规划》中的“利用自动售货形式”合并规定。</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.新增“未持有合法有效的营业执照”不予发证的情形。</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.新增主营业务与烟草制品零售业务没有直接或间接互补营销关系的业态类型。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（四）优化放宽情形（本规划第十三条、第十四条、第十五条）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本次修订依据最新政策要求将放宽情形分为</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种类型：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b w:val="0"/>
          <w:bCs w:val="0"/>
          <w:color w:val="auto"/>
          <w:kern w:val="0"/>
          <w:sz w:val="32"/>
          <w:szCs w:val="32"/>
          <w:lang w:val="en-US" w:eastAsia="zh-CN"/>
        </w:rPr>
        <w:t>不受零售点所在网格数量和间距限制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情形（第</w:t>
      </w:r>
      <w:r>
        <w:rPr>
          <w:rFonts w:hint="eastAsia" w:ascii="仿宋_GB2312" w:hAnsi="仿宋_GB2312" w:eastAsia="仿宋_GB2312" w:cs="仿宋_GB2312"/>
          <w:color w:val="auto"/>
          <w:sz w:val="32"/>
          <w:szCs w:val="32"/>
          <w:lang w:eastAsia="zh-CN"/>
        </w:rPr>
        <w:t>十二</w:t>
      </w:r>
      <w:r>
        <w:rPr>
          <w:rFonts w:hint="eastAsia" w:ascii="仿宋_GB2312" w:hAnsi="仿宋_GB2312" w:eastAsia="仿宋_GB2312" w:cs="仿宋_GB2312"/>
          <w:color w:val="auto"/>
          <w:sz w:val="32"/>
          <w:szCs w:val="32"/>
        </w:rPr>
        <w:t>条）：军烈属（含烈士遗属、因公牺牲军人遗属等）、残疾军人的个体工商户，以及符合警民共建等制度规定情形的，本人首次申请</w:t>
      </w:r>
      <w:r>
        <w:rPr>
          <w:rFonts w:hint="eastAsia" w:ascii="仿宋_GB2312" w:hAnsi="仿宋_GB2312" w:eastAsia="仿宋_GB2312" w:cs="仿宋_GB2312"/>
          <w:color w:val="auto"/>
          <w:sz w:val="32"/>
          <w:szCs w:val="32"/>
          <w:lang w:eastAsia="zh-CN"/>
        </w:rPr>
        <w:t>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color w:val="auto"/>
          <w:sz w:val="32"/>
          <w:highlight w:val="none"/>
          <w:lang w:val="en-US" w:eastAsia="zh-CN"/>
        </w:rPr>
        <w:t>数量上不予放宽，间距上放宽50%</w:t>
      </w:r>
      <w:r>
        <w:rPr>
          <w:rFonts w:hint="eastAsia" w:ascii="仿宋_GB2312" w:hAnsi="仿宋_GB2312" w:eastAsia="仿宋_GB2312" w:cs="仿宋_GB2312"/>
          <w:color w:val="auto"/>
          <w:sz w:val="32"/>
          <w:szCs w:val="32"/>
          <w:lang w:val="en-US" w:eastAsia="zh-CN"/>
        </w:rPr>
        <w:t>”的情形（第十三条）：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eastAsia="zh-CN"/>
        </w:rPr>
        <w:t>①</w:t>
      </w:r>
      <w:r>
        <w:rPr>
          <w:rFonts w:hint="eastAsia" w:ascii="仿宋_GB2312" w:hAnsi="仿宋_GB2312" w:eastAsia="仿宋_GB2312" w:cs="仿宋_GB2312"/>
          <w:b w:val="0"/>
          <w:bCs w:val="0"/>
          <w:color w:val="auto"/>
          <w:sz w:val="32"/>
          <w:szCs w:val="32"/>
          <w:highlight w:val="none"/>
          <w:lang w:val="en-US" w:eastAsia="zh-CN"/>
        </w:rPr>
        <w:t>持有三级以上（含三级）残疾人证（含视力残疾、听力残疾、言语残疾或肢体残疾）的</w:t>
      </w:r>
      <w:r>
        <w:rPr>
          <w:rFonts w:hint="eastAsia" w:ascii="仿宋_GB2312" w:hAnsi="仿宋_GB2312" w:eastAsia="仿宋_GB2312" w:cs="仿宋_GB2312"/>
          <w:b w:val="0"/>
          <w:bCs/>
          <w:color w:val="auto"/>
          <w:sz w:val="32"/>
          <w:szCs w:val="32"/>
          <w:highlight w:val="none"/>
          <w:lang w:val="en-US" w:eastAsia="zh-CN"/>
        </w:rPr>
        <w:t>个体工商户</w:t>
      </w:r>
      <w:r>
        <w:rPr>
          <w:rFonts w:hint="eastAsia" w:ascii="仿宋_GB2312" w:hAnsi="仿宋_GB2312" w:eastAsia="仿宋_GB2312" w:cs="仿宋_GB2312"/>
          <w:b w:val="0"/>
          <w:color w:val="auto"/>
          <w:sz w:val="32"/>
          <w:highlight w:val="none"/>
          <w:lang w:val="en-US" w:eastAsia="zh-CN"/>
        </w:rPr>
        <w:t>，</w:t>
      </w:r>
      <w:r>
        <w:rPr>
          <w:rFonts w:hint="eastAsia" w:ascii="仿宋_GB2312" w:hAnsi="仿宋_GB2312" w:eastAsia="仿宋_GB2312" w:cs="仿宋_GB2312"/>
          <w:b w:val="0"/>
          <w:bCs/>
          <w:color w:val="auto"/>
          <w:sz w:val="32"/>
          <w:szCs w:val="32"/>
          <w:highlight w:val="none"/>
          <w:lang w:val="en-US" w:eastAsia="zh-CN"/>
        </w:rPr>
        <w:t>本人首次</w:t>
      </w:r>
      <w:r>
        <w:rPr>
          <w:rFonts w:hint="eastAsia" w:ascii="仿宋_GB2312" w:hAnsi="仿宋_GB2312" w:eastAsia="仿宋_GB2312" w:cs="仿宋_GB2312"/>
          <w:b w:val="0"/>
          <w:bCs w:val="0"/>
          <w:color w:val="auto"/>
          <w:sz w:val="32"/>
          <w:szCs w:val="32"/>
          <w:highlight w:val="none"/>
          <w:lang w:val="en-US" w:eastAsia="zh-CN"/>
        </w:rPr>
        <w:t>申请办理烟草专卖零售许可证；</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eastAsia="zh-CN"/>
        </w:rPr>
        <w:t>②</w:t>
      </w:r>
      <w:r>
        <w:rPr>
          <w:rFonts w:hint="eastAsia" w:ascii="仿宋_GB2312" w:hAnsi="仿宋_GB2312" w:eastAsia="仿宋_GB2312" w:cs="仿宋_GB2312"/>
          <w:b w:val="0"/>
          <w:bCs w:val="0"/>
          <w:color w:val="auto"/>
          <w:sz w:val="32"/>
          <w:szCs w:val="32"/>
          <w:highlight w:val="none"/>
          <w:lang w:val="en-US" w:eastAsia="zh-CN"/>
        </w:rPr>
        <w:t>持有本市户籍且两年内未落实就业的退役军人，本人首次申请办理烟草专卖零售许可证；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eastAsia="zh-CN"/>
        </w:rPr>
        <w:t>③</w:t>
      </w:r>
      <w:r>
        <w:rPr>
          <w:rFonts w:hint="eastAsia" w:ascii="仿宋_GB2312" w:hAnsi="仿宋_GB2312" w:eastAsia="仿宋_GB2312" w:cs="仿宋_GB2312"/>
          <w:b w:val="0"/>
          <w:bCs/>
          <w:color w:val="auto"/>
          <w:sz w:val="32"/>
          <w:szCs w:val="32"/>
          <w:highlight w:val="none"/>
          <w:lang w:val="en-US" w:eastAsia="zh-CN"/>
        </w:rPr>
        <w:t>国家或当地政府明文规定给予政策扶持并经克拉玛依市独山子区烟草专卖局集体研究认为可以扶持照顾的对象，本人首次申请办理烟草专卖零售许可证。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shd w:val="clear" w:color="auto" w:fill="auto"/>
          <w:lang w:val="en-US" w:eastAsia="zh-CN"/>
        </w:rPr>
        <w:t>零售点数量上限可放宽50%，</w:t>
      </w:r>
      <w:r>
        <w:rPr>
          <w:rFonts w:hint="eastAsia" w:ascii="仿宋_GB2312" w:hAnsi="仿宋_GB2312" w:eastAsia="仿宋_GB2312" w:cs="仿宋_GB2312"/>
          <w:b w:val="0"/>
          <w:color w:val="auto"/>
          <w:sz w:val="32"/>
          <w:highlight w:val="none"/>
          <w:lang w:val="en-US" w:eastAsia="zh-CN"/>
        </w:rPr>
        <w:t>间距上放宽50%</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color w:val="auto"/>
          <w:sz w:val="32"/>
          <w:szCs w:val="32"/>
          <w:lang w:val="en-US" w:eastAsia="zh-CN"/>
        </w:rPr>
        <w:t>的情形（第十四条）：</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eastAsia="zh-CN"/>
        </w:rPr>
        <w:t>①</w:t>
      </w:r>
      <w:r>
        <w:rPr>
          <w:rFonts w:hint="eastAsia" w:ascii="仿宋_GB2312" w:hAnsi="仿宋_GB2312" w:eastAsia="仿宋_GB2312" w:cs="仿宋_GB2312"/>
          <w:b w:val="0"/>
          <w:bCs w:val="0"/>
          <w:color w:val="auto"/>
          <w:sz w:val="32"/>
          <w:szCs w:val="32"/>
          <w:highlight w:val="none"/>
          <w:lang w:val="en-US" w:eastAsia="zh-CN"/>
        </w:rPr>
        <w:t>在烟草专卖零售许可证有效期内因道路规划、城市建设、房屋征收等客观原因造成无法在核定的经营地址继续经营的零售点，持证人在6个月内申请变更到原发证机关辖区内其他地址经营的；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eastAsia="zh-CN"/>
        </w:rPr>
        <w:t>②</w:t>
      </w:r>
      <w:r>
        <w:rPr>
          <w:rFonts w:hint="eastAsia" w:ascii="仿宋_GB2312" w:hAnsi="仿宋_GB2312" w:eastAsia="仿宋_GB2312" w:cs="仿宋_GB2312"/>
          <w:b w:val="0"/>
          <w:bCs w:val="0"/>
          <w:color w:val="auto"/>
          <w:sz w:val="32"/>
          <w:szCs w:val="32"/>
          <w:highlight w:val="none"/>
          <w:lang w:val="en-US" w:eastAsia="zh-CN"/>
        </w:rPr>
        <w:t>因中小学、幼儿园新建、改造导致的先店后校、先店后门等情况，以及合理布局规划修订等客观原因造成中小学、幼儿园周边零售点不符合相关要求，持证人需在原发证机关辖区内变更经营地址或歇业一年内重新申领许可证的，仅限本人享受一次；</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eastAsia="zh-CN"/>
        </w:rPr>
        <w:t>③</w:t>
      </w:r>
      <w:r>
        <w:rPr>
          <w:rFonts w:hint="eastAsia" w:ascii="仿宋_GB2312" w:hAnsi="仿宋_GB2312" w:eastAsia="仿宋_GB2312" w:cs="仿宋_GB2312"/>
          <w:b w:val="0"/>
          <w:bCs w:val="0"/>
          <w:color w:val="auto"/>
          <w:sz w:val="32"/>
          <w:szCs w:val="32"/>
          <w:highlight w:val="none"/>
          <w:lang w:val="en-US" w:eastAsia="zh-CN"/>
        </w:rPr>
        <w:t>非家庭经营的持证个体工商户，两年内无涉烟违法记录，因持证人死亡或者丧失民事行为能力，烟草专卖零售许可证被依法注销后30个自然日内，原持证人的家庭成员（具有完全民事行为能力的配偶、父母或子女）在原经营场所提出新办申请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（五）新增雪茄烟专营店准入（本规划第九条）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本次修订新增雪茄烟专营店准入，为现行《规划》中未涉及的内容。本条规定雪茄烟专营店不划定市场单元、不受间距限制，采取数量限制模式，指导数原则上不超过上年度本辖区烟草制品零售点总数的千分之五。达到上限按“退一进一”办理。雪茄烟专营店与非雪茄烟专营店之间互不作为数量、间距参照物。</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CESI楷体-GB2312" w:hAnsi="CESI楷体-GB2312" w:eastAsia="CESI楷体-GB2312" w:cs="CESI楷体-GB2312"/>
          <w:b w:val="0"/>
          <w:bCs/>
          <w:color w:val="auto"/>
          <w:sz w:val="32"/>
          <w:szCs w:val="32"/>
          <w:lang w:val="en-US" w:eastAsia="zh-CN"/>
        </w:rPr>
      </w:pPr>
      <w:r>
        <w:rPr>
          <w:rFonts w:hint="eastAsia" w:ascii="CESI楷体-GB2312" w:hAnsi="CESI楷体-GB2312" w:eastAsia="CESI楷体-GB2312" w:cs="CESI楷体-GB2312"/>
          <w:b w:val="0"/>
          <w:bCs/>
          <w:color w:val="auto"/>
          <w:sz w:val="32"/>
          <w:szCs w:val="32"/>
          <w:lang w:val="en-US" w:eastAsia="zh-CN"/>
        </w:rPr>
        <w:t>（六）建立轮候管理制度（本规划第二十一条）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现行《规划》对网格内零售点数量达到上限后新申请如何处理未作明确规定。本次修订</w:t>
      </w:r>
      <w:r>
        <w:rPr>
          <w:rFonts w:hint="eastAsia" w:ascii="仿宋_GB2312" w:hAnsi="仿宋_GB2312" w:eastAsia="仿宋_GB2312" w:cs="仿宋_GB2312"/>
          <w:color w:val="auto"/>
          <w:sz w:val="32"/>
          <w:szCs w:val="32"/>
          <w:lang w:eastAsia="zh-CN"/>
        </w:rPr>
        <w:t>《规划》后，同步适用</w:t>
      </w:r>
      <w:r>
        <w:rPr>
          <w:rFonts w:hint="eastAsia" w:ascii="仿宋_GB2312" w:hAnsi="仿宋_GB2312" w:eastAsia="仿宋_GB2312" w:cs="仿宋_GB2312"/>
          <w:b w:val="0"/>
          <w:bCs w:val="0"/>
          <w:color w:val="auto"/>
          <w:kern w:val="0"/>
          <w:sz w:val="32"/>
          <w:szCs w:val="32"/>
          <w:lang w:val="en-US" w:eastAsia="zh-CN"/>
        </w:rPr>
        <w:t>《克拉玛依市烟草制品零售点轮候管理办法（试行）》，</w:t>
      </w:r>
      <w:r>
        <w:rPr>
          <w:rFonts w:hint="eastAsia" w:ascii="仿宋_GB2312" w:hAnsi="仿宋_GB2312" w:eastAsia="仿宋_GB2312" w:cs="仿宋_GB2312"/>
          <w:color w:val="auto"/>
          <w:sz w:val="32"/>
          <w:szCs w:val="32"/>
        </w:rPr>
        <w:t>新增轮候管理制度，明确轮候制度、资格管理和轮候要求，确保网格内零售点数量达到容量上限时，新增需求能够公平有序处理，避免无序抢号。</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克拉玛依市独山子区</w:t>
      </w:r>
      <w:r>
        <w:rPr>
          <w:rFonts w:hint="eastAsia" w:ascii="仿宋_GB2312" w:hAnsi="仿宋_GB2312" w:eastAsia="仿宋_GB2312" w:cs="仿宋_GB2312"/>
          <w:color w:val="auto"/>
          <w:sz w:val="32"/>
          <w:szCs w:val="32"/>
        </w:rPr>
        <w:t>烟草专卖局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2026年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rPr>
        <w:t>日</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color w:val="auto"/>
        </w:rPr>
      </w:pPr>
    </w:p>
    <w:sectPr>
      <w:headerReference r:id="rId3" w:type="default"/>
      <w:footerReference r:id="rId5" w:type="default"/>
      <w:headerReference r:id="rId4" w:type="even"/>
      <w:footerReference r:id="rId6" w:type="even"/>
      <w:pgSz w:w="11906" w:h="16838"/>
      <w:pgMar w:top="2098" w:right="1587" w:bottom="2098" w:left="1701"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ESI黑体-GB2312">
    <w:altName w:val="黑体"/>
    <w:panose1 w:val="02000500000000000000"/>
    <w:charset w:val="86"/>
    <w:family w:val="auto"/>
    <w:pitch w:val="default"/>
    <w:sig w:usb0="800002BF" w:usb1="184F6CF8" w:usb2="00000012" w:usb3="00000000" w:csb0="0004000F" w:csb1="00000000"/>
  </w:font>
  <w:font w:name="CESI楷体-GB2312">
    <w:altName w:val="楷体_GB2312"/>
    <w:panose1 w:val="02000500000000000000"/>
    <w:charset w:val="86"/>
    <w:family w:val="auto"/>
    <w:pitch w:val="default"/>
    <w:sig w:usb0="800002BF" w:usb1="184F6CF8" w:usb2="00000012"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8240;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D1CCf3PQIAAHkEAAAOAAAAAAAAAAEAIAAAACUBAABk&#10;cnMvZTJvRG9jLnhtbFBLBQYAAAAABgAGAFkBAADUBQAAAAA=&#10;">
              <v:fill on="f" focussize="0,0"/>
              <v:stroke on="f" weight="0.5pt"/>
              <v:imagedata o:title=""/>
              <o:lock v:ext="edit" aspectratio="f"/>
              <v:textbox inset="16pt,0mm,16pt,0mm" style="mso-fit-shape-to-text:t;">
                <w:txbxContent>
                  <w:p>
                    <w:pPr>
                      <w:pStyle w:val="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D1IrxOPQIAAHkEAAAOAAAAAAAAAAEAIAAAACUBAABk&#10;cnMvZTJvRG9jLnhtbFBLBQYAAAAABgAGAFkBAADUBQAAAAA=&#10;">
              <v:fill on="f" focussize="0,0"/>
              <v:stroke on="f" weight="0.5pt"/>
              <v:imagedata o:title=""/>
              <o:lock v:ext="edit" aspectratio="f"/>
              <v:textbox inset="16pt,0mm,16pt,0mm" style="mso-fit-shape-to-text:t;">
                <w:txbxContent>
                  <w:p>
                    <w:pPr>
                      <w:pStyle w:val="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BABD89"/>
    <w:rsid w:val="15ED92A6"/>
    <w:rsid w:val="2FFFB082"/>
    <w:rsid w:val="39DF19BC"/>
    <w:rsid w:val="3C5FA7F8"/>
    <w:rsid w:val="3CE2E4BE"/>
    <w:rsid w:val="3EFF3F0C"/>
    <w:rsid w:val="3FC9BC9A"/>
    <w:rsid w:val="3FFC77BA"/>
    <w:rsid w:val="4EEA8224"/>
    <w:rsid w:val="55BFE9B9"/>
    <w:rsid w:val="5F2FEC08"/>
    <w:rsid w:val="5FF5C40F"/>
    <w:rsid w:val="62FFEE26"/>
    <w:rsid w:val="67DE5D74"/>
    <w:rsid w:val="6DD7048C"/>
    <w:rsid w:val="71BE1742"/>
    <w:rsid w:val="753E612C"/>
    <w:rsid w:val="759FFAB6"/>
    <w:rsid w:val="7AE9386E"/>
    <w:rsid w:val="7B6BE8B8"/>
    <w:rsid w:val="7DF7AE53"/>
    <w:rsid w:val="7E3F7EE3"/>
    <w:rsid w:val="7F0F5B64"/>
    <w:rsid w:val="7FFFF528"/>
    <w:rsid w:val="A5FE412E"/>
    <w:rsid w:val="AAFF841E"/>
    <w:rsid w:val="AEFF8E48"/>
    <w:rsid w:val="AFBF60B7"/>
    <w:rsid w:val="B7F219F7"/>
    <w:rsid w:val="C6BFDF92"/>
    <w:rsid w:val="C9EFA23A"/>
    <w:rsid w:val="CD7515F9"/>
    <w:rsid w:val="D1FBDCB5"/>
    <w:rsid w:val="D57B3231"/>
    <w:rsid w:val="DD5F6AE5"/>
    <w:rsid w:val="DE69C905"/>
    <w:rsid w:val="DFD54E5D"/>
    <w:rsid w:val="E7F7181F"/>
    <w:rsid w:val="E85D8577"/>
    <w:rsid w:val="EBE52E3C"/>
    <w:rsid w:val="F6FFABE0"/>
    <w:rsid w:val="F7F8EC26"/>
    <w:rsid w:val="F99D2FBE"/>
    <w:rsid w:val="FB179A3F"/>
    <w:rsid w:val="FBBE9699"/>
    <w:rsid w:val="FBEBE829"/>
    <w:rsid w:val="FBFE3308"/>
    <w:rsid w:val="FCDF2691"/>
    <w:rsid w:val="FF2F5991"/>
    <w:rsid w:val="FFFD33C0"/>
    <w:rsid w:val="FFFE5867"/>
    <w:rsid w:val="FFFF2DA8"/>
    <w:rsid w:val="FFFF3B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2"/>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5">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paragraph" w:styleId="9">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2">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2026-08-09T10:52:15Z</dcterms:created>
  <dc:creator>kylin</dc:creator>
  <cp:lastModifiedBy>Administrator</cp:lastModifiedBy>
  <dcterms:modified xsi:type="dcterms:W3CDTF">2026-09-29T04:34:35Z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F37539999FE61BD064CCB46A78807BF5_43</vt:lpwstr>
  </property>
</Properties>
</file>