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仿宋" w:eastAsia="方正小标宋简体"/>
          <w:color w:val="auto"/>
          <w:sz w:val="44"/>
          <w:szCs w:val="44"/>
        </w:rPr>
      </w:pPr>
      <w:bookmarkStart w:id="0" w:name="_GoBack"/>
      <w:bookmarkEnd w:id="0"/>
      <w:r>
        <w:rPr>
          <w:rFonts w:hint="eastAsia" w:ascii="方正小标宋简体" w:hAnsi="仿宋" w:eastAsia="方正小标宋简体"/>
          <w:color w:val="auto"/>
          <w:sz w:val="44"/>
          <w:szCs w:val="44"/>
          <w:lang w:val="en-US" w:eastAsia="zh-CN"/>
        </w:rPr>
        <w:t>克拉玛依市独山子区</w:t>
      </w:r>
      <w:r>
        <w:rPr>
          <w:rFonts w:hint="eastAsia" w:ascii="方正小标宋简体" w:hAnsi="仿宋" w:eastAsia="方正小标宋简体"/>
          <w:color w:val="auto"/>
          <w:sz w:val="44"/>
          <w:szCs w:val="44"/>
        </w:rPr>
        <w:t>烟草制品零售点</w:t>
      </w:r>
    </w:p>
    <w:p>
      <w:pPr>
        <w:jc w:val="center"/>
        <w:rPr>
          <w:rFonts w:hint="eastAsia" w:ascii="方正小标宋简体" w:hAnsi="仿宋" w:eastAsia="方正小标宋简体"/>
          <w:color w:val="auto"/>
          <w:sz w:val="44"/>
          <w:szCs w:val="44"/>
        </w:rPr>
      </w:pPr>
      <w:r>
        <w:rPr>
          <w:rFonts w:hint="eastAsia" w:ascii="方正小标宋简体" w:hAnsi="仿宋" w:eastAsia="方正小标宋简体"/>
          <w:color w:val="auto"/>
          <w:sz w:val="44"/>
          <w:szCs w:val="44"/>
        </w:rPr>
        <w:t>合理布局规划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00" w:lineRule="atLeast"/>
        <w:ind w:left="0" w:right="0" w:firstLine="384"/>
        <w:jc w:val="center"/>
        <w:rPr>
          <w:rFonts w:hint="eastAsia" w:ascii="黑体" w:hAnsi="宋体" w:eastAsia="黑体" w:cs="黑体"/>
          <w:b w:val="0"/>
          <w:bCs w:val="0"/>
          <w:i w:val="0"/>
          <w:iCs w:val="0"/>
          <w:caps w:val="0"/>
          <w:color w:val="auto"/>
          <w:spacing w:val="0"/>
          <w:sz w:val="32"/>
          <w:szCs w:val="32"/>
          <w:shd w:val="clear" w:color="auto" w:fill="FFFFFF"/>
          <w:lang w:eastAsia="zh-CN"/>
        </w:rPr>
      </w:pPr>
      <w:r>
        <w:rPr>
          <w:rFonts w:hint="eastAsia" w:ascii="黑体" w:hAnsi="宋体" w:eastAsia="黑体" w:cs="黑体"/>
          <w:b w:val="0"/>
          <w:bCs w:val="0"/>
          <w:i w:val="0"/>
          <w:iCs w:val="0"/>
          <w:caps w:val="0"/>
          <w:color w:val="auto"/>
          <w:spacing w:val="0"/>
          <w:sz w:val="32"/>
          <w:szCs w:val="32"/>
          <w:shd w:val="clear" w:color="auto" w:fill="FFFFFF"/>
          <w:lang w:eastAsia="zh-CN"/>
        </w:rPr>
        <w:t>（草案）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00" w:lineRule="atLeast"/>
        <w:ind w:left="0" w:right="0" w:firstLine="384"/>
        <w:jc w:val="center"/>
        <w:rPr>
          <w:rFonts w:hint="eastAsia" w:ascii="黑体" w:hAnsi="宋体" w:eastAsia="黑体" w:cs="黑体"/>
          <w:b w:val="0"/>
          <w:bCs w:val="0"/>
          <w:i w:val="0"/>
          <w:iCs w:val="0"/>
          <w:caps w:val="0"/>
          <w:color w:val="auto"/>
          <w:spacing w:val="0"/>
          <w:sz w:val="32"/>
          <w:szCs w:val="32"/>
          <w:shd w:val="clear" w:color="auto"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00" w:lineRule="atLeast"/>
        <w:ind w:left="0" w:right="0" w:firstLine="384"/>
        <w:jc w:val="center"/>
        <w:rPr>
          <w:rFonts w:hint="eastAsia" w:ascii="方正小标宋简体" w:hAnsi="仿宋" w:eastAsia="方正小标宋简体"/>
          <w:color w:val="auto"/>
          <w:sz w:val="44"/>
          <w:szCs w:val="44"/>
        </w:rPr>
      </w:pPr>
      <w:r>
        <w:rPr>
          <w:rFonts w:hint="eastAsia" w:ascii="黑体" w:hAnsi="宋体" w:eastAsia="黑体" w:cs="黑体"/>
          <w:b w:val="0"/>
          <w:bCs w:val="0"/>
          <w:i w:val="0"/>
          <w:iCs w:val="0"/>
          <w:caps w:val="0"/>
          <w:color w:val="auto"/>
          <w:spacing w:val="0"/>
          <w:sz w:val="32"/>
          <w:szCs w:val="32"/>
          <w:shd w:val="clear" w:color="auto" w:fill="FFFFFF"/>
        </w:rPr>
        <w:t>第一章</w:t>
      </w:r>
      <w:r>
        <w:rPr>
          <w:rFonts w:hint="eastAsia" w:ascii="黑体" w:hAnsi="宋体" w:eastAsia="黑体" w:cs="黑体"/>
          <w:b w:val="0"/>
          <w:bCs w:val="0"/>
          <w:i w:val="0"/>
          <w:iCs w:val="0"/>
          <w:caps w:val="0"/>
          <w:color w:val="auto"/>
          <w:spacing w:val="0"/>
          <w:sz w:val="32"/>
          <w:szCs w:val="32"/>
          <w:shd w:val="clear" w:color="auto" w:fill="FFFFFF"/>
          <w:lang w:val="en-US" w:eastAsia="zh-CN"/>
        </w:rPr>
        <w:t xml:space="preserve"> </w:t>
      </w:r>
      <w:r>
        <w:rPr>
          <w:rFonts w:hint="eastAsia" w:ascii="黑体" w:hAnsi="宋体" w:eastAsia="黑体" w:cs="黑体"/>
          <w:b w:val="0"/>
          <w:bCs w:val="0"/>
          <w:i w:val="0"/>
          <w:iCs w:val="0"/>
          <w:caps w:val="0"/>
          <w:color w:val="auto"/>
          <w:spacing w:val="0"/>
          <w:sz w:val="32"/>
          <w:szCs w:val="32"/>
          <w:shd w:val="clear" w:color="auto" w:fill="FFFFFF"/>
        </w:rPr>
        <w:t>总则</w:t>
      </w:r>
    </w:p>
    <w:p>
      <w:pPr>
        <w:ind w:firstLine="640"/>
        <w:jc w:val="both"/>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b/>
          <w:bCs/>
          <w:color w:val="auto"/>
          <w:kern w:val="0"/>
          <w:sz w:val="32"/>
          <w:szCs w:val="32"/>
          <w:lang w:eastAsia="zh-CN"/>
        </w:rPr>
        <w:t>第一条</w:t>
      </w:r>
      <w:r>
        <w:rPr>
          <w:rFonts w:hint="eastAsia" w:ascii="仿宋_GB2312" w:hAnsi="仿宋_GB2312" w:eastAsia="仿宋_GB2312" w:cs="仿宋_GB2312"/>
          <w:color w:val="auto"/>
          <w:kern w:val="0"/>
          <w:sz w:val="32"/>
          <w:szCs w:val="32"/>
          <w:lang w:val="en-US" w:eastAsia="zh-CN"/>
        </w:rPr>
        <w:t xml:space="preserve"> </w:t>
      </w:r>
      <w:r>
        <w:rPr>
          <w:rFonts w:hint="eastAsia" w:ascii="仿宋_GB2312" w:hAnsi="仿宋_GB2312" w:eastAsia="仿宋_GB2312" w:cs="仿宋_GB2312"/>
          <w:color w:val="auto"/>
          <w:sz w:val="32"/>
          <w:szCs w:val="32"/>
          <w:lang w:val="en-US" w:eastAsia="zh-CN"/>
        </w:rPr>
        <w:t>为加强烟草专卖零售许可证的管理，合理配置烟草制品零售市场资源，规范市场秩序，根据《中华人民共和国行政许可法》《中华人民共和国未成年人保护法》《中华人民共和国烟草专卖法》《中华人民共和国烟草专卖法实施条例》《烟草专卖许可证管理办法》及《烟草专卖许可证管理办法实施细则》等法律法规、规章和规范性文件，结合本辖区实际，制订本规划。</w:t>
      </w:r>
    </w:p>
    <w:p>
      <w:pPr>
        <w:ind w:firstLine="640"/>
        <w:jc w:val="both"/>
        <w:rPr>
          <w:rFonts w:hint="eastAsia" w:ascii="仿宋_GB2312" w:hAnsi="仿宋_GB2312" w:eastAsia="仿宋_GB2312" w:cs="仿宋_GB2312"/>
          <w:b/>
          <w:bCs/>
          <w:color w:val="auto"/>
          <w:kern w:val="0"/>
          <w:sz w:val="32"/>
          <w:szCs w:val="32"/>
          <w:lang w:eastAsia="zh-CN"/>
        </w:rPr>
      </w:pPr>
      <w:r>
        <w:rPr>
          <w:rFonts w:hint="eastAsia" w:ascii="仿宋_GB2312" w:hAnsi="仿宋_GB2312" w:eastAsia="仿宋_GB2312" w:cs="仿宋_GB2312"/>
          <w:b/>
          <w:bCs/>
          <w:color w:val="auto"/>
          <w:kern w:val="0"/>
          <w:sz w:val="32"/>
          <w:szCs w:val="32"/>
          <w:lang w:eastAsia="zh-CN"/>
        </w:rPr>
        <w:t>第二条</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b w:val="0"/>
          <w:bCs w:val="0"/>
          <w:color w:val="auto"/>
          <w:kern w:val="0"/>
          <w:sz w:val="32"/>
          <w:szCs w:val="32"/>
          <w:lang w:val="en-US" w:eastAsia="zh-CN"/>
        </w:rPr>
        <w:t>本规划适用于克拉玛依市独山子区</w:t>
      </w:r>
      <w:r>
        <w:rPr>
          <w:rFonts w:hint="eastAsia" w:ascii="仿宋_GB2312" w:eastAsia="仿宋_GB2312"/>
          <w:color w:val="auto"/>
          <w:sz w:val="32"/>
          <w:szCs w:val="32"/>
          <w:highlight w:val="none"/>
        </w:rPr>
        <w:t>全域及</w:t>
      </w:r>
      <w:r>
        <w:rPr>
          <w:rFonts w:hint="eastAsia" w:ascii="仿宋_GB2312" w:eastAsia="仿宋_GB2312"/>
          <w:color w:val="auto"/>
          <w:sz w:val="32"/>
          <w:szCs w:val="32"/>
          <w:highlight w:val="none"/>
          <w:lang w:eastAsia="zh-CN"/>
        </w:rPr>
        <w:t>第七师胡杨河市</w:t>
      </w:r>
      <w:r>
        <w:rPr>
          <w:rFonts w:hint="eastAsia" w:ascii="仿宋_GB2312" w:eastAsia="仿宋_GB2312"/>
          <w:color w:val="auto"/>
          <w:sz w:val="32"/>
          <w:szCs w:val="32"/>
          <w:highlight w:val="none"/>
        </w:rPr>
        <w:t>纳入属地协同管理的部分区域</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辖区相关团场</w:t>
      </w:r>
      <w:r>
        <w:rPr>
          <w:rFonts w:hint="eastAsia" w:ascii="仿宋_GB2312" w:eastAsia="仿宋_GB2312"/>
          <w:color w:val="auto"/>
          <w:sz w:val="32"/>
          <w:szCs w:val="32"/>
          <w:highlight w:val="none"/>
          <w:lang w:val="en-US" w:eastAsia="zh-CN"/>
        </w:rPr>
        <w:t>连队</w:t>
      </w:r>
      <w:r>
        <w:rPr>
          <w:rFonts w:hint="eastAsia" w:ascii="仿宋_GB2312" w:hAnsi="仿宋_GB2312" w:eastAsia="仿宋_GB2312" w:cs="仿宋_GB2312"/>
          <w:b w:val="0"/>
          <w:bCs w:val="0"/>
          <w:color w:val="auto"/>
          <w:kern w:val="0"/>
          <w:sz w:val="32"/>
          <w:szCs w:val="32"/>
          <w:lang w:val="en-US" w:eastAsia="zh-CN"/>
        </w:rPr>
        <w:t>内烟草制品零售点的布局管理。</w:t>
      </w:r>
      <w:r>
        <w:rPr>
          <w:rFonts w:hint="eastAsia" w:ascii="仿宋_GB2312" w:hAnsi="仿宋_GB2312" w:eastAsia="仿宋_GB2312" w:cs="仿宋_GB2312"/>
          <w:color w:val="auto"/>
          <w:sz w:val="32"/>
          <w:szCs w:val="32"/>
          <w:lang w:val="en-US" w:eastAsia="zh-CN"/>
        </w:rPr>
        <w:t>电子烟零售点布局按照《新疆维吾尔自治区电子烟零售点布局规划》执行。</w:t>
      </w:r>
    </w:p>
    <w:p>
      <w:pPr>
        <w:ind w:firstLine="640"/>
        <w:jc w:val="both"/>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b/>
          <w:bCs/>
          <w:color w:val="auto"/>
          <w:kern w:val="0"/>
          <w:sz w:val="32"/>
          <w:szCs w:val="32"/>
          <w:lang w:eastAsia="zh-CN"/>
        </w:rPr>
        <w:t>第三条</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b w:val="0"/>
          <w:bCs w:val="0"/>
          <w:color w:val="auto"/>
          <w:kern w:val="0"/>
          <w:sz w:val="32"/>
          <w:szCs w:val="32"/>
          <w:lang w:val="en-US" w:eastAsia="zh-CN"/>
        </w:rPr>
        <w:t>本</w:t>
      </w:r>
      <w:r>
        <w:rPr>
          <w:rFonts w:hint="eastAsia" w:ascii="仿宋_GB2312" w:hAnsi="仿宋_GB2312" w:eastAsia="仿宋_GB2312" w:cs="仿宋_GB2312"/>
          <w:color w:val="auto"/>
          <w:kern w:val="0"/>
          <w:sz w:val="32"/>
          <w:szCs w:val="32"/>
          <w:lang w:val="en-US" w:eastAsia="zh-CN"/>
        </w:rPr>
        <w:t>规划遵循依法行政、科学规划、服务社会、均衡发展的原则。</w:t>
      </w:r>
    </w:p>
    <w:p>
      <w:pPr>
        <w:ind w:firstLine="643" w:firstLineChars="200"/>
        <w:rPr>
          <w:rFonts w:hint="default" w:ascii="仿宋_GB2312" w:hAnsi="仿宋_GB2312" w:eastAsia="仿宋_GB2312" w:cs="仿宋_GB2312"/>
          <w:b/>
          <w:bCs/>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第四条</w:t>
      </w:r>
      <w:r>
        <w:rPr>
          <w:rFonts w:hint="default" w:ascii="仿宋_GB2312" w:hAnsi="仿宋_GB2312" w:eastAsia="仿宋_GB2312" w:cs="仿宋_GB2312"/>
          <w:b/>
          <w:bCs/>
          <w:color w:val="auto"/>
          <w:kern w:val="0"/>
          <w:sz w:val="32"/>
          <w:szCs w:val="32"/>
          <w:lang w:val="en-US" w:eastAsia="zh-CN"/>
        </w:rPr>
        <w:t xml:space="preserve"> </w:t>
      </w:r>
      <w:r>
        <w:rPr>
          <w:rFonts w:hint="default" w:ascii="仿宋_GB2312" w:hAnsi="仿宋_GB2312" w:eastAsia="仿宋_GB2312" w:cs="仿宋_GB2312"/>
          <w:b w:val="0"/>
          <w:bCs w:val="0"/>
          <w:color w:val="auto"/>
          <w:kern w:val="0"/>
          <w:sz w:val="32"/>
          <w:szCs w:val="32"/>
          <w:lang w:val="en-US" w:eastAsia="zh-CN"/>
        </w:rPr>
        <w:t>本</w:t>
      </w:r>
      <w:r>
        <w:rPr>
          <w:rFonts w:hint="eastAsia" w:ascii="仿宋_GB2312" w:hAnsi="仿宋_GB2312" w:eastAsia="仿宋_GB2312" w:cs="仿宋_GB2312"/>
          <w:b w:val="0"/>
          <w:bCs w:val="0"/>
          <w:color w:val="auto"/>
          <w:kern w:val="0"/>
          <w:sz w:val="32"/>
          <w:szCs w:val="32"/>
          <w:lang w:val="en-US" w:eastAsia="zh-CN"/>
        </w:rPr>
        <w:t>规划</w:t>
      </w:r>
      <w:r>
        <w:rPr>
          <w:rFonts w:hint="default" w:ascii="仿宋_GB2312" w:hAnsi="仿宋_GB2312" w:eastAsia="仿宋_GB2312" w:cs="仿宋_GB2312"/>
          <w:color w:val="auto"/>
          <w:kern w:val="0"/>
          <w:sz w:val="32"/>
          <w:szCs w:val="32"/>
          <w:lang w:val="en-US" w:eastAsia="zh-CN"/>
        </w:rPr>
        <w:t>所称零售点</w:t>
      </w:r>
      <w:r>
        <w:rPr>
          <w:rFonts w:hint="eastAsia" w:ascii="仿宋_GB2312" w:hAnsi="仿宋_GB2312" w:eastAsia="仿宋_GB2312" w:cs="仿宋_GB2312"/>
          <w:color w:val="auto"/>
          <w:sz w:val="32"/>
          <w:szCs w:val="32"/>
          <w:lang w:val="en-US" w:eastAsia="zh-CN"/>
        </w:rPr>
        <w:t>是指依法取得烟草专卖零售许可证从事烟草制品零售业务的公民、法人及其他组织开展烟草制品零售业务的经营场所。</w:t>
      </w:r>
    </w:p>
    <w:p>
      <w:pPr>
        <w:ind w:firstLine="640"/>
        <w:jc w:val="both"/>
        <w:rPr>
          <w:rFonts w:hint="default" w:ascii="仿宋_GB2312" w:hAnsi="仿宋_GB2312" w:eastAsia="仿宋_GB2312" w:cs="仿宋_GB2312"/>
          <w:b/>
          <w:bCs/>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 xml:space="preserve">第五条 </w:t>
      </w:r>
      <w:r>
        <w:rPr>
          <w:rFonts w:hint="eastAsia" w:ascii="仿宋_GB2312" w:hAnsi="仿宋_GB2312" w:eastAsia="仿宋_GB2312" w:cs="仿宋_GB2312"/>
          <w:color w:val="auto"/>
          <w:sz w:val="32"/>
          <w:szCs w:val="32"/>
          <w:lang w:val="en-US" w:eastAsia="zh-CN"/>
        </w:rPr>
        <w:t>申请的</w:t>
      </w:r>
      <w:r>
        <w:rPr>
          <w:rFonts w:hint="eastAsia" w:ascii="仿宋_GB2312" w:hAnsi="仿宋_GB2312" w:eastAsia="仿宋_GB2312" w:cs="仿宋_GB2312"/>
          <w:b w:val="0"/>
          <w:bCs w:val="0"/>
          <w:color w:val="auto"/>
          <w:kern w:val="0"/>
          <w:sz w:val="32"/>
          <w:szCs w:val="32"/>
          <w:lang w:val="en-US" w:eastAsia="zh-CN"/>
        </w:rPr>
        <w:t>许可范围为“卷烟本店零售、雪茄烟本店零售”的，适用普通零售点布局标准；许可范围仅为“雪茄烟本店零售”的，适用雪茄烟专营零售点布局标准。</w:t>
      </w:r>
      <w:r>
        <w:rPr>
          <w:rFonts w:hint="default" w:ascii="仿宋_GB2312" w:hAnsi="仿宋_GB2312" w:eastAsia="仿宋_GB2312" w:cs="仿宋_GB2312"/>
          <w:b w:val="0"/>
          <w:bCs w:val="0"/>
          <w:color w:val="auto"/>
          <w:kern w:val="0"/>
          <w:sz w:val="32"/>
          <w:szCs w:val="32"/>
          <w:lang w:val="en-US" w:eastAsia="zh-CN"/>
        </w:rPr>
        <w:t>普通零售点</w:t>
      </w:r>
      <w:r>
        <w:rPr>
          <w:rFonts w:hint="eastAsia" w:ascii="仿宋_GB2312" w:hAnsi="仿宋_GB2312" w:eastAsia="仿宋_GB2312" w:cs="仿宋_GB2312"/>
          <w:b w:val="0"/>
          <w:bCs w:val="0"/>
          <w:color w:val="auto"/>
          <w:kern w:val="0"/>
          <w:sz w:val="32"/>
          <w:szCs w:val="32"/>
          <w:lang w:val="en-US" w:eastAsia="zh-CN"/>
        </w:rPr>
        <w:t>、</w:t>
      </w:r>
      <w:r>
        <w:rPr>
          <w:rFonts w:hint="default" w:ascii="仿宋_GB2312" w:hAnsi="仿宋_GB2312" w:eastAsia="仿宋_GB2312" w:cs="仿宋_GB2312"/>
          <w:b w:val="0"/>
          <w:bCs w:val="0"/>
          <w:color w:val="auto"/>
          <w:kern w:val="0"/>
          <w:sz w:val="32"/>
          <w:szCs w:val="32"/>
          <w:lang w:val="en-US" w:eastAsia="zh-CN"/>
        </w:rPr>
        <w:t>雪茄烟专营零售点、电子烟产品零售点，互不作为距离参照点，在总量控制区域内分开独立计算；零售点变更或增加许可范围的，应符合相应的合理布局规划，且同一地址只能持有一个烟草专卖零售许可证。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00" w:lineRule="atLeast"/>
        <w:ind w:left="0" w:right="0" w:firstLine="384"/>
        <w:jc w:val="center"/>
        <w:rPr>
          <w:rFonts w:hint="eastAsia" w:ascii="黑体" w:hAnsi="宋体" w:eastAsia="黑体" w:cs="黑体"/>
          <w:b w:val="0"/>
          <w:bCs w:val="0"/>
          <w:i w:val="0"/>
          <w:iCs w:val="0"/>
          <w:caps w:val="0"/>
          <w:color w:val="auto"/>
          <w:spacing w:val="0"/>
          <w:sz w:val="32"/>
          <w:szCs w:val="32"/>
          <w:shd w:val="clear" w:color="auto"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00" w:lineRule="atLeast"/>
        <w:ind w:left="0" w:right="0" w:firstLine="384"/>
        <w:jc w:val="center"/>
        <w:rPr>
          <w:rFonts w:hint="eastAsia" w:ascii="等线" w:hAnsi="等线" w:eastAsia="等线" w:cs="等线"/>
          <w:i w:val="0"/>
          <w:iCs w:val="0"/>
          <w:caps w:val="0"/>
          <w:color w:val="auto"/>
          <w:spacing w:val="0"/>
          <w:sz w:val="24"/>
          <w:szCs w:val="24"/>
        </w:rPr>
      </w:pPr>
      <w:r>
        <w:rPr>
          <w:rFonts w:hint="eastAsia" w:ascii="黑体" w:hAnsi="宋体" w:eastAsia="黑体" w:cs="黑体"/>
          <w:b w:val="0"/>
          <w:bCs w:val="0"/>
          <w:i w:val="0"/>
          <w:iCs w:val="0"/>
          <w:caps w:val="0"/>
          <w:color w:val="auto"/>
          <w:spacing w:val="0"/>
          <w:sz w:val="32"/>
          <w:szCs w:val="32"/>
          <w:shd w:val="clear" w:color="auto" w:fill="FFFFFF"/>
        </w:rPr>
        <w:t>第二章</w:t>
      </w:r>
      <w:r>
        <w:rPr>
          <w:rFonts w:hint="eastAsia" w:ascii="黑体" w:hAnsi="宋体" w:eastAsia="黑体" w:cs="黑体"/>
          <w:b w:val="0"/>
          <w:bCs w:val="0"/>
          <w:i w:val="0"/>
          <w:iCs w:val="0"/>
          <w:caps w:val="0"/>
          <w:color w:val="auto"/>
          <w:spacing w:val="0"/>
          <w:sz w:val="32"/>
          <w:szCs w:val="32"/>
          <w:shd w:val="clear" w:color="auto" w:fill="FFFFFF"/>
          <w:lang w:val="en-US" w:eastAsia="zh-CN"/>
        </w:rPr>
        <w:t xml:space="preserve"> </w:t>
      </w:r>
      <w:r>
        <w:rPr>
          <w:rFonts w:hint="eastAsia" w:ascii="黑体" w:hAnsi="宋体" w:eastAsia="黑体" w:cs="黑体"/>
          <w:b w:val="0"/>
          <w:bCs w:val="0"/>
          <w:i w:val="0"/>
          <w:iCs w:val="0"/>
          <w:caps w:val="0"/>
          <w:color w:val="auto"/>
          <w:spacing w:val="0"/>
          <w:sz w:val="32"/>
          <w:szCs w:val="32"/>
          <w:shd w:val="clear" w:color="auto" w:fill="FFFFFF"/>
        </w:rPr>
        <w:t>普通零售点布局标准</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 xml:space="preserve">第六条 </w:t>
      </w:r>
      <w:r>
        <w:rPr>
          <w:rFonts w:hint="eastAsia" w:ascii="仿宋_GB2312" w:hAnsi="仿宋_GB2312" w:eastAsia="仿宋_GB2312" w:cs="仿宋_GB2312"/>
          <w:b w:val="0"/>
          <w:bCs w:val="0"/>
          <w:color w:val="auto"/>
          <w:kern w:val="0"/>
          <w:sz w:val="32"/>
          <w:szCs w:val="32"/>
          <w:lang w:val="en-US" w:eastAsia="zh-CN"/>
        </w:rPr>
        <w:t>为了合理满足消费需求，防止无序过度竞争，本辖区烟草制品零售点布局</w:t>
      </w:r>
      <w:r>
        <w:rPr>
          <w:rFonts w:hint="eastAsia" w:ascii="仿宋_GB2312" w:hAnsi="仿宋_GB2312" w:eastAsia="仿宋_GB2312" w:cs="仿宋_GB2312"/>
          <w:color w:val="auto"/>
          <w:sz w:val="32"/>
          <w:szCs w:val="32"/>
          <w:lang w:val="en-US" w:eastAsia="zh-CN"/>
        </w:rPr>
        <w:t>以较为稳定、相对独立的区域作为市场单元，市场单元为最终合理布局规划实施单元，</w:t>
      </w:r>
      <w:r>
        <w:rPr>
          <w:rFonts w:hint="eastAsia" w:ascii="仿宋_GB2312" w:hAnsi="仿宋_GB2312" w:eastAsia="仿宋_GB2312" w:cs="仿宋_GB2312"/>
          <w:b w:val="0"/>
          <w:bCs w:val="0"/>
          <w:color w:val="auto"/>
          <w:kern w:val="0"/>
          <w:sz w:val="32"/>
          <w:szCs w:val="32"/>
          <w:lang w:val="en-US" w:eastAsia="zh-CN"/>
        </w:rPr>
        <w:t>组合运用“容量+间距+限制性条款”的管理模式及放宽政策等要素合理确定布局规划标准。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 xml:space="preserve">第七条 </w:t>
      </w:r>
      <w:r>
        <w:rPr>
          <w:rFonts w:hint="eastAsia" w:ascii="仿宋_GB2312" w:hAnsi="仿宋_GB2312" w:eastAsia="仿宋_GB2312" w:cs="仿宋_GB2312"/>
          <w:b w:val="0"/>
          <w:bCs w:val="0"/>
          <w:color w:val="auto"/>
          <w:kern w:val="0"/>
          <w:sz w:val="32"/>
          <w:szCs w:val="32"/>
          <w:lang w:val="en-US" w:eastAsia="zh-CN"/>
        </w:rPr>
        <w:t>本规划所称容量，指基于市场单元内人口数量、消费需求、经济发展水平等关键因素，科学测算得出的烟草制品零售点合理数量上限，</w:t>
      </w:r>
      <w:r>
        <w:rPr>
          <w:rFonts w:hint="eastAsia" w:ascii="仿宋_GB2312" w:hAnsi="仿宋_GB2312" w:eastAsia="仿宋_GB2312" w:cs="仿宋_GB2312"/>
          <w:b w:val="0"/>
          <w:color w:val="auto"/>
          <w:sz w:val="32"/>
          <w:highlight w:val="none"/>
          <w:lang w:val="en-US" w:eastAsia="zh-CN"/>
        </w:rPr>
        <w:t>根据不同市场单元实际情况，建立“饱和区、稳定区、发展区”三位一体的分区分类管控体系，实施精细化管理。</w:t>
      </w:r>
    </w:p>
    <w:p>
      <w:pPr>
        <w:ind w:firstLine="643" w:firstLineChars="200"/>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（一）饱和区。</w:t>
      </w:r>
      <w:r>
        <w:rPr>
          <w:rFonts w:hint="eastAsia" w:ascii="仿宋_GB2312" w:hAnsi="仿宋_GB2312" w:eastAsia="仿宋_GB2312" w:cs="仿宋_GB2312"/>
          <w:b w:val="0"/>
          <w:bCs w:val="0"/>
          <w:color w:val="auto"/>
          <w:kern w:val="0"/>
          <w:sz w:val="32"/>
          <w:szCs w:val="32"/>
          <w:lang w:val="en-US" w:eastAsia="zh-CN"/>
        </w:rPr>
        <w:t>零售点数量达到或超过合理容量上限的市场单元，按照“只退不增”原则优化零售点布局（放宽情形除外），直至该市场单元状态变为稳定状态或发展状态。</w:t>
      </w:r>
    </w:p>
    <w:p>
      <w:pPr>
        <w:ind w:firstLine="643" w:firstLineChars="200"/>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（二）稳定区。</w:t>
      </w:r>
      <w:r>
        <w:rPr>
          <w:rFonts w:hint="eastAsia" w:ascii="仿宋_GB2312" w:hAnsi="仿宋_GB2312" w:eastAsia="仿宋_GB2312" w:cs="仿宋_GB2312"/>
          <w:b w:val="0"/>
          <w:bCs w:val="0"/>
          <w:color w:val="auto"/>
          <w:kern w:val="0"/>
          <w:sz w:val="32"/>
          <w:szCs w:val="32"/>
          <w:lang w:val="en-US" w:eastAsia="zh-CN"/>
        </w:rPr>
        <w:t>零售点数量接近合理容量上限的市场单元，根据“退一进一”原则设置零售点（放宽情形除外）。</w:t>
      </w:r>
    </w:p>
    <w:p>
      <w:pPr>
        <w:ind w:firstLine="643" w:firstLineChars="200"/>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（三）发展区。</w:t>
      </w:r>
      <w:r>
        <w:rPr>
          <w:rFonts w:hint="eastAsia" w:ascii="仿宋_GB2312" w:hAnsi="仿宋_GB2312" w:eastAsia="仿宋_GB2312" w:cs="仿宋_GB2312"/>
          <w:b w:val="0"/>
          <w:bCs w:val="0"/>
          <w:color w:val="auto"/>
          <w:kern w:val="0"/>
          <w:sz w:val="32"/>
          <w:szCs w:val="32"/>
          <w:lang w:val="en-US" w:eastAsia="zh-CN"/>
        </w:rPr>
        <w:t>零售点数量未达到合理容量上限的市场单元，根据“自然增长”原则设置零售点，不得超过公布周期内新增零售点指导数，直至该市场单元状态变为饱和状态。</w:t>
      </w:r>
    </w:p>
    <w:p>
      <w:pPr>
        <w:ind w:firstLine="643"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kern w:val="0"/>
          <w:sz w:val="32"/>
          <w:szCs w:val="32"/>
          <w:lang w:val="en-US" w:eastAsia="zh-CN"/>
        </w:rPr>
        <w:t xml:space="preserve">第八条 </w:t>
      </w:r>
      <w:r>
        <w:rPr>
          <w:rFonts w:hint="eastAsia" w:ascii="仿宋_GB2312" w:hAnsi="仿宋_GB2312" w:eastAsia="仿宋_GB2312" w:cs="仿宋_GB2312"/>
          <w:color w:val="auto"/>
          <w:sz w:val="32"/>
          <w:szCs w:val="32"/>
          <w:lang w:val="en-US" w:eastAsia="zh-CN"/>
        </w:rPr>
        <w:t>按照社会功能属性、经济发展状况和消费环境分为社区市场单元、行政（自然）村（连队）市场单元、特殊区域市场单元，对不同市场单元采用不同布局标准。</w:t>
      </w:r>
    </w:p>
    <w:p>
      <w:pPr>
        <w:ind w:firstLine="643" w:firstLineChars="200"/>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（一）社区市场单元</w:t>
      </w:r>
    </w:p>
    <w:p>
      <w:pPr>
        <w:ind w:firstLine="640" w:firstLineChars="200"/>
        <w:rPr>
          <w:rFonts w:hint="default"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社区市场单元指由县级及以上人民政府部门依据法定标准以居民委员会实际管辖区域为基础划定的区域。城乡结合部、乡（镇）政府驻地、行政（自然）村（连队）等区域，经属地街道办事处或乡镇人民政府认定属于社区服务管理体系的，纳入社区市场单元管理，采取</w:t>
      </w:r>
      <w:r>
        <w:rPr>
          <w:rFonts w:hint="eastAsia" w:ascii="仿宋_GB2312" w:hAnsi="仿宋_GB2312" w:eastAsia="仿宋_GB2312" w:cs="仿宋_GB2312"/>
          <w:b w:val="0"/>
          <w:bCs w:val="0"/>
          <w:color w:val="auto"/>
          <w:kern w:val="0"/>
          <w:sz w:val="32"/>
          <w:szCs w:val="32"/>
          <w:lang w:val="en-US" w:eastAsia="zh-CN"/>
        </w:rPr>
        <w:t>“容量+间距+限制性条款”管理模式，零售点间隔距离不少于20米。</w:t>
      </w:r>
    </w:p>
    <w:p>
      <w:pPr>
        <w:ind w:firstLine="643" w:firstLineChars="200"/>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（二）行政（自然）村（连队）市场单元</w:t>
      </w:r>
    </w:p>
    <w:p>
      <w:pPr>
        <w:ind w:firstLine="640" w:firstLineChars="200"/>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行政（自然）村（连队）市场单元指依据县级人民政府部门依法划定的村民委员会法定管辖区域，或经属地乡镇人民政府确认并纳入统一管理的自然村落区域，采取</w:t>
      </w:r>
      <w:r>
        <w:rPr>
          <w:rFonts w:hint="eastAsia" w:ascii="仿宋_GB2312" w:hAnsi="仿宋_GB2312" w:eastAsia="仿宋_GB2312" w:cs="仿宋_GB2312"/>
          <w:b w:val="0"/>
          <w:bCs w:val="0"/>
          <w:color w:val="auto"/>
          <w:kern w:val="0"/>
          <w:sz w:val="32"/>
          <w:szCs w:val="32"/>
          <w:lang w:val="en-US" w:eastAsia="zh-CN"/>
        </w:rPr>
        <w:t>“容量+间距+限制性条款”管理模式，零售点间隔距离不少于20米。</w:t>
      </w:r>
    </w:p>
    <w:p>
      <w:pPr>
        <w:numPr>
          <w:ilvl w:val="0"/>
          <w:numId w:val="1"/>
        </w:numPr>
        <w:ind w:left="-12" w:leftChars="0" w:firstLine="642" w:firstLineChars="0"/>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特殊区域市场单元</w:t>
      </w:r>
    </w:p>
    <w:p>
      <w:pPr>
        <w:ind w:firstLine="640" w:firstLineChars="200"/>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1.以集中交易商品为主的各类集贸市场(主要指消费品市场，如农副产品市场、工业品市场、综合市场、建材市场、物流园区等)，同一集贸区网格内，每30户固定门店设置1个零售点。固定门店数不满30户的，可设置1个零售点；固定门店数在30户以上，不满60户的，可设置不超过2个零售点；固定门店数在60户以上的，每增加30户增设1个零售点，网格内零售点间距不少于20米；</w:t>
      </w:r>
    </w:p>
    <w:p>
      <w:pPr>
        <w:ind w:firstLine="640" w:firstLineChars="200"/>
        <w:rPr>
          <w:rFonts w:hint="eastAsia" w:ascii="仿宋" w:hAnsi="仿宋" w:eastAsia="仿宋"/>
          <w:color w:val="auto"/>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2.独立工矿区、新建建筑工地、封闭式生产制造企业内新设零售点的，每个企业、工矿区（或项目部）设置1个零售点，独立于企业、工矿区（或项目部）的员工生活小区设置2个零售点，新设零售点不受同区域内其他零售点间距限制；</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 xml:space="preserve">3.机场以航站楼为规模标准，一个航站楼设置2个零售点；火车站、汽车站隶属经营的内、外经营场所，设置2个零售点； </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4.提供问询、餐饮、日杂商品等服务的游客服务中心、房车营地、康养中心等区域，同一区域内设置1个零售点；</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5.包含酒店、餐饮、休闲、购物、娱乐等为一体，满足消费多样化的游客集散中心，按固定门店数10%的比例设置零售点，不足10户的，设置1个零售点，网格内零售点间距不少于20米；</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6.</w:t>
      </w:r>
      <w:r>
        <w:rPr>
          <w:rFonts w:hint="eastAsia" w:ascii="仿宋_GB2312" w:hAnsi="仿宋_GB2312" w:eastAsia="仿宋_GB2312" w:cs="仿宋_GB2312"/>
          <w:b w:val="0"/>
          <w:color w:val="auto"/>
          <w:sz w:val="32"/>
          <w:szCs w:val="32"/>
          <w:highlight w:val="none"/>
          <w:lang w:val="en-US" w:eastAsia="zh-CN"/>
        </w:rPr>
        <w:t>高速公路服务区内（单侧）的经营场所</w:t>
      </w:r>
      <w:r>
        <w:rPr>
          <w:rFonts w:hint="eastAsia" w:ascii="仿宋_GB2312" w:hAnsi="仿宋_GB2312" w:eastAsia="仿宋_GB2312" w:cs="仿宋_GB2312"/>
          <w:b w:val="0"/>
          <w:bCs w:val="0"/>
          <w:color w:val="auto"/>
          <w:kern w:val="0"/>
          <w:sz w:val="32"/>
          <w:szCs w:val="32"/>
          <w:lang w:val="en-US" w:eastAsia="zh-CN"/>
        </w:rPr>
        <w:t>设置2个零售点（含服务区内加油站）；</w:t>
      </w:r>
    </w:p>
    <w:p>
      <w:pPr>
        <w:ind w:firstLine="640"/>
        <w:jc w:val="both"/>
        <w:rPr>
          <w:rFonts w:hint="eastAsia" w:ascii="仿宋_GB2312" w:hAnsi="仿宋_GB2312" w:eastAsia="仿宋_GB2312" w:cs="仿宋_GB2312"/>
          <w:b w:val="0"/>
          <w:color w:val="auto"/>
          <w:sz w:val="32"/>
          <w:szCs w:val="32"/>
          <w:highlight w:val="none"/>
          <w:lang w:val="en-US" w:eastAsia="zh-CN"/>
        </w:rPr>
      </w:pPr>
      <w:r>
        <w:rPr>
          <w:rFonts w:hint="eastAsia" w:ascii="仿宋_GB2312" w:hAnsi="仿宋_GB2312" w:eastAsia="仿宋_GB2312" w:cs="仿宋_GB2312"/>
          <w:b w:val="0"/>
          <w:color w:val="auto"/>
          <w:sz w:val="32"/>
          <w:szCs w:val="32"/>
          <w:highlight w:val="none"/>
          <w:lang w:val="en-US" w:eastAsia="zh-CN"/>
        </w:rPr>
        <w:t>7.</w:t>
      </w:r>
      <w:r>
        <w:rPr>
          <w:rFonts w:hint="eastAsia" w:ascii="仿宋_GB2312" w:eastAsia="仿宋_GB2312"/>
          <w:color w:val="auto"/>
          <w:sz w:val="32"/>
          <w:szCs w:val="32"/>
          <w:highlight w:val="none"/>
          <w:lang w:val="en-US" w:eastAsia="zh-CN"/>
        </w:rPr>
        <w:t>军管区、警管区（即军事单位、监狱、拘留所、看守所、戒毒所等特殊区域)内的经营场所</w:t>
      </w:r>
      <w:r>
        <w:rPr>
          <w:rFonts w:hint="eastAsia" w:ascii="仿宋_GB2312" w:hAnsi="仿宋_GB2312" w:eastAsia="仿宋_GB2312" w:cs="仿宋_GB2312"/>
          <w:b w:val="0"/>
          <w:bCs w:val="0"/>
          <w:color w:val="auto"/>
          <w:kern w:val="0"/>
          <w:sz w:val="32"/>
          <w:szCs w:val="32"/>
          <w:lang w:val="en-US" w:eastAsia="zh-CN"/>
        </w:rPr>
        <w:t>设置1个零售点</w:t>
      </w:r>
      <w:r>
        <w:rPr>
          <w:rFonts w:hint="eastAsia" w:ascii="仿宋_GB2312" w:eastAsia="仿宋_GB2312"/>
          <w:color w:val="auto"/>
          <w:sz w:val="32"/>
          <w:szCs w:val="32"/>
          <w:highlight w:val="none"/>
          <w:lang w:val="en-US" w:eastAsia="zh-CN"/>
        </w:rPr>
        <w:t>；</w:t>
      </w:r>
    </w:p>
    <w:p>
      <w:pPr>
        <w:ind w:firstLine="640"/>
        <w:jc w:val="both"/>
        <w:rPr>
          <w:rFonts w:hint="eastAsia" w:ascii="仿宋_GB2312" w:hAnsi="仿宋_GB2312" w:eastAsia="仿宋_GB2312" w:cs="仿宋_GB2312"/>
          <w:b w:val="0"/>
          <w:color w:val="auto"/>
          <w:sz w:val="32"/>
          <w:szCs w:val="32"/>
          <w:highlight w:val="none"/>
          <w:lang w:val="en-US" w:eastAsia="zh-CN"/>
        </w:rPr>
      </w:pPr>
      <w:r>
        <w:rPr>
          <w:rFonts w:hint="eastAsia" w:ascii="仿宋_GB2312" w:hAnsi="仿宋_GB2312" w:eastAsia="仿宋_GB2312" w:cs="仿宋_GB2312"/>
          <w:b w:val="0"/>
          <w:color w:val="auto"/>
          <w:sz w:val="32"/>
          <w:szCs w:val="32"/>
          <w:highlight w:val="none"/>
          <w:lang w:val="en-US" w:eastAsia="zh-CN"/>
        </w:rPr>
        <w:t>8.乡道以上公路沿线聚居区网格按照距离设置零售点，零售点间距不少于50米。</w:t>
      </w:r>
    </w:p>
    <w:p>
      <w:pPr>
        <w:ind w:firstLine="640"/>
        <w:jc w:val="both"/>
        <w:rPr>
          <w:rFonts w:hint="eastAsia" w:ascii="仿宋_GB2312" w:hAnsi="仿宋_GB2312" w:eastAsia="仿宋_GB2312" w:cs="仿宋_GB2312"/>
          <w:b w:val="0"/>
          <w:color w:val="auto"/>
          <w:sz w:val="32"/>
          <w:szCs w:val="32"/>
          <w:highlight w:val="none"/>
          <w:lang w:val="en-US" w:eastAsia="zh-CN"/>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00" w:lineRule="atLeast"/>
        <w:ind w:left="0" w:right="0" w:firstLine="384"/>
        <w:jc w:val="center"/>
        <w:rPr>
          <w:rFonts w:hint="eastAsia" w:ascii="等线" w:hAnsi="等线" w:eastAsia="等线" w:cs="等线"/>
          <w:i w:val="0"/>
          <w:iCs w:val="0"/>
          <w:caps w:val="0"/>
          <w:color w:val="auto"/>
          <w:spacing w:val="0"/>
          <w:sz w:val="24"/>
          <w:szCs w:val="24"/>
        </w:rPr>
      </w:pPr>
      <w:r>
        <w:rPr>
          <w:rFonts w:hint="eastAsia" w:ascii="黑体" w:hAnsi="宋体" w:eastAsia="黑体" w:cs="黑体"/>
          <w:b w:val="0"/>
          <w:bCs w:val="0"/>
          <w:i w:val="0"/>
          <w:iCs w:val="0"/>
          <w:caps w:val="0"/>
          <w:color w:val="auto"/>
          <w:spacing w:val="0"/>
          <w:sz w:val="32"/>
          <w:szCs w:val="32"/>
          <w:shd w:val="clear" w:color="auto" w:fill="FFFFFF"/>
        </w:rPr>
        <w:t>第</w:t>
      </w:r>
      <w:r>
        <w:rPr>
          <w:rFonts w:hint="eastAsia" w:ascii="黑体" w:hAnsi="宋体" w:eastAsia="黑体" w:cs="黑体"/>
          <w:b w:val="0"/>
          <w:bCs w:val="0"/>
          <w:i w:val="0"/>
          <w:iCs w:val="0"/>
          <w:caps w:val="0"/>
          <w:color w:val="auto"/>
          <w:spacing w:val="0"/>
          <w:sz w:val="32"/>
          <w:szCs w:val="32"/>
          <w:shd w:val="clear" w:color="auto" w:fill="FFFFFF"/>
          <w:lang w:eastAsia="zh-CN"/>
        </w:rPr>
        <w:t>三</w:t>
      </w:r>
      <w:r>
        <w:rPr>
          <w:rFonts w:hint="eastAsia" w:ascii="黑体" w:hAnsi="宋体" w:eastAsia="黑体" w:cs="黑体"/>
          <w:b w:val="0"/>
          <w:bCs w:val="0"/>
          <w:i w:val="0"/>
          <w:iCs w:val="0"/>
          <w:caps w:val="0"/>
          <w:color w:val="auto"/>
          <w:spacing w:val="0"/>
          <w:sz w:val="32"/>
          <w:szCs w:val="32"/>
          <w:shd w:val="clear" w:color="auto" w:fill="FFFFFF"/>
        </w:rPr>
        <w:t>章</w:t>
      </w:r>
      <w:r>
        <w:rPr>
          <w:rFonts w:hint="eastAsia" w:ascii="黑体" w:hAnsi="宋体" w:eastAsia="黑体" w:cs="黑体"/>
          <w:b w:val="0"/>
          <w:bCs w:val="0"/>
          <w:i w:val="0"/>
          <w:iCs w:val="0"/>
          <w:caps w:val="0"/>
          <w:color w:val="auto"/>
          <w:spacing w:val="0"/>
          <w:sz w:val="32"/>
          <w:szCs w:val="32"/>
          <w:shd w:val="clear" w:color="auto" w:fill="FFFFFF"/>
          <w:lang w:val="en-US" w:eastAsia="zh-CN"/>
        </w:rPr>
        <w:t xml:space="preserve"> </w:t>
      </w:r>
      <w:r>
        <w:rPr>
          <w:rFonts w:hint="eastAsia" w:ascii="黑体" w:hAnsi="宋体" w:eastAsia="黑体" w:cs="黑体"/>
          <w:b w:val="0"/>
          <w:bCs w:val="0"/>
          <w:i w:val="0"/>
          <w:iCs w:val="0"/>
          <w:caps w:val="0"/>
          <w:color w:val="auto"/>
          <w:spacing w:val="0"/>
          <w:sz w:val="32"/>
          <w:szCs w:val="32"/>
          <w:shd w:val="clear" w:color="auto" w:fill="FFFFFF"/>
        </w:rPr>
        <w:t>雪茄烟专营零售点布局标准</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 xml:space="preserve">第九条 </w:t>
      </w:r>
      <w:r>
        <w:rPr>
          <w:rFonts w:hint="eastAsia" w:ascii="仿宋_GB2312" w:hAnsi="仿宋_GB2312" w:eastAsia="仿宋_GB2312" w:cs="仿宋_GB2312"/>
          <w:b w:val="0"/>
          <w:bCs w:val="0"/>
          <w:color w:val="auto"/>
          <w:kern w:val="0"/>
          <w:sz w:val="32"/>
          <w:szCs w:val="32"/>
          <w:lang w:val="en-US" w:eastAsia="zh-CN"/>
        </w:rPr>
        <w:t>克拉玛依市独山子区雪茄烟专营零售点合理布局规划采取总量管理模式，许可范围仅为“雪茄烟本店零售”的，按</w:t>
      </w:r>
      <w:r>
        <w:rPr>
          <w:rFonts w:hint="eastAsia" w:ascii="仿宋_GB2312" w:hAnsi="仿宋_GB2312" w:eastAsia="仿宋_GB2312" w:cs="仿宋_GB2312"/>
          <w:b w:val="0"/>
          <w:color w:val="auto"/>
          <w:sz w:val="32"/>
          <w:highlight w:val="none"/>
          <w:lang w:val="en-US" w:eastAsia="zh-CN"/>
        </w:rPr>
        <w:t>上年度本辖区烟草制品零售点总数</w:t>
      </w:r>
      <w:r>
        <w:rPr>
          <w:rFonts w:hint="eastAsia" w:ascii="仿宋_GB2312" w:hAnsi="仿宋_GB2312" w:eastAsia="仿宋_GB2312" w:cs="仿宋_GB2312"/>
          <w:b w:val="0"/>
          <w:bCs w:val="0"/>
          <w:color w:val="auto"/>
          <w:kern w:val="0"/>
          <w:sz w:val="32"/>
          <w:szCs w:val="32"/>
          <w:lang w:val="en-US" w:eastAsia="zh-CN"/>
        </w:rPr>
        <w:t>的5‰设置，达到总量上限时，不再新增雪茄烟专营零售点，按照“退一进一”原则办理，实行动态管理。</w:t>
      </w:r>
    </w:p>
    <w:p>
      <w:pPr>
        <w:ind w:firstLine="643" w:firstLineChars="20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 xml:space="preserve">第十条 </w:t>
      </w:r>
      <w:r>
        <w:rPr>
          <w:rFonts w:hint="eastAsia" w:ascii="仿宋_GB2312" w:hAnsi="仿宋_GB2312" w:eastAsia="仿宋_GB2312" w:cs="仿宋_GB2312"/>
          <w:b w:val="0"/>
          <w:bCs w:val="0"/>
          <w:color w:val="auto"/>
          <w:kern w:val="0"/>
          <w:sz w:val="32"/>
          <w:szCs w:val="32"/>
          <w:lang w:val="en-US" w:eastAsia="zh-CN"/>
        </w:rPr>
        <w:t>雪茄烟专营零售点经营场所应具备以下条件：</w:t>
      </w:r>
    </w:p>
    <w:p>
      <w:pPr>
        <w:ind w:firstLine="640" w:firstLineChars="20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（一）主营业务为雪茄烟零售；</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（二）经营主体有与经营雪茄烟零售业务相适应的资金；</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（三）具有专业的雪茄烟经营条件，设有雪茄陈列区和品鉴区，具备温湿恒定系统的雪茄烟柜或具有专业雪茄养护房。</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 xml:space="preserve">第十一条 </w:t>
      </w:r>
      <w:r>
        <w:rPr>
          <w:rFonts w:hint="eastAsia" w:ascii="仿宋_GB2312" w:hAnsi="仿宋_GB2312" w:eastAsia="仿宋_GB2312" w:cs="仿宋_GB2312"/>
          <w:b w:val="0"/>
          <w:bCs w:val="0"/>
          <w:color w:val="auto"/>
          <w:kern w:val="0"/>
          <w:sz w:val="32"/>
          <w:szCs w:val="32"/>
          <w:lang w:val="en-US" w:eastAsia="zh-CN"/>
        </w:rPr>
        <w:t>雪茄烟专营零售点不作为普通烟草制品零售许可证办理中距离的参照物，与普通零售点规划数量分开计算。</w:t>
      </w:r>
    </w:p>
    <w:p>
      <w:pPr>
        <w:ind w:firstLine="640"/>
        <w:jc w:val="both"/>
        <w:rPr>
          <w:rFonts w:hint="eastAsia" w:ascii="仿宋_GB2312" w:hAnsi="仿宋_GB2312" w:eastAsia="仿宋_GB2312" w:cs="仿宋_GB2312"/>
          <w:b w:val="0"/>
          <w:bCs w:val="0"/>
          <w:color w:val="auto"/>
          <w:kern w:val="0"/>
          <w:sz w:val="32"/>
          <w:szCs w:val="32"/>
          <w:lang w:val="en-US" w:eastAsia="zh-CN"/>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00" w:lineRule="atLeast"/>
        <w:ind w:left="0" w:right="0" w:firstLine="384"/>
        <w:jc w:val="center"/>
        <w:rPr>
          <w:rFonts w:hint="eastAsia" w:ascii="仿宋_GB2312" w:hAnsi="仿宋_GB2312" w:eastAsia="仿宋_GB2312" w:cs="仿宋_GB2312"/>
          <w:b/>
          <w:bCs/>
          <w:color w:val="auto"/>
          <w:kern w:val="0"/>
          <w:sz w:val="32"/>
          <w:szCs w:val="32"/>
          <w:lang w:val="en-US" w:eastAsia="zh-CN"/>
        </w:rPr>
      </w:pPr>
      <w:r>
        <w:rPr>
          <w:rFonts w:hint="eastAsia" w:ascii="黑体" w:hAnsi="宋体" w:eastAsia="黑体" w:cs="黑体"/>
          <w:b w:val="0"/>
          <w:bCs w:val="0"/>
          <w:i w:val="0"/>
          <w:iCs w:val="0"/>
          <w:caps w:val="0"/>
          <w:color w:val="auto"/>
          <w:spacing w:val="0"/>
          <w:sz w:val="32"/>
          <w:szCs w:val="32"/>
          <w:shd w:val="clear" w:color="auto" w:fill="FFFFFF"/>
        </w:rPr>
        <w:t>第</w:t>
      </w:r>
      <w:r>
        <w:rPr>
          <w:rFonts w:hint="eastAsia" w:ascii="黑体" w:hAnsi="宋体" w:eastAsia="黑体" w:cs="黑体"/>
          <w:b w:val="0"/>
          <w:bCs w:val="0"/>
          <w:i w:val="0"/>
          <w:iCs w:val="0"/>
          <w:caps w:val="0"/>
          <w:color w:val="auto"/>
          <w:spacing w:val="0"/>
          <w:sz w:val="32"/>
          <w:szCs w:val="32"/>
          <w:shd w:val="clear" w:color="auto" w:fill="FFFFFF"/>
          <w:lang w:eastAsia="zh-CN"/>
        </w:rPr>
        <w:t>四</w:t>
      </w:r>
      <w:r>
        <w:rPr>
          <w:rFonts w:hint="eastAsia" w:ascii="黑体" w:hAnsi="宋体" w:eastAsia="黑体" w:cs="黑体"/>
          <w:b w:val="0"/>
          <w:bCs w:val="0"/>
          <w:i w:val="0"/>
          <w:iCs w:val="0"/>
          <w:caps w:val="0"/>
          <w:color w:val="auto"/>
          <w:spacing w:val="0"/>
          <w:sz w:val="32"/>
          <w:szCs w:val="32"/>
          <w:shd w:val="clear" w:color="auto" w:fill="FFFFFF"/>
        </w:rPr>
        <w:t>章</w:t>
      </w:r>
      <w:r>
        <w:rPr>
          <w:rFonts w:hint="eastAsia" w:ascii="黑体" w:hAnsi="宋体" w:eastAsia="黑体" w:cs="黑体"/>
          <w:b w:val="0"/>
          <w:bCs w:val="0"/>
          <w:i w:val="0"/>
          <w:iCs w:val="0"/>
          <w:caps w:val="0"/>
          <w:color w:val="auto"/>
          <w:spacing w:val="0"/>
          <w:sz w:val="32"/>
          <w:szCs w:val="32"/>
          <w:shd w:val="clear" w:color="auto" w:fill="FFFFFF"/>
          <w:lang w:val="en-US" w:eastAsia="zh-CN"/>
        </w:rPr>
        <w:t xml:space="preserve"> </w:t>
      </w:r>
      <w:r>
        <w:rPr>
          <w:rFonts w:hint="eastAsia" w:ascii="黑体" w:hAnsi="宋体" w:eastAsia="黑体" w:cs="黑体"/>
          <w:b w:val="0"/>
          <w:bCs w:val="0"/>
          <w:i w:val="0"/>
          <w:iCs w:val="0"/>
          <w:caps w:val="0"/>
          <w:color w:val="auto"/>
          <w:spacing w:val="0"/>
          <w:sz w:val="32"/>
          <w:szCs w:val="32"/>
          <w:shd w:val="clear" w:color="auto" w:fill="FFFFFF"/>
        </w:rPr>
        <w:t>禁止性规定及放宽政策</w:t>
      </w:r>
    </w:p>
    <w:p>
      <w:pPr>
        <w:ind w:firstLine="640"/>
        <w:jc w:val="both"/>
        <w:rPr>
          <w:rFonts w:hint="default"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 xml:space="preserve">第十二条 </w:t>
      </w:r>
      <w:r>
        <w:rPr>
          <w:rFonts w:hint="eastAsia" w:ascii="仿宋_GB2312" w:hAnsi="仿宋_GB2312" w:eastAsia="仿宋_GB2312" w:cs="仿宋_GB2312"/>
          <w:b w:val="0"/>
          <w:bCs w:val="0"/>
          <w:color w:val="auto"/>
          <w:kern w:val="0"/>
          <w:sz w:val="32"/>
          <w:szCs w:val="32"/>
          <w:lang w:val="en-US" w:eastAsia="zh-CN"/>
        </w:rPr>
        <w:t>有下列情形之一的，不予设置烟草制品零售点：</w:t>
      </w:r>
    </w:p>
    <w:p>
      <w:pPr>
        <w:ind w:firstLine="640" w:firstLineChars="200"/>
        <w:jc w:val="both"/>
        <w:rPr>
          <w:rFonts w:ascii="楷体_GB2312" w:hAnsi="仿宋" w:eastAsia="楷体_GB2312"/>
          <w:color w:val="auto"/>
          <w:sz w:val="32"/>
          <w:szCs w:val="32"/>
        </w:rPr>
      </w:pPr>
      <w:r>
        <w:rPr>
          <w:rFonts w:hint="eastAsia" w:ascii="楷体_GB2312" w:hAnsi="仿宋" w:eastAsia="楷体_GB2312"/>
          <w:color w:val="auto"/>
          <w:sz w:val="32"/>
          <w:szCs w:val="32"/>
        </w:rPr>
        <w:t>（一）申请主体资格方面</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1.未成年人、无民事行为能力人及限制民事行为能力人；</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2.外商投资的商业企业或者个体工商户，或以特许、吸纳加盟店及其他再投资等形式变相从事烟草制品零售业务的；</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3.取消从事烟草专卖业务资格不满三年的；</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4.因申请人隐瞒有关情况或者提供虚假材料，烟草专卖局作出不予受理或者不予发证决定后，申请人一年内再次提出申请的；</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5.因申请人以欺骗、贿赂等不正当手段取得的烟草专卖许可证被撤销后，申请人三年内再次提出申请的；</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6.未领取烟草专卖零售许可证经营烟草专卖品业务，并且一年内被执法机关处罚两次以上，在三年内申请领取烟草专卖零售许可证的；</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7.未领取烟草专卖零售许可证经营烟草专卖品业务被追究刑事责任，在三年内申请领取烟草专卖零售许可证的；</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8.未持有合法有效的营业执照；</w:t>
      </w:r>
    </w:p>
    <w:p>
      <w:pPr>
        <w:ind w:firstLine="640" w:firstLineChars="200"/>
        <w:rPr>
          <w:rFonts w:hint="default"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9.</w:t>
      </w:r>
      <w:r>
        <w:rPr>
          <w:rFonts w:hint="eastAsia" w:ascii="仿宋_GB2312" w:hAnsi="仿宋_GB2312" w:eastAsia="仿宋_GB2312" w:cs="仿宋_GB2312"/>
          <w:color w:val="auto"/>
          <w:sz w:val="32"/>
          <w:szCs w:val="32"/>
          <w:lang w:val="en-US" w:eastAsia="zh-CN"/>
        </w:rPr>
        <w:t>法律、法规、规章和规范性文件规定的其他不予发证的情形。</w:t>
      </w:r>
    </w:p>
    <w:p>
      <w:pPr>
        <w:ind w:firstLine="640" w:firstLineChars="200"/>
        <w:jc w:val="both"/>
        <w:rPr>
          <w:rFonts w:ascii="楷体_GB2312" w:hAnsi="仿宋" w:eastAsia="楷体_GB2312"/>
          <w:color w:val="auto"/>
          <w:sz w:val="32"/>
          <w:szCs w:val="32"/>
        </w:rPr>
      </w:pPr>
      <w:r>
        <w:rPr>
          <w:rFonts w:hint="eastAsia" w:ascii="楷体_GB2312" w:hAnsi="仿宋" w:eastAsia="楷体_GB2312"/>
          <w:color w:val="auto"/>
          <w:sz w:val="32"/>
          <w:szCs w:val="32"/>
        </w:rPr>
        <w:t>(二)经营场所方面</w:t>
      </w:r>
    </w:p>
    <w:p>
      <w:pPr>
        <w:ind w:firstLine="640"/>
        <w:jc w:val="both"/>
        <w:rPr>
          <w:rFonts w:hint="default"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1.“无固定经营场所的”包括但不限于：①流动摊点（车、棚、柜）、集装箱屋、活动板房、改装改建车位；②居民楼、商用楼内公用楼梯间或公用巷道；③危险建筑、已被政府纳入拆迁规划的区域及尚未竣工或未交付使用的场所等；④配电房、保安室、收费室等具有法定专属用途的房屋等场所；</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2.“与住所不相独立的经营场所”包括但不限于住宅公寓、住宅配套的仓库、储藏室、生活住所的车库、地下室等未对消费者全开放的场所；</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3.</w:t>
      </w:r>
      <w:r>
        <w:rPr>
          <w:rFonts w:hint="eastAsia" w:ascii="仿宋_GB2312" w:hAnsi="仿宋_GB2312" w:eastAsia="仿宋_GB2312" w:cs="仿宋_GB2312"/>
          <w:b w:val="0"/>
          <w:color w:val="auto"/>
          <w:sz w:val="32"/>
          <w:highlight w:val="none"/>
          <w:lang w:val="en-US" w:eastAsia="zh-CN"/>
        </w:rPr>
        <w:t>经营场所基于安全因素不适宜经营卷烟的，包括但不限于生产、经营、储存有毒有害、易燃易爆、放射性、易挥发及具有刺激性气味等物品，容易造成烟草制品污染的油漆化工、农药化肥、烟花爆竹、机油制品等的场所（符合法定条件，具备安全保障措施的加油站、加气站便利店除外）</w:t>
      </w:r>
      <w:r>
        <w:rPr>
          <w:rFonts w:hint="eastAsia" w:ascii="仿宋_GB2312" w:hAnsi="仿宋_GB2312" w:eastAsia="仿宋_GB2312" w:cs="仿宋_GB2312"/>
          <w:b w:val="0"/>
          <w:bCs w:val="0"/>
          <w:color w:val="auto"/>
          <w:kern w:val="0"/>
          <w:sz w:val="32"/>
          <w:szCs w:val="32"/>
          <w:lang w:val="en-US" w:eastAsia="zh-CN"/>
        </w:rPr>
        <w:t>。</w:t>
      </w:r>
    </w:p>
    <w:p>
      <w:pPr>
        <w:ind w:firstLine="640" w:firstLineChars="200"/>
        <w:jc w:val="both"/>
        <w:rPr>
          <w:rFonts w:hint="default" w:ascii="楷体_GB2312" w:hAnsi="仿宋" w:eastAsia="楷体_GB2312"/>
          <w:color w:val="auto"/>
          <w:sz w:val="32"/>
          <w:szCs w:val="32"/>
          <w:lang w:val="en-US" w:eastAsia="zh-CN"/>
        </w:rPr>
      </w:pPr>
      <w:r>
        <w:rPr>
          <w:rFonts w:hint="eastAsia" w:ascii="楷体_GB2312" w:hAnsi="仿宋" w:eastAsia="楷体_GB2312"/>
          <w:color w:val="auto"/>
          <w:sz w:val="32"/>
          <w:szCs w:val="32"/>
        </w:rPr>
        <w:t>(</w:t>
      </w:r>
      <w:r>
        <w:rPr>
          <w:rFonts w:hint="eastAsia" w:ascii="楷体_GB2312" w:hAnsi="仿宋" w:eastAsia="楷体_GB2312"/>
          <w:color w:val="auto"/>
          <w:sz w:val="32"/>
          <w:szCs w:val="32"/>
          <w:lang w:val="en-US" w:eastAsia="zh-CN"/>
        </w:rPr>
        <w:t>三</w:t>
      </w:r>
      <w:r>
        <w:rPr>
          <w:rFonts w:hint="eastAsia" w:ascii="楷体_GB2312" w:hAnsi="仿宋" w:eastAsia="楷体_GB2312"/>
          <w:color w:val="auto"/>
          <w:sz w:val="32"/>
          <w:szCs w:val="32"/>
        </w:rPr>
        <w:t>)经营</w:t>
      </w:r>
      <w:r>
        <w:rPr>
          <w:rFonts w:hint="eastAsia" w:ascii="楷体_GB2312" w:hAnsi="仿宋" w:eastAsia="楷体_GB2312"/>
          <w:color w:val="auto"/>
          <w:sz w:val="32"/>
          <w:szCs w:val="32"/>
          <w:lang w:val="en-US" w:eastAsia="zh-CN"/>
        </w:rPr>
        <w:t>模式方面</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1.</w:t>
      </w:r>
      <w:r>
        <w:rPr>
          <w:rFonts w:hint="eastAsia" w:ascii="仿宋_GB2312" w:hAnsi="仿宋_GB2312" w:eastAsia="仿宋_GB2312" w:cs="仿宋_GB2312"/>
          <w:b w:val="0"/>
          <w:bCs/>
          <w:color w:val="auto"/>
          <w:sz w:val="32"/>
          <w:szCs w:val="32"/>
          <w:highlight w:val="none"/>
          <w:lang w:val="en-US" w:eastAsia="zh-CN"/>
        </w:rPr>
        <w:t>利用自动售货机或其他自动售货形式，销售或者变相销售烟草制品的（含无人现场值守或</w:t>
      </w:r>
      <w:r>
        <w:rPr>
          <w:rFonts w:hint="eastAsia" w:ascii="仿宋_GB2312" w:hAnsi="仿宋_GB2312" w:eastAsia="仿宋_GB2312" w:cs="仿宋_GB2312"/>
          <w:b w:val="0"/>
          <w:bCs w:val="0"/>
          <w:color w:val="auto"/>
          <w:kern w:val="0"/>
          <w:sz w:val="32"/>
          <w:szCs w:val="32"/>
          <w:lang w:val="en-US" w:eastAsia="zh-CN"/>
        </w:rPr>
        <w:t>间断性无人现场值守</w:t>
      </w:r>
      <w:r>
        <w:rPr>
          <w:rFonts w:hint="eastAsia" w:ascii="仿宋_GB2312" w:hAnsi="仿宋_GB2312" w:eastAsia="仿宋_GB2312" w:cs="仿宋_GB2312"/>
          <w:b w:val="0"/>
          <w:bCs/>
          <w:color w:val="auto"/>
          <w:sz w:val="32"/>
          <w:szCs w:val="32"/>
          <w:highlight w:val="none"/>
          <w:lang w:val="en-US" w:eastAsia="zh-CN"/>
        </w:rPr>
        <w:t>的自助商店、</w:t>
      </w:r>
      <w:r>
        <w:rPr>
          <w:rFonts w:hint="eastAsia" w:ascii="仿宋_GB2312" w:hAnsi="仿宋_GB2312" w:eastAsia="仿宋_GB2312" w:cs="仿宋_GB2312"/>
          <w:b w:val="0"/>
          <w:bCs w:val="0"/>
          <w:color w:val="auto"/>
          <w:kern w:val="0"/>
          <w:sz w:val="32"/>
          <w:szCs w:val="32"/>
          <w:lang w:val="en-US" w:eastAsia="zh-CN"/>
        </w:rPr>
        <w:t>远程经营商店</w:t>
      </w:r>
      <w:r>
        <w:rPr>
          <w:rFonts w:hint="eastAsia" w:ascii="仿宋_GB2312" w:hAnsi="仿宋_GB2312" w:eastAsia="仿宋_GB2312" w:cs="仿宋_GB2312"/>
          <w:b w:val="0"/>
          <w:bCs/>
          <w:color w:val="auto"/>
          <w:sz w:val="32"/>
          <w:szCs w:val="32"/>
          <w:highlight w:val="none"/>
          <w:lang w:val="en-US" w:eastAsia="zh-CN"/>
        </w:rPr>
        <w:t>）</w:t>
      </w:r>
      <w:r>
        <w:rPr>
          <w:rFonts w:hint="eastAsia" w:ascii="仿宋_GB2312" w:hAnsi="仿宋_GB2312" w:eastAsia="仿宋_GB2312" w:cs="仿宋_GB2312"/>
          <w:b w:val="0"/>
          <w:bCs w:val="0"/>
          <w:color w:val="auto"/>
          <w:kern w:val="0"/>
          <w:sz w:val="32"/>
          <w:szCs w:val="32"/>
          <w:lang w:val="en-US" w:eastAsia="zh-CN"/>
        </w:rPr>
        <w:t>；</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2.利用信息网络渠道销售烟草制品的。</w:t>
      </w:r>
    </w:p>
    <w:p>
      <w:pPr>
        <w:ind w:firstLine="640" w:firstLineChars="200"/>
        <w:jc w:val="both"/>
        <w:rPr>
          <w:rFonts w:hint="eastAsia" w:ascii="楷体_GB2312" w:hAnsi="仿宋" w:eastAsia="楷体_GB2312"/>
          <w:color w:val="auto"/>
          <w:sz w:val="32"/>
          <w:szCs w:val="32"/>
          <w:lang w:val="en-US" w:eastAsia="zh-CN"/>
        </w:rPr>
      </w:pPr>
      <w:r>
        <w:rPr>
          <w:rFonts w:hint="eastAsia" w:ascii="楷体_GB2312" w:hAnsi="仿宋" w:eastAsia="楷体_GB2312"/>
          <w:color w:val="auto"/>
          <w:sz w:val="32"/>
          <w:szCs w:val="32"/>
        </w:rPr>
        <w:t>(</w:t>
      </w:r>
      <w:r>
        <w:rPr>
          <w:rFonts w:hint="eastAsia" w:ascii="楷体_GB2312" w:hAnsi="仿宋" w:eastAsia="楷体_GB2312"/>
          <w:color w:val="auto"/>
          <w:sz w:val="32"/>
          <w:szCs w:val="32"/>
          <w:lang w:val="en-US" w:eastAsia="zh-CN"/>
        </w:rPr>
        <w:t>四</w:t>
      </w:r>
      <w:r>
        <w:rPr>
          <w:rFonts w:hint="eastAsia" w:ascii="楷体_GB2312" w:hAnsi="仿宋" w:eastAsia="楷体_GB2312"/>
          <w:color w:val="auto"/>
          <w:sz w:val="32"/>
          <w:szCs w:val="32"/>
        </w:rPr>
        <w:t>)</w:t>
      </w:r>
      <w:r>
        <w:rPr>
          <w:rFonts w:hint="eastAsia" w:ascii="楷体_GB2312" w:hAnsi="仿宋" w:eastAsia="楷体_GB2312"/>
          <w:color w:val="auto"/>
          <w:sz w:val="32"/>
          <w:szCs w:val="32"/>
          <w:lang w:val="en-US" w:eastAsia="zh-CN"/>
        </w:rPr>
        <w:t>特殊区域</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1.经营场所位于中小学、幼儿园内部及任意出入口100米（含）范围内的；</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2.经营场所位于医疗卫生、党政机关、企事业单位等公共办公楼宇内；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3.主营业务属于专业性较强、与烟草制品零售业务无直接或间接互补营销关系的经营业态，</w:t>
      </w:r>
      <w:r>
        <w:rPr>
          <w:rFonts w:hint="eastAsia" w:ascii="仿宋_GB2312" w:hAnsi="仿宋_GB2312" w:eastAsia="仿宋_GB2312" w:cs="仿宋_GB2312"/>
          <w:b w:val="0"/>
          <w:color w:val="auto"/>
          <w:sz w:val="32"/>
          <w:highlight w:val="none"/>
          <w:lang w:val="en-US" w:eastAsia="zh-CN"/>
        </w:rPr>
        <w:t>如母婴用品、文具、玩具、五金建材、建筑装潢、美容美发、化妆品店、药妆医械、中草药售卖、宠物店、文化体育用品、音像制品、家电家具、修理修配、洗涤护理、服装制售、鞋帽箱包、寄卖典当、古董店、汽车相关（维修、销售、美容等）、殡葬用品店、成人用品店等</w:t>
      </w:r>
      <w:r>
        <w:rPr>
          <w:rFonts w:hint="eastAsia" w:ascii="仿宋_GB2312" w:hAnsi="仿宋_GB2312" w:eastAsia="仿宋_GB2312" w:cs="仿宋_GB2312"/>
          <w:b w:val="0"/>
          <w:bCs w:val="0"/>
          <w:color w:val="auto"/>
          <w:kern w:val="0"/>
          <w:sz w:val="32"/>
          <w:szCs w:val="32"/>
          <w:lang w:val="en-US" w:eastAsia="zh-CN"/>
        </w:rPr>
        <w:t>；</w:t>
      </w:r>
    </w:p>
    <w:p>
      <w:pPr>
        <w:ind w:firstLine="640"/>
        <w:jc w:val="both"/>
        <w:rPr>
          <w:rFonts w:hint="default"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4.政府明令禁止办理烟草专卖零售许可证的区域、政府明令禁止经营卷烟类商品的区域、不符合所属行业行政主管部门关于卷烟经营相关规定的。</w:t>
      </w:r>
    </w:p>
    <w:p>
      <w:pPr>
        <w:ind w:firstLine="640"/>
        <w:jc w:val="both"/>
        <w:rPr>
          <w:rFonts w:hint="default"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 xml:space="preserve">第十三条 </w:t>
      </w:r>
      <w:r>
        <w:rPr>
          <w:rFonts w:hint="eastAsia" w:ascii="仿宋_GB2312" w:hAnsi="仿宋_GB2312" w:eastAsia="仿宋_GB2312" w:cs="仿宋_GB2312"/>
          <w:b w:val="0"/>
          <w:bCs w:val="0"/>
          <w:color w:val="auto"/>
          <w:kern w:val="0"/>
          <w:sz w:val="32"/>
          <w:szCs w:val="32"/>
          <w:lang w:val="en-US" w:eastAsia="zh-CN"/>
        </w:rPr>
        <w:t xml:space="preserve">具有下列情形之一的，不受零售点所在网格数量和间距限制： </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（一）属于军烈属（含烈士遗属、因公牺牲军人遗属等）、残疾军人的个体工商户，本人首次申请办理烟草专卖零售许可证；</w:t>
      </w:r>
    </w:p>
    <w:p>
      <w:pPr>
        <w:ind w:firstLine="64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（二）《警民共建、从优待警、惠警帮扶合作备忘录》《新疆维吾尔自治区烟草专卖局 自治区公安厅特侦队警民共建、从优待警、惠警帮扶合作备忘录》等制度规定的情形。</w:t>
      </w:r>
    </w:p>
    <w:p>
      <w:pPr>
        <w:ind w:firstLine="640"/>
        <w:jc w:val="both"/>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bCs/>
          <w:color w:val="auto"/>
          <w:kern w:val="0"/>
          <w:sz w:val="32"/>
          <w:szCs w:val="32"/>
          <w:lang w:val="en-US" w:eastAsia="zh-CN"/>
        </w:rPr>
        <w:t xml:space="preserve">第十四条 </w:t>
      </w:r>
      <w:r>
        <w:rPr>
          <w:rFonts w:hint="eastAsia" w:ascii="仿宋_GB2312" w:hAnsi="仿宋_GB2312" w:eastAsia="仿宋_GB2312" w:cs="仿宋_GB2312"/>
          <w:b w:val="0"/>
          <w:color w:val="auto"/>
          <w:sz w:val="32"/>
          <w:highlight w:val="none"/>
          <w:lang w:val="en-US" w:eastAsia="zh-CN"/>
        </w:rPr>
        <w:t>未持有烟草专卖零售许可证且具备完全民事行为能力的申请人，符合以下情形之一的，数量上不予放宽，间距上放宽50%：</w:t>
      </w:r>
    </w:p>
    <w:p>
      <w:pPr>
        <w:tabs>
          <w:tab w:val="left" w:pos="977"/>
        </w:tabs>
        <w:bidi w:val="0"/>
        <w:ind w:firstLine="640"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（一）持有三级以上（含三级）残疾人证（含视力残疾、听力残疾、言语残疾或肢体残疾）的</w:t>
      </w:r>
      <w:r>
        <w:rPr>
          <w:rFonts w:hint="eastAsia" w:ascii="仿宋_GB2312" w:hAnsi="仿宋_GB2312" w:eastAsia="仿宋_GB2312" w:cs="仿宋_GB2312"/>
          <w:b w:val="0"/>
          <w:bCs/>
          <w:color w:val="auto"/>
          <w:sz w:val="32"/>
          <w:szCs w:val="32"/>
          <w:highlight w:val="none"/>
          <w:lang w:val="en-US" w:eastAsia="zh-CN"/>
        </w:rPr>
        <w:t>个体工商户</w:t>
      </w:r>
      <w:r>
        <w:rPr>
          <w:rFonts w:hint="eastAsia" w:ascii="仿宋_GB2312" w:hAnsi="仿宋_GB2312" w:eastAsia="仿宋_GB2312" w:cs="仿宋_GB2312"/>
          <w:b w:val="0"/>
          <w:color w:val="auto"/>
          <w:sz w:val="32"/>
          <w:highlight w:val="none"/>
          <w:lang w:val="en-US" w:eastAsia="zh-CN"/>
        </w:rPr>
        <w:t>，</w:t>
      </w:r>
      <w:r>
        <w:rPr>
          <w:rFonts w:hint="eastAsia" w:ascii="仿宋_GB2312" w:hAnsi="仿宋_GB2312" w:eastAsia="仿宋_GB2312" w:cs="仿宋_GB2312"/>
          <w:b w:val="0"/>
          <w:bCs/>
          <w:color w:val="auto"/>
          <w:sz w:val="32"/>
          <w:szCs w:val="32"/>
          <w:highlight w:val="none"/>
          <w:lang w:val="en-US" w:eastAsia="zh-CN"/>
        </w:rPr>
        <w:t>本人首次</w:t>
      </w:r>
      <w:r>
        <w:rPr>
          <w:rFonts w:hint="eastAsia" w:ascii="仿宋_GB2312" w:hAnsi="仿宋_GB2312" w:eastAsia="仿宋_GB2312" w:cs="仿宋_GB2312"/>
          <w:b w:val="0"/>
          <w:bCs w:val="0"/>
          <w:color w:val="auto"/>
          <w:sz w:val="32"/>
          <w:szCs w:val="32"/>
          <w:highlight w:val="none"/>
          <w:lang w:val="en-US" w:eastAsia="zh-CN"/>
        </w:rPr>
        <w:t>申请办理烟草专卖零售许可证；</w:t>
      </w:r>
    </w:p>
    <w:p>
      <w:pPr>
        <w:tabs>
          <w:tab w:val="left" w:pos="977"/>
        </w:tabs>
        <w:bidi w:val="0"/>
        <w:ind w:firstLine="640"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（二）持有本市户籍且两年内未落实就业的退役军人，本人首次申请办理烟草专卖零售许可证；</w:t>
      </w:r>
    </w:p>
    <w:p>
      <w:pPr>
        <w:tabs>
          <w:tab w:val="left" w:pos="977"/>
        </w:tabs>
        <w:bidi w:val="0"/>
        <w:ind w:firstLine="640" w:firstLineChars="200"/>
        <w:jc w:val="both"/>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（三）</w:t>
      </w:r>
      <w:r>
        <w:rPr>
          <w:rFonts w:hint="eastAsia" w:ascii="仿宋_GB2312" w:hAnsi="仿宋_GB2312" w:eastAsia="仿宋_GB2312" w:cs="仿宋_GB2312"/>
          <w:b w:val="0"/>
          <w:bCs/>
          <w:color w:val="auto"/>
          <w:sz w:val="32"/>
          <w:szCs w:val="32"/>
          <w:highlight w:val="none"/>
          <w:lang w:val="en-US" w:eastAsia="zh-CN"/>
        </w:rPr>
        <w:t>国家或当地政府明文规定给予政策扶持并经克拉玛依市独山子区烟草专卖局集体研究认为可以扶持照顾的对象，本人首次申请办理烟草专卖零售许可证。</w:t>
      </w:r>
    </w:p>
    <w:p>
      <w:pPr>
        <w:ind w:firstLine="640"/>
        <w:jc w:val="both"/>
        <w:rPr>
          <w:rFonts w:hint="default"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 xml:space="preserve">第十五条 </w:t>
      </w:r>
      <w:r>
        <w:rPr>
          <w:rFonts w:hint="eastAsia" w:ascii="仿宋_GB2312" w:hAnsi="仿宋_GB2312" w:eastAsia="仿宋_GB2312" w:cs="仿宋_GB2312"/>
          <w:b w:val="0"/>
          <w:color w:val="auto"/>
          <w:sz w:val="32"/>
          <w:highlight w:val="none"/>
          <w:lang w:val="en-US" w:eastAsia="zh-CN"/>
        </w:rPr>
        <w:t>符合以下情形之一的，</w:t>
      </w:r>
      <w:r>
        <w:rPr>
          <w:rFonts w:hint="eastAsia" w:ascii="仿宋_GB2312" w:hAnsi="仿宋_GB2312" w:eastAsia="仿宋_GB2312" w:cs="仿宋_GB2312"/>
          <w:b w:val="0"/>
          <w:bCs w:val="0"/>
          <w:color w:val="auto"/>
          <w:sz w:val="32"/>
          <w:szCs w:val="32"/>
          <w:highlight w:val="none"/>
          <w:shd w:val="clear" w:color="auto" w:fill="auto"/>
          <w:lang w:val="en-US" w:eastAsia="zh-CN"/>
        </w:rPr>
        <w:t>零售点数量上限可放宽50%，</w:t>
      </w:r>
      <w:r>
        <w:rPr>
          <w:rFonts w:hint="eastAsia" w:ascii="仿宋_GB2312" w:hAnsi="仿宋_GB2312" w:eastAsia="仿宋_GB2312" w:cs="仿宋_GB2312"/>
          <w:b w:val="0"/>
          <w:color w:val="auto"/>
          <w:sz w:val="32"/>
          <w:highlight w:val="none"/>
          <w:lang w:val="en-US" w:eastAsia="zh-CN"/>
        </w:rPr>
        <w:t>间距上放宽50%：</w:t>
      </w:r>
    </w:p>
    <w:p>
      <w:pPr>
        <w:tabs>
          <w:tab w:val="left" w:pos="977"/>
        </w:tabs>
        <w:bidi w:val="0"/>
        <w:ind w:firstLine="640"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（一）在烟草专卖零售许可证有效期内因道路规划、城市建设、房屋征收等客观原因造成无法在核定的经营地址继续经营的零售点，持证人在6个月内申请变更到原发证机关辖区内其他地址经营的；</w:t>
      </w:r>
    </w:p>
    <w:p>
      <w:pPr>
        <w:tabs>
          <w:tab w:val="left" w:pos="977"/>
        </w:tabs>
        <w:bidi w:val="0"/>
        <w:ind w:firstLine="640"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（二）因</w:t>
      </w:r>
      <w:r>
        <w:rPr>
          <w:rFonts w:hint="eastAsia" w:ascii="仿宋_GB2312" w:hAnsi="仿宋_GB2312" w:eastAsia="仿宋_GB2312" w:cs="仿宋_GB2312"/>
          <w:b w:val="0"/>
          <w:color w:val="auto"/>
          <w:sz w:val="32"/>
          <w:highlight w:val="none"/>
          <w:lang w:val="en-US" w:eastAsia="zh-CN"/>
        </w:rPr>
        <w:t>中小学、幼儿园</w:t>
      </w:r>
      <w:r>
        <w:rPr>
          <w:rFonts w:hint="eastAsia" w:ascii="仿宋_GB2312" w:hAnsi="仿宋_GB2312" w:eastAsia="仿宋_GB2312" w:cs="仿宋_GB2312"/>
          <w:b w:val="0"/>
          <w:bCs w:val="0"/>
          <w:color w:val="auto"/>
          <w:sz w:val="32"/>
          <w:szCs w:val="32"/>
          <w:highlight w:val="none"/>
          <w:lang w:val="en-US" w:eastAsia="zh-CN"/>
        </w:rPr>
        <w:t>新建、改造导致的先店后校、先店后门等情况，以及合理布局规划修订等客观原因造成</w:t>
      </w:r>
      <w:r>
        <w:rPr>
          <w:rFonts w:hint="eastAsia" w:ascii="仿宋_GB2312" w:hAnsi="仿宋_GB2312" w:eastAsia="仿宋_GB2312" w:cs="仿宋_GB2312"/>
          <w:b w:val="0"/>
          <w:color w:val="auto"/>
          <w:sz w:val="32"/>
          <w:highlight w:val="none"/>
          <w:lang w:val="en-US" w:eastAsia="zh-CN"/>
        </w:rPr>
        <w:t>中小学、幼儿园</w:t>
      </w:r>
      <w:r>
        <w:rPr>
          <w:rFonts w:hint="eastAsia" w:ascii="仿宋_GB2312" w:hAnsi="仿宋_GB2312" w:eastAsia="仿宋_GB2312" w:cs="仿宋_GB2312"/>
          <w:b w:val="0"/>
          <w:bCs w:val="0"/>
          <w:color w:val="auto"/>
          <w:sz w:val="32"/>
          <w:szCs w:val="32"/>
          <w:highlight w:val="none"/>
          <w:lang w:val="en-US" w:eastAsia="zh-CN"/>
        </w:rPr>
        <w:t>周边零售点不符合相关要求，持证人需在原发证机关辖区内变更经营地址或歇业一年内重新申领许可证的，仅限本人享受一次，适用本项间距放宽规定，不受第十六条</w:t>
      </w:r>
      <w:r>
        <w:rPr>
          <w:rFonts w:hint="eastAsia" w:ascii="仿宋_GB2312" w:hAnsi="仿宋_GB2312" w:eastAsia="仿宋_GB2312" w:cs="仿宋_GB2312"/>
          <w:b w:val="0"/>
          <w:color w:val="auto"/>
          <w:sz w:val="32"/>
          <w:highlight w:val="none"/>
          <w:lang w:val="en-US" w:eastAsia="zh-CN"/>
        </w:rPr>
        <w:t>中小学、幼儿园</w:t>
      </w:r>
      <w:r>
        <w:rPr>
          <w:rFonts w:hint="eastAsia" w:ascii="仿宋_GB2312" w:hAnsi="仿宋_GB2312" w:eastAsia="仿宋_GB2312" w:cs="仿宋_GB2312"/>
          <w:b w:val="0"/>
          <w:bCs w:val="0"/>
          <w:color w:val="auto"/>
          <w:kern w:val="0"/>
          <w:sz w:val="32"/>
          <w:szCs w:val="32"/>
          <w:lang w:val="en-US" w:eastAsia="zh-CN"/>
        </w:rPr>
        <w:t>周围的限制规定等不得放宽约束</w:t>
      </w:r>
      <w:r>
        <w:rPr>
          <w:rFonts w:hint="eastAsia" w:ascii="仿宋_GB2312" w:hAnsi="仿宋_GB2312" w:eastAsia="仿宋_GB2312" w:cs="仿宋_GB2312"/>
          <w:b w:val="0"/>
          <w:bCs w:val="0"/>
          <w:color w:val="auto"/>
          <w:sz w:val="32"/>
          <w:szCs w:val="32"/>
          <w:highlight w:val="none"/>
          <w:lang w:val="en-US" w:eastAsia="zh-CN"/>
        </w:rPr>
        <w:t>；</w:t>
      </w:r>
    </w:p>
    <w:p>
      <w:pPr>
        <w:tabs>
          <w:tab w:val="left" w:pos="977"/>
        </w:tabs>
        <w:bidi w:val="0"/>
        <w:ind w:firstLine="640"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三）非家庭经营的持证个体工商户，两年内无涉烟违法记录，因持证人死亡或者丧失民事行为能力，烟草专卖零售许可证被依法注销后30个自然日内，原持证人的家庭成员（具有完全民事行为能力的配偶、父母或子女）在原经营场所提出新办申请的。</w:t>
      </w:r>
    </w:p>
    <w:p>
      <w:pPr>
        <w:tabs>
          <w:tab w:val="left" w:pos="977"/>
        </w:tabs>
        <w:bidi w:val="0"/>
        <w:ind w:firstLine="643" w:firstLineChars="20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 xml:space="preserve">第十六条 </w:t>
      </w:r>
      <w:r>
        <w:rPr>
          <w:rFonts w:hint="eastAsia" w:ascii="仿宋_GB2312" w:hAnsi="仿宋_GB2312" w:eastAsia="仿宋_GB2312" w:cs="仿宋_GB2312"/>
          <w:b w:val="0"/>
          <w:bCs w:val="0"/>
          <w:color w:val="auto"/>
          <w:kern w:val="0"/>
          <w:sz w:val="32"/>
          <w:szCs w:val="32"/>
          <w:lang w:val="en-US" w:eastAsia="zh-CN"/>
        </w:rPr>
        <w:t>基于经营场所的安全要求和</w:t>
      </w:r>
      <w:r>
        <w:rPr>
          <w:rFonts w:hint="eastAsia" w:ascii="仿宋_GB2312" w:hAnsi="仿宋_GB2312" w:eastAsia="仿宋_GB2312" w:cs="仿宋_GB2312"/>
          <w:b w:val="0"/>
          <w:color w:val="auto"/>
          <w:sz w:val="32"/>
          <w:highlight w:val="none"/>
          <w:lang w:val="en-US" w:eastAsia="zh-CN"/>
        </w:rPr>
        <w:t>中小学、幼儿园</w:t>
      </w:r>
      <w:r>
        <w:rPr>
          <w:rFonts w:hint="eastAsia" w:ascii="仿宋_GB2312" w:hAnsi="仿宋_GB2312" w:eastAsia="仿宋_GB2312" w:cs="仿宋_GB2312"/>
          <w:b w:val="0"/>
          <w:bCs w:val="0"/>
          <w:color w:val="auto"/>
          <w:kern w:val="0"/>
          <w:sz w:val="32"/>
          <w:szCs w:val="32"/>
          <w:lang w:val="en-US" w:eastAsia="zh-CN"/>
        </w:rPr>
        <w:t>周围的限制规定等不得放宽。</w:t>
      </w:r>
    </w:p>
    <w:p>
      <w:pPr>
        <w:tabs>
          <w:tab w:val="left" w:pos="977"/>
        </w:tabs>
        <w:bidi w:val="0"/>
        <w:ind w:firstLine="640" w:firstLineChars="200"/>
        <w:jc w:val="both"/>
        <w:rPr>
          <w:rFonts w:hint="default" w:ascii="仿宋_GB2312" w:hAnsi="仿宋_GB2312" w:eastAsia="仿宋_GB2312" w:cs="仿宋_GB2312"/>
          <w:b w:val="0"/>
          <w:bCs w:val="0"/>
          <w:color w:val="auto"/>
          <w:kern w:val="0"/>
          <w:sz w:val="32"/>
          <w:szCs w:val="32"/>
          <w:lang w:val="en-US" w:eastAsia="zh-CN"/>
        </w:rPr>
      </w:pPr>
    </w:p>
    <w:p>
      <w:pPr>
        <w:jc w:val="center"/>
        <w:rPr>
          <w:rFonts w:hint="eastAsia" w:ascii="黑体" w:hAnsi="宋体" w:eastAsia="黑体" w:cs="黑体"/>
          <w:b w:val="0"/>
          <w:bCs w:val="0"/>
          <w:i w:val="0"/>
          <w:iCs w:val="0"/>
          <w:caps w:val="0"/>
          <w:color w:val="auto"/>
          <w:spacing w:val="0"/>
          <w:sz w:val="32"/>
          <w:szCs w:val="32"/>
          <w:shd w:val="clear" w:color="auto" w:fill="FFFFFF"/>
          <w:lang w:val="en-US" w:eastAsia="zh-CN"/>
        </w:rPr>
      </w:pPr>
      <w:r>
        <w:rPr>
          <w:rFonts w:hint="eastAsia" w:ascii="黑体" w:hAnsi="宋体" w:eastAsia="黑体" w:cs="黑体"/>
          <w:b w:val="0"/>
          <w:bCs w:val="0"/>
          <w:i w:val="0"/>
          <w:iCs w:val="0"/>
          <w:caps w:val="0"/>
          <w:color w:val="auto"/>
          <w:spacing w:val="0"/>
          <w:sz w:val="32"/>
          <w:szCs w:val="32"/>
          <w:shd w:val="clear" w:color="auto" w:fill="FFFFFF"/>
        </w:rPr>
        <w:t>第</w:t>
      </w:r>
      <w:r>
        <w:rPr>
          <w:rFonts w:hint="eastAsia" w:ascii="黑体" w:hAnsi="宋体" w:eastAsia="黑体" w:cs="黑体"/>
          <w:b w:val="0"/>
          <w:bCs w:val="0"/>
          <w:i w:val="0"/>
          <w:iCs w:val="0"/>
          <w:caps w:val="0"/>
          <w:color w:val="auto"/>
          <w:spacing w:val="0"/>
          <w:sz w:val="32"/>
          <w:szCs w:val="32"/>
          <w:shd w:val="clear" w:color="auto" w:fill="FFFFFF"/>
          <w:lang w:eastAsia="zh-CN"/>
        </w:rPr>
        <w:t>五</w:t>
      </w:r>
      <w:r>
        <w:rPr>
          <w:rFonts w:hint="eastAsia" w:ascii="黑体" w:hAnsi="宋体" w:eastAsia="黑体" w:cs="黑体"/>
          <w:b w:val="0"/>
          <w:bCs w:val="0"/>
          <w:i w:val="0"/>
          <w:iCs w:val="0"/>
          <w:caps w:val="0"/>
          <w:color w:val="auto"/>
          <w:spacing w:val="0"/>
          <w:sz w:val="32"/>
          <w:szCs w:val="32"/>
          <w:shd w:val="clear" w:color="auto" w:fill="FFFFFF"/>
        </w:rPr>
        <w:t>章</w:t>
      </w:r>
      <w:r>
        <w:rPr>
          <w:rFonts w:hint="eastAsia" w:ascii="黑体" w:hAnsi="宋体" w:eastAsia="黑体" w:cs="黑体"/>
          <w:b w:val="0"/>
          <w:bCs w:val="0"/>
          <w:i w:val="0"/>
          <w:iCs w:val="0"/>
          <w:caps w:val="0"/>
          <w:color w:val="auto"/>
          <w:spacing w:val="0"/>
          <w:sz w:val="32"/>
          <w:szCs w:val="32"/>
          <w:shd w:val="clear" w:color="auto" w:fill="FFFFFF"/>
          <w:lang w:val="en-US" w:eastAsia="zh-CN"/>
        </w:rPr>
        <w:t xml:space="preserve"> 附 则</w:t>
      </w:r>
    </w:p>
    <w:p>
      <w:pPr>
        <w:ind w:firstLine="643" w:firstLineChars="200"/>
        <w:jc w:val="both"/>
        <w:rPr>
          <w:rFonts w:hint="eastAsia" w:ascii="仿宋_GB2312" w:hAnsi="仿宋_GB2312" w:eastAsia="仿宋_GB2312" w:cs="仿宋_GB2312"/>
          <w:b/>
          <w:bCs/>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 xml:space="preserve">第十七条 </w:t>
      </w:r>
      <w:r>
        <w:rPr>
          <w:rFonts w:hint="eastAsia" w:ascii="仿宋_GB2312" w:hAnsi="仿宋_GB2312" w:eastAsia="仿宋_GB2312" w:cs="仿宋_GB2312"/>
          <w:b w:val="0"/>
          <w:bCs w:val="0"/>
          <w:color w:val="auto"/>
          <w:kern w:val="0"/>
          <w:sz w:val="32"/>
          <w:szCs w:val="32"/>
          <w:lang w:val="en-US" w:eastAsia="zh-CN"/>
        </w:rPr>
        <w:t>本规划不溯及已合法持有烟草专卖零售许可证的零售户，但属于</w:t>
      </w:r>
      <w:r>
        <w:rPr>
          <w:rFonts w:hint="eastAsia" w:ascii="仿宋_GB2312" w:hAnsi="仿宋_GB2312" w:eastAsia="仿宋_GB2312" w:cs="仿宋_GB2312"/>
          <w:b w:val="0"/>
          <w:color w:val="auto"/>
          <w:sz w:val="32"/>
          <w:highlight w:val="none"/>
          <w:lang w:val="en-US" w:eastAsia="zh-CN"/>
        </w:rPr>
        <w:t>中小学、幼儿园</w:t>
      </w:r>
      <w:r>
        <w:rPr>
          <w:rFonts w:hint="eastAsia" w:ascii="仿宋_GB2312" w:hAnsi="仿宋_GB2312" w:eastAsia="仿宋_GB2312" w:cs="仿宋_GB2312"/>
          <w:b w:val="0"/>
          <w:bCs w:val="0"/>
          <w:color w:val="auto"/>
          <w:kern w:val="0"/>
          <w:sz w:val="32"/>
          <w:szCs w:val="32"/>
          <w:lang w:val="en-US" w:eastAsia="zh-CN"/>
        </w:rPr>
        <w:t>内部及出入口100米（含）距离范围内的，烟草专卖零售许可证有效期届满后不再延续。</w:t>
      </w:r>
    </w:p>
    <w:p>
      <w:pPr>
        <w:ind w:firstLine="643" w:firstLineChars="20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 xml:space="preserve">第十八条 </w:t>
      </w:r>
      <w:r>
        <w:rPr>
          <w:rFonts w:hint="eastAsia" w:ascii="仿宋_GB2312" w:hAnsi="仿宋_GB2312" w:eastAsia="仿宋_GB2312" w:cs="仿宋_GB2312"/>
          <w:b w:val="0"/>
          <w:bCs w:val="0"/>
          <w:color w:val="auto"/>
          <w:kern w:val="0"/>
          <w:sz w:val="32"/>
          <w:szCs w:val="32"/>
          <w:lang w:val="en-US" w:eastAsia="zh-CN"/>
        </w:rPr>
        <w:t>经营场所的确定应当以营业执照上经营场所的登记地址或者相关部门核定的地址名称为准（经营场所地址应细化到门牌号），最终根据专卖执法人员实地核查结果确定。</w:t>
      </w:r>
    </w:p>
    <w:p>
      <w:pPr>
        <w:ind w:firstLine="643" w:firstLineChars="200"/>
        <w:jc w:val="left"/>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 xml:space="preserve">第十九条 </w:t>
      </w:r>
      <w:r>
        <w:rPr>
          <w:rFonts w:hint="eastAsia" w:ascii="仿宋_GB2312" w:hAnsi="仿宋_GB2312" w:eastAsia="仿宋_GB2312" w:cs="仿宋_GB2312"/>
          <w:b w:val="0"/>
          <w:bCs w:val="0"/>
          <w:color w:val="auto"/>
          <w:kern w:val="0"/>
          <w:sz w:val="32"/>
          <w:szCs w:val="32"/>
          <w:lang w:val="en-US" w:eastAsia="zh-CN"/>
        </w:rPr>
        <w:t>本规划所称的“以上”、“不超过”、“不少于”均含本数。</w:t>
      </w:r>
    </w:p>
    <w:p>
      <w:pPr>
        <w:ind w:firstLine="643" w:firstLineChars="200"/>
        <w:jc w:val="both"/>
        <w:rPr>
          <w:rFonts w:hint="eastAsia" w:ascii="仿宋_GB2312" w:hAnsi="仿宋_GB2312" w:eastAsia="仿宋_GB2312" w:cs="仿宋_GB2312"/>
          <w:b/>
          <w:bCs/>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 xml:space="preserve">第二十条 </w:t>
      </w:r>
      <w:r>
        <w:rPr>
          <w:rFonts w:hint="eastAsia" w:ascii="仿宋_GB2312" w:hAnsi="仿宋_GB2312" w:eastAsia="仿宋_GB2312" w:cs="仿宋_GB2312"/>
          <w:b w:val="0"/>
          <w:bCs w:val="0"/>
          <w:color w:val="auto"/>
          <w:kern w:val="0"/>
          <w:sz w:val="32"/>
          <w:szCs w:val="32"/>
          <w:lang w:val="en-US" w:eastAsia="zh-CN"/>
        </w:rPr>
        <w:t>本规划所称</w:t>
      </w:r>
      <w:r>
        <w:rPr>
          <w:rFonts w:hint="eastAsia" w:ascii="仿宋_GB2312" w:hAnsi="仿宋_GB2312" w:eastAsia="仿宋_GB2312" w:cs="仿宋_GB2312"/>
          <w:b w:val="0"/>
          <w:color w:val="auto"/>
          <w:sz w:val="32"/>
          <w:highlight w:val="none"/>
          <w:lang w:val="en-US" w:eastAsia="zh-CN"/>
        </w:rPr>
        <w:t>中小学，是指普通中小学、特殊教育学校、中等职业学校、专门学校。</w:t>
      </w:r>
    </w:p>
    <w:p>
      <w:pPr>
        <w:ind w:firstLine="643" w:firstLineChars="200"/>
        <w:jc w:val="both"/>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 xml:space="preserve">第二十一条 </w:t>
      </w:r>
      <w:r>
        <w:rPr>
          <w:rFonts w:hint="eastAsia" w:ascii="仿宋_GB2312" w:hAnsi="仿宋_GB2312" w:eastAsia="仿宋_GB2312" w:cs="仿宋_GB2312"/>
          <w:b w:val="0"/>
          <w:bCs w:val="0"/>
          <w:color w:val="auto"/>
          <w:kern w:val="0"/>
          <w:sz w:val="32"/>
          <w:szCs w:val="32"/>
          <w:lang w:val="en-US" w:eastAsia="zh-CN"/>
        </w:rPr>
        <w:t>本规划网格内零售点数量达到容量上限的，实行轮候管理，轮候管理按照《克拉玛依市烟草制品零售点轮候管理办法（试行）》（附件1）执行。</w:t>
      </w:r>
    </w:p>
    <w:p>
      <w:pPr>
        <w:ind w:firstLine="643" w:firstLineChars="200"/>
        <w:jc w:val="left"/>
        <w:rPr>
          <w:rFonts w:hint="eastAsia" w:ascii="仿宋_GB2312" w:hAnsi="仿宋_GB2312" w:eastAsia="仿宋_GB2312" w:cs="仿宋_GB2312"/>
          <w:b/>
          <w:bCs/>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 xml:space="preserve">第二十二条 </w:t>
      </w:r>
      <w:r>
        <w:rPr>
          <w:rFonts w:hint="eastAsia" w:ascii="仿宋_GB2312" w:hAnsi="仿宋_GB2312" w:eastAsia="仿宋_GB2312" w:cs="仿宋_GB2312"/>
          <w:b w:val="0"/>
          <w:bCs w:val="0"/>
          <w:color w:val="auto"/>
          <w:kern w:val="0"/>
          <w:sz w:val="32"/>
          <w:szCs w:val="32"/>
          <w:lang w:val="en-US" w:eastAsia="zh-CN"/>
        </w:rPr>
        <w:t>本规划烟草制品零售点间距测量按照《克拉玛依市独山子区烟草制品零售点测距标准》（附件2）执行。</w:t>
      </w:r>
    </w:p>
    <w:p>
      <w:pPr>
        <w:ind w:firstLine="643" w:firstLineChars="200"/>
        <w:jc w:val="left"/>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 xml:space="preserve">第二十三条 </w:t>
      </w:r>
      <w:r>
        <w:rPr>
          <w:rFonts w:hint="eastAsia" w:ascii="仿宋_GB2312" w:hAnsi="仿宋_GB2312" w:eastAsia="仿宋_GB2312" w:cs="仿宋_GB2312"/>
          <w:b w:val="0"/>
          <w:bCs w:val="0"/>
          <w:color w:val="auto"/>
          <w:kern w:val="0"/>
          <w:sz w:val="32"/>
          <w:szCs w:val="32"/>
          <w:lang w:val="en-US" w:eastAsia="zh-CN"/>
        </w:rPr>
        <w:t>本规划由克拉玛依市独山子区烟草专卖局负责解释。</w:t>
      </w:r>
    </w:p>
    <w:p>
      <w:pPr>
        <w:ind w:firstLine="643" w:firstLineChars="200"/>
        <w:jc w:val="left"/>
        <w:rPr>
          <w:rFonts w:hint="default"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 xml:space="preserve">第二十四条 </w:t>
      </w:r>
      <w:r>
        <w:rPr>
          <w:rFonts w:hint="eastAsia" w:ascii="仿宋_GB2312" w:hAnsi="仿宋_GB2312" w:eastAsia="仿宋_GB2312" w:cs="仿宋_GB2312"/>
          <w:b w:val="0"/>
          <w:bCs w:val="0"/>
          <w:color w:val="auto"/>
          <w:kern w:val="0"/>
          <w:sz w:val="32"/>
          <w:szCs w:val="32"/>
          <w:lang w:val="en-US" w:eastAsia="zh-CN"/>
        </w:rPr>
        <w:t>本规划</w:t>
      </w:r>
      <w:r>
        <w:rPr>
          <w:rFonts w:hint="eastAsia" w:ascii="仿宋_GB2312" w:hAnsi="仿宋_GB2312" w:eastAsia="仿宋_GB2312" w:cs="仿宋_GB2312"/>
          <w:color w:val="auto"/>
          <w:sz w:val="32"/>
          <w:szCs w:val="32"/>
          <w:lang w:val="en-US" w:eastAsia="zh-CN"/>
        </w:rPr>
        <w:t>自公布之日起30日后施行，效期为5年，自施行之日起计算。</w:t>
      </w:r>
      <w:r>
        <w:rPr>
          <w:rFonts w:hint="eastAsia" w:ascii="仿宋_GB2312" w:hAnsi="仿宋_GB2312" w:eastAsia="仿宋_GB2312" w:cs="仿宋_GB2312"/>
          <w:b w:val="0"/>
          <w:bCs w:val="0"/>
          <w:color w:val="auto"/>
          <w:kern w:val="0"/>
          <w:sz w:val="32"/>
          <w:szCs w:val="32"/>
          <w:lang w:val="en-US" w:eastAsia="zh-CN"/>
        </w:rPr>
        <w:t>原《克拉玛依市独山子区烟草制品零售点合理布局规划（2021版）》同时废止。</w:t>
      </w:r>
    </w:p>
    <w:p>
      <w:pPr>
        <w:ind w:firstLine="640" w:firstLineChars="200"/>
        <w:jc w:val="left"/>
        <w:rPr>
          <w:rFonts w:hint="default" w:ascii="仿宋_GB2312" w:hAnsi="仿宋_GB2312" w:eastAsia="仿宋_GB2312" w:cs="仿宋_GB2312"/>
          <w:b w:val="0"/>
          <w:bCs w:val="0"/>
          <w:color w:val="auto"/>
          <w:kern w:val="0"/>
          <w:sz w:val="32"/>
          <w:szCs w:val="32"/>
          <w:lang w:val="en-US" w:eastAsia="zh-CN"/>
        </w:rPr>
      </w:pPr>
    </w:p>
    <w:sectPr>
      <w:pgSz w:w="11906" w:h="16838"/>
      <w:pgMar w:top="2098" w:right="1587" w:bottom="2098"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77A253"/>
    <w:multiLevelType w:val="singleLevel"/>
    <w:tmpl w:val="FF77A253"/>
    <w:lvl w:ilvl="0" w:tentative="0">
      <w:start w:val="3"/>
      <w:numFmt w:val="chineseCounting"/>
      <w:suff w:val="nothing"/>
      <w:lvlText w:val="（%1）"/>
      <w:lvlJc w:val="left"/>
      <w:pPr>
        <w:ind w:left="-1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6BA6017"/>
    <w:rsid w:val="04082AD7"/>
    <w:rsid w:val="05DC7463"/>
    <w:rsid w:val="089F49DA"/>
    <w:rsid w:val="0BC45C5A"/>
    <w:rsid w:val="0EDC32D0"/>
    <w:rsid w:val="14A7314F"/>
    <w:rsid w:val="1F533349"/>
    <w:rsid w:val="21D7AAF8"/>
    <w:rsid w:val="2DF6964B"/>
    <w:rsid w:val="30224D9D"/>
    <w:rsid w:val="33FD630C"/>
    <w:rsid w:val="34FBC7A1"/>
    <w:rsid w:val="358C5DB5"/>
    <w:rsid w:val="38D16429"/>
    <w:rsid w:val="3AF73833"/>
    <w:rsid w:val="3BFF041D"/>
    <w:rsid w:val="4E9FD4B8"/>
    <w:rsid w:val="4F9E9477"/>
    <w:rsid w:val="4FF72C8A"/>
    <w:rsid w:val="534E5190"/>
    <w:rsid w:val="56EA9322"/>
    <w:rsid w:val="5CBFADFE"/>
    <w:rsid w:val="5F1F4C4F"/>
    <w:rsid w:val="5F3F0E96"/>
    <w:rsid w:val="63CFA202"/>
    <w:rsid w:val="63EEE25B"/>
    <w:rsid w:val="68193216"/>
    <w:rsid w:val="699715BC"/>
    <w:rsid w:val="6BB677A8"/>
    <w:rsid w:val="6CA81BAB"/>
    <w:rsid w:val="6DFBA6A7"/>
    <w:rsid w:val="6E786EA2"/>
    <w:rsid w:val="6EB5716A"/>
    <w:rsid w:val="6EFB08B2"/>
    <w:rsid w:val="6EFDFA84"/>
    <w:rsid w:val="6F75E41C"/>
    <w:rsid w:val="71BFD615"/>
    <w:rsid w:val="73EBA68A"/>
    <w:rsid w:val="784E122D"/>
    <w:rsid w:val="79AFE62D"/>
    <w:rsid w:val="7A1C94BB"/>
    <w:rsid w:val="7BBD15A4"/>
    <w:rsid w:val="7BE76799"/>
    <w:rsid w:val="7CFB3F35"/>
    <w:rsid w:val="7F0F98A9"/>
    <w:rsid w:val="7F7E1531"/>
    <w:rsid w:val="7FCDF224"/>
    <w:rsid w:val="7FCF0D15"/>
    <w:rsid w:val="7FDEBB13"/>
    <w:rsid w:val="83B6A510"/>
    <w:rsid w:val="996C9AF5"/>
    <w:rsid w:val="99A4875F"/>
    <w:rsid w:val="A3DD9CCB"/>
    <w:rsid w:val="AE7DDA04"/>
    <w:rsid w:val="BBF2A69D"/>
    <w:rsid w:val="BF9CBA5B"/>
    <w:rsid w:val="BFFFD6A4"/>
    <w:rsid w:val="D683E0DF"/>
    <w:rsid w:val="E3BDC3DD"/>
    <w:rsid w:val="E6BA6017"/>
    <w:rsid w:val="EBF49C5A"/>
    <w:rsid w:val="ED1FF1E8"/>
    <w:rsid w:val="EFAB0F28"/>
    <w:rsid w:val="EFB76C1F"/>
    <w:rsid w:val="F7A793DB"/>
    <w:rsid w:val="F7EA9CF3"/>
    <w:rsid w:val="F7FFCF73"/>
    <w:rsid w:val="F995A235"/>
    <w:rsid w:val="FADF99E2"/>
    <w:rsid w:val="FBD91426"/>
    <w:rsid w:val="FBFBD554"/>
    <w:rsid w:val="FD5C2518"/>
    <w:rsid w:val="FD62637B"/>
    <w:rsid w:val="FDD38719"/>
    <w:rsid w:val="FEEF3A1E"/>
    <w:rsid w:val="FFBAAE6F"/>
    <w:rsid w:val="FFBDC835"/>
    <w:rsid w:val="FFED616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Style w:val="3"/>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457</Words>
  <Characters>457</Characters>
  <Lines>0</Lines>
  <Paragraphs>0</Paragraphs>
  <TotalTime>3.66666666666667</TotalTime>
  <ScaleCrop>false</ScaleCrop>
  <LinksUpToDate>false</LinksUpToDate>
  <CharactersWithSpaces>461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2026-06-28T16:32:00Z</dcterms:created>
  <dc:creator>kylin</dc:creator>
  <cp:lastModifiedBy>Administrator</cp:lastModifiedBy>
  <cp:lastPrinted>2026-09-29T11:09:03Z</cp:lastPrinted>
  <dcterms:modified xsi:type="dcterms:W3CDTF">2026-09-29T04:33:33Z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EF652F174BD7B834B6CCB46ACF5E031F_43</vt:lpwstr>
  </property>
  <property fmtid="{D5CDD505-2E9C-101B-9397-08002B2CF9AE}" pid="4" name="KSOTemplateDocerSaveRecord">
    <vt:lpwstr>eyJoZGlkIjoiNGY4ODY5ZDZkNmU4MDFjYTk3ZjExN2I0N2VlYWYzMGEiLCJ1c2VySWQiOiI2MjQxNjU4NDkifQ==</vt:lpwstr>
  </property>
</Properties>
</file>