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5"/>
        <w:rPr>
          <w:rFonts w:ascii="Times New Roman" w:hAnsi="Times New Roman" w:eastAsia="仿宋_GB2312"/>
          <w:sz w:val="36"/>
          <w:szCs w:val="36"/>
        </w:rPr>
      </w:pPr>
      <w:bookmarkStart w:id="0" w:name="_Hlk57883707"/>
    </w:p>
    <w:p>
      <w:pPr>
        <w:ind w:firstLine="295"/>
        <w:rPr>
          <w:rFonts w:ascii="Times New Roman" w:hAnsi="Times New Roman" w:eastAsia="仿宋_GB2312"/>
          <w:sz w:val="36"/>
          <w:szCs w:val="36"/>
        </w:rPr>
      </w:pPr>
    </w:p>
    <w:bookmarkEnd w:id="0"/>
    <w:p>
      <w:pPr>
        <w:adjustRightInd w:val="0"/>
        <w:snapToGrid w:val="0"/>
        <w:ind w:firstLine="590"/>
        <w:jc w:val="center"/>
        <w:outlineLvl w:val="0"/>
        <w:rPr>
          <w:rFonts w:ascii="Times New Roman" w:hAnsi="Times New Roman" w:eastAsia="方正小标宋_GBK"/>
          <w:bCs/>
          <w:sz w:val="72"/>
          <w:szCs w:val="72"/>
        </w:rPr>
      </w:pPr>
      <w:r>
        <w:rPr>
          <w:rFonts w:ascii="Times New Roman" w:hAnsi="Times New Roman" w:eastAsia="方正小标宋_GBK"/>
          <w:bCs/>
          <w:sz w:val="72"/>
          <w:szCs w:val="72"/>
        </w:rPr>
        <w:t>建设项目环境影响报告表</w:t>
      </w:r>
    </w:p>
    <w:p>
      <w:pPr>
        <w:adjustRightInd w:val="0"/>
        <w:snapToGrid w:val="0"/>
        <w:spacing w:before="192" w:beforeLines="80"/>
        <w:ind w:firstLine="394"/>
        <w:jc w:val="center"/>
        <w:rPr>
          <w:rFonts w:ascii="Times New Roman" w:hAnsi="Times New Roman" w:eastAsia="楷体_GB2312"/>
          <w:bCs/>
          <w:sz w:val="48"/>
          <w:szCs w:val="48"/>
        </w:rPr>
      </w:pPr>
      <w:r>
        <w:rPr>
          <w:rFonts w:ascii="Times New Roman" w:hAnsi="Times New Roman" w:eastAsia="楷体_GB2312"/>
          <w:bCs/>
          <w:sz w:val="48"/>
          <w:szCs w:val="48"/>
        </w:rPr>
        <w:t>（生态影响类）</w:t>
      </w:r>
    </w:p>
    <w:p>
      <w:pPr>
        <w:ind w:firstLine="361"/>
        <w:rPr>
          <w:rFonts w:ascii="Times New Roman" w:hAnsi="Times New Roman" w:eastAsia="仿宋"/>
          <w:sz w:val="44"/>
          <w:szCs w:val="44"/>
        </w:rPr>
      </w:pPr>
      <w:bookmarkStart w:id="1" w:name="_Hlk57883728"/>
    </w:p>
    <w:p>
      <w:pPr>
        <w:ind w:firstLine="361"/>
        <w:rPr>
          <w:rFonts w:ascii="Times New Roman" w:hAnsi="Times New Roman" w:eastAsia="仿宋"/>
          <w:sz w:val="44"/>
          <w:szCs w:val="44"/>
        </w:rPr>
      </w:pPr>
    </w:p>
    <w:p>
      <w:pPr>
        <w:ind w:firstLine="361"/>
        <w:rPr>
          <w:rFonts w:ascii="Times New Roman" w:hAnsi="Times New Roman" w:eastAsia="仿宋"/>
          <w:sz w:val="44"/>
          <w:szCs w:val="44"/>
        </w:rPr>
      </w:pPr>
    </w:p>
    <w:bookmarkEnd w:id="1"/>
    <w:p>
      <w:pPr>
        <w:adjustRightInd w:val="0"/>
        <w:snapToGrid w:val="0"/>
        <w:spacing w:line="288" w:lineRule="auto"/>
        <w:ind w:left="1905" w:leftChars="50" w:hanging="1800" w:hangingChars="500"/>
        <w:rPr>
          <w:rFonts w:ascii="Times New Roman" w:hAnsi="Times New Roman" w:eastAsia="仿宋_GB2312"/>
          <w:sz w:val="36"/>
          <w:szCs w:val="36"/>
          <w:u w:val="single"/>
        </w:rPr>
      </w:pPr>
      <w:r>
        <w:rPr>
          <w:rFonts w:ascii="Times New Roman" w:hAnsi="Times New Roman" w:eastAsia="仿宋_GB2312"/>
          <w:sz w:val="36"/>
          <w:szCs w:val="36"/>
        </w:rPr>
        <w:t>项目名称：</w:t>
      </w:r>
      <w:r>
        <w:rPr>
          <w:rFonts w:ascii="Times New Roman" w:hAnsi="Times New Roman" w:eastAsia="仿宋_GB2312"/>
          <w:sz w:val="36"/>
          <w:szCs w:val="36"/>
          <w:u w:val="single"/>
        </w:rPr>
        <w:t xml:space="preserve">春光油田春2井区开发建设项目                                   </w:t>
      </w:r>
    </w:p>
    <w:p>
      <w:pPr>
        <w:adjustRightInd w:val="0"/>
        <w:snapToGrid w:val="0"/>
        <w:spacing w:line="288" w:lineRule="auto"/>
        <w:ind w:firstLine="180" w:firstLineChars="50"/>
        <w:rPr>
          <w:rFonts w:ascii="Times New Roman" w:hAnsi="Times New Roman" w:eastAsia="仿宋_GB2312"/>
          <w:sz w:val="36"/>
          <w:szCs w:val="36"/>
          <w:u w:val="single"/>
        </w:rPr>
      </w:pPr>
      <w:r>
        <w:rPr>
          <w:rFonts w:ascii="Times New Roman" w:hAnsi="Times New Roman" w:eastAsia="仿宋_GB2312"/>
          <w:sz w:val="36"/>
          <w:szCs w:val="36"/>
        </w:rPr>
        <w:t>建设单位（盖章）：</w:t>
      </w:r>
      <w:r>
        <w:rPr>
          <w:rFonts w:ascii="Times New Roman" w:hAnsi="Times New Roman" w:eastAsia="仿宋_GB2312"/>
          <w:sz w:val="36"/>
          <w:szCs w:val="36"/>
          <w:u w:val="single"/>
        </w:rPr>
        <w:t xml:space="preserve">中国石油化工股份有限公司      </w:t>
      </w:r>
    </w:p>
    <w:p>
      <w:pPr>
        <w:adjustRightInd w:val="0"/>
        <w:snapToGrid w:val="0"/>
        <w:spacing w:line="288" w:lineRule="auto"/>
        <w:ind w:firstLine="295"/>
        <w:jc w:val="center"/>
        <w:rPr>
          <w:rFonts w:ascii="Times New Roman" w:hAnsi="Times New Roman" w:eastAsia="仿宋_GB2312"/>
          <w:sz w:val="36"/>
          <w:szCs w:val="36"/>
          <w:u w:val="single"/>
        </w:rPr>
      </w:pPr>
      <w:r>
        <w:rPr>
          <w:rFonts w:ascii="Times New Roman" w:hAnsi="Times New Roman" w:eastAsia="仿宋_GB2312"/>
          <w:sz w:val="36"/>
          <w:szCs w:val="36"/>
        </w:rPr>
        <w:t xml:space="preserve">             </w:t>
      </w:r>
      <w:r>
        <w:rPr>
          <w:rFonts w:ascii="Times New Roman" w:hAnsi="Times New Roman" w:eastAsia="仿宋_GB2312"/>
          <w:sz w:val="36"/>
          <w:szCs w:val="36"/>
          <w:u w:val="single"/>
        </w:rPr>
        <w:t xml:space="preserve">河南油田分公司新疆采油厂       </w:t>
      </w:r>
    </w:p>
    <w:p>
      <w:pPr>
        <w:adjustRightInd w:val="0"/>
        <w:snapToGrid w:val="0"/>
        <w:spacing w:line="288" w:lineRule="auto"/>
        <w:ind w:firstLine="180" w:firstLineChars="50"/>
        <w:rPr>
          <w:rFonts w:ascii="Times New Roman" w:hAnsi="Times New Roman" w:eastAsia="仿宋_GB2312"/>
          <w:sz w:val="36"/>
          <w:szCs w:val="36"/>
          <w:u w:val="single"/>
        </w:rPr>
      </w:pPr>
      <w:r>
        <w:rPr>
          <w:rFonts w:ascii="Times New Roman" w:hAnsi="Times New Roman" w:eastAsia="仿宋_GB2312"/>
          <w:sz w:val="36"/>
          <w:szCs w:val="36"/>
        </w:rPr>
        <w:t>编制日期：</w:t>
      </w:r>
      <w:r>
        <w:rPr>
          <w:rFonts w:ascii="Times New Roman" w:hAnsi="Times New Roman" w:eastAsia="仿宋_GB2312"/>
          <w:sz w:val="36"/>
          <w:szCs w:val="36"/>
          <w:u w:val="single"/>
        </w:rPr>
        <w:t xml:space="preserve">        2022年6月                      </w:t>
      </w:r>
    </w:p>
    <w:p>
      <w:pPr>
        <w:adjustRightInd w:val="0"/>
        <w:snapToGrid w:val="0"/>
        <w:spacing w:line="288" w:lineRule="auto"/>
        <w:ind w:firstLine="295"/>
        <w:rPr>
          <w:rFonts w:ascii="Times New Roman" w:hAnsi="Times New Roman" w:eastAsia="仿宋_GB2312"/>
          <w:sz w:val="36"/>
          <w:szCs w:val="36"/>
          <w:u w:val="single"/>
        </w:rPr>
      </w:pPr>
    </w:p>
    <w:p>
      <w:pPr>
        <w:adjustRightInd w:val="0"/>
        <w:snapToGrid w:val="0"/>
        <w:spacing w:line="288" w:lineRule="auto"/>
        <w:ind w:firstLine="295"/>
        <w:rPr>
          <w:rFonts w:ascii="Times New Roman" w:hAnsi="Times New Roman" w:eastAsia="仿宋_GB2312"/>
          <w:sz w:val="36"/>
          <w:szCs w:val="36"/>
        </w:rPr>
      </w:pPr>
    </w:p>
    <w:p>
      <w:pPr>
        <w:adjustRightInd w:val="0"/>
        <w:snapToGrid w:val="0"/>
        <w:spacing w:line="288" w:lineRule="auto"/>
        <w:ind w:firstLine="295"/>
        <w:rPr>
          <w:rFonts w:ascii="Times New Roman" w:hAnsi="Times New Roman" w:eastAsia="仿宋_GB2312"/>
          <w:sz w:val="36"/>
          <w:szCs w:val="36"/>
        </w:rPr>
      </w:pPr>
    </w:p>
    <w:p>
      <w:pPr>
        <w:adjustRightInd w:val="0"/>
        <w:snapToGrid w:val="0"/>
        <w:spacing w:line="288" w:lineRule="auto"/>
        <w:ind w:firstLine="295"/>
        <w:rPr>
          <w:rFonts w:ascii="Times New Roman" w:hAnsi="Times New Roman" w:eastAsia="仿宋_GB2312"/>
          <w:sz w:val="36"/>
          <w:szCs w:val="36"/>
        </w:rPr>
      </w:pPr>
    </w:p>
    <w:p>
      <w:pPr>
        <w:adjustRightInd w:val="0"/>
        <w:snapToGrid w:val="0"/>
        <w:spacing w:line="288" w:lineRule="auto"/>
        <w:ind w:firstLine="295"/>
        <w:rPr>
          <w:rFonts w:ascii="Times New Roman" w:hAnsi="Times New Roman" w:eastAsia="仿宋_GB2312"/>
          <w:sz w:val="36"/>
          <w:szCs w:val="36"/>
        </w:rPr>
      </w:pPr>
    </w:p>
    <w:p>
      <w:pPr>
        <w:adjustRightInd w:val="0"/>
        <w:snapToGrid w:val="0"/>
        <w:spacing w:line="288" w:lineRule="auto"/>
        <w:ind w:firstLine="295"/>
        <w:rPr>
          <w:rFonts w:ascii="Times New Roman" w:hAnsi="Times New Roman" w:eastAsia="仿宋_GB2312"/>
          <w:sz w:val="36"/>
          <w:szCs w:val="36"/>
        </w:rPr>
      </w:pPr>
    </w:p>
    <w:p>
      <w:pPr>
        <w:adjustRightInd w:val="0"/>
        <w:snapToGrid w:val="0"/>
        <w:spacing w:line="288" w:lineRule="auto"/>
        <w:ind w:firstLine="295"/>
        <w:rPr>
          <w:rFonts w:ascii="Times New Roman" w:hAnsi="Times New Roman" w:eastAsia="仿宋_GB2312"/>
          <w:sz w:val="36"/>
          <w:szCs w:val="36"/>
        </w:rPr>
      </w:pPr>
    </w:p>
    <w:p>
      <w:pPr>
        <w:adjustRightInd w:val="0"/>
        <w:snapToGrid w:val="0"/>
        <w:spacing w:line="288" w:lineRule="auto"/>
        <w:ind w:firstLine="295"/>
        <w:rPr>
          <w:rFonts w:ascii="Times New Roman" w:hAnsi="Times New Roman" w:eastAsia="仿宋_GB2312"/>
          <w:sz w:val="36"/>
          <w:szCs w:val="36"/>
        </w:rPr>
      </w:pPr>
    </w:p>
    <w:p>
      <w:pPr>
        <w:adjustRightInd w:val="0"/>
        <w:snapToGrid w:val="0"/>
        <w:spacing w:line="288" w:lineRule="auto"/>
        <w:ind w:firstLine="295"/>
        <w:rPr>
          <w:rFonts w:ascii="Times New Roman" w:hAnsi="Times New Roman" w:eastAsia="仿宋_GB2312"/>
          <w:sz w:val="36"/>
          <w:szCs w:val="36"/>
        </w:rPr>
      </w:pPr>
    </w:p>
    <w:p>
      <w:pPr>
        <w:adjustRightInd w:val="0"/>
        <w:snapToGrid w:val="0"/>
        <w:spacing w:line="288" w:lineRule="auto"/>
        <w:ind w:firstLine="295"/>
        <w:jc w:val="center"/>
        <w:rPr>
          <w:rFonts w:ascii="Times New Roman" w:hAnsi="Times New Roman" w:eastAsia="仿宋_GB2312"/>
          <w:sz w:val="36"/>
          <w:szCs w:val="36"/>
        </w:rPr>
      </w:pPr>
      <w:r>
        <w:rPr>
          <w:rFonts w:ascii="Times New Roman" w:hAnsi="Times New Roman" w:eastAsia="仿宋_GB2312"/>
          <w:sz w:val="36"/>
          <w:szCs w:val="36"/>
        </w:rPr>
        <w:t>中华人民共和国生态环境部制</w:t>
      </w:r>
    </w:p>
    <w:p>
      <w:pPr>
        <w:adjustRightInd w:val="0"/>
        <w:snapToGrid w:val="0"/>
        <w:spacing w:line="288" w:lineRule="auto"/>
        <w:ind w:firstLine="295"/>
        <w:jc w:val="center"/>
        <w:rPr>
          <w:rFonts w:ascii="Times New Roman" w:hAnsi="Times New Roman" w:eastAsia="楷体_GB2312"/>
          <w:sz w:val="36"/>
          <w:szCs w:val="36"/>
        </w:rPr>
        <w:sectPr>
          <w:footerReference r:id="rId5" w:type="first"/>
          <w:footerReference r:id="rId3" w:type="default"/>
          <w:footerReference r:id="rId4" w:type="even"/>
          <w:pgSz w:w="11906" w:h="16838"/>
          <w:pgMar w:top="1701" w:right="1531" w:bottom="1701" w:left="1531" w:header="851" w:footer="1077" w:gutter="0"/>
          <w:pgNumType w:fmt="numberInDash"/>
          <w:cols w:space="720" w:num="1"/>
          <w:docGrid w:linePitch="312" w:charSpace="0"/>
        </w:sectPr>
      </w:pPr>
    </w:p>
    <w:p>
      <w:pPr>
        <w:pStyle w:val="33"/>
        <w:spacing w:before="0" w:beforeAutospacing="0" w:after="0" w:afterAutospacing="0"/>
        <w:ind w:firstLine="24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br w:type="page"/>
      </w:r>
      <w:r>
        <w:rPr>
          <w:rFonts w:ascii="Times New Roman" w:hAnsi="Times New Roman" w:eastAsia="黑体"/>
          <w:snapToGrid w:val="0"/>
          <w:sz w:val="30"/>
          <w:szCs w:val="30"/>
        </w:rPr>
        <w:t>一、建设项目基本情况</w:t>
      </w:r>
    </w:p>
    <w:tbl>
      <w:tblPr>
        <w:tblStyle w:val="37"/>
        <w:tblW w:w="513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77"/>
        <w:gridCol w:w="2855"/>
        <w:gridCol w:w="2214"/>
        <w:gridCol w:w="22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31" w:type="pct"/>
            <w:tcMar>
              <w:top w:w="16" w:type="dxa"/>
              <w:left w:w="16" w:type="dxa"/>
              <w:right w:w="16" w:type="dxa"/>
            </w:tcMar>
            <w:vAlign w:val="center"/>
          </w:tcPr>
          <w:p>
            <w:pPr>
              <w:adjustRightInd w:val="0"/>
              <w:snapToGrid w:val="0"/>
              <w:jc w:val="center"/>
              <w:rPr>
                <w:rFonts w:ascii="Times New Roman" w:hAnsi="Times New Roman"/>
                <w:color w:val="auto"/>
                <w:sz w:val="24"/>
              </w:rPr>
            </w:pPr>
            <w:r>
              <w:rPr>
                <w:rFonts w:ascii="Times New Roman" w:hAnsi="Times New Roman"/>
                <w:color w:val="auto"/>
                <w:sz w:val="24"/>
              </w:rPr>
              <w:t>建设项目名称</w:t>
            </w:r>
          </w:p>
        </w:tc>
        <w:tc>
          <w:tcPr>
            <w:tcW w:w="4068" w:type="pct"/>
            <w:gridSpan w:val="3"/>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春光油田春2井区开发建设项目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项目代码</w:t>
            </w:r>
          </w:p>
        </w:tc>
        <w:tc>
          <w:tcPr>
            <w:tcW w:w="4068" w:type="pct"/>
            <w:gridSpan w:val="3"/>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建设单位</w:t>
            </w:r>
          </w:p>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联系人</w:t>
            </w:r>
          </w:p>
        </w:tc>
        <w:tc>
          <w:tcPr>
            <w:tcW w:w="1586"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张东</w:t>
            </w:r>
          </w:p>
        </w:tc>
        <w:tc>
          <w:tcPr>
            <w:tcW w:w="1230"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联系方式</w:t>
            </w:r>
          </w:p>
        </w:tc>
        <w:tc>
          <w:tcPr>
            <w:tcW w:w="1251" w:type="pct"/>
            <w:vAlign w:val="center"/>
          </w:tcPr>
          <w:p>
            <w:pPr>
              <w:adjustRightInd w:val="0"/>
              <w:snapToGrid w:val="0"/>
              <w:spacing w:line="300" w:lineRule="exact"/>
              <w:jc w:val="center"/>
              <w:rPr>
                <w:rFonts w:ascii="Times New Roman" w:hAnsi="Times New Roman"/>
                <w:color w:val="auto"/>
                <w:sz w:val="24"/>
                <w:u w:val="single"/>
              </w:rPr>
            </w:pPr>
            <w:r>
              <w:rPr>
                <w:rFonts w:ascii="Times New Roman" w:hAnsi="Times New Roman"/>
                <w:color w:val="auto"/>
                <w:sz w:val="24"/>
              </w:rPr>
              <w:t>18999726815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建设地点</w:t>
            </w:r>
          </w:p>
        </w:tc>
        <w:tc>
          <w:tcPr>
            <w:tcW w:w="4068" w:type="pct"/>
            <w:gridSpan w:val="3"/>
            <w:vAlign w:val="center"/>
          </w:tcPr>
          <w:p>
            <w:pPr>
              <w:adjustRightInd w:val="0"/>
              <w:snapToGrid w:val="0"/>
              <w:spacing w:line="300" w:lineRule="exact"/>
              <w:jc w:val="center"/>
              <w:rPr>
                <w:rFonts w:ascii="Times New Roman" w:hAnsi="Times New Roman"/>
                <w:color w:val="auto"/>
                <w:sz w:val="24"/>
              </w:rPr>
            </w:pPr>
            <w:r>
              <w:rPr>
                <w:rFonts w:ascii="Times New Roman" w:hAnsi="Times New Roman"/>
                <w:snapToGrid w:val="0"/>
                <w:color w:val="auto"/>
                <w:kern w:val="0"/>
                <w:sz w:val="24"/>
              </w:rPr>
              <w:t xml:space="preserve">新疆生产建设兵团第七师123团境内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地理坐标</w:t>
            </w:r>
          </w:p>
        </w:tc>
        <w:tc>
          <w:tcPr>
            <w:tcW w:w="4068" w:type="pct"/>
            <w:gridSpan w:val="3"/>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w:t>
            </w:r>
            <w:bookmarkStart w:id="2" w:name="_Hlk69984707"/>
            <w:r>
              <w:rPr>
                <w:rFonts w:ascii="Times New Roman" w:hAnsi="Times New Roman"/>
                <w:color w:val="auto"/>
                <w:sz w:val="24"/>
              </w:rPr>
              <w:t>东经：</w:t>
            </w:r>
            <w:r>
              <w:rPr>
                <w:rFonts w:ascii="Times New Roman" w:hAnsi="Times New Roman"/>
                <w:color w:val="auto"/>
                <w:sz w:val="24"/>
                <w:u w:val="single"/>
              </w:rPr>
              <w:t>84</w:t>
            </w:r>
            <w:r>
              <w:rPr>
                <w:rFonts w:ascii="Times New Roman" w:hAnsi="Times New Roman"/>
                <w:color w:val="auto"/>
                <w:sz w:val="24"/>
              </w:rPr>
              <w:t>度</w:t>
            </w:r>
            <w:r>
              <w:rPr>
                <w:rFonts w:ascii="Times New Roman" w:hAnsi="Times New Roman"/>
                <w:color w:val="auto"/>
                <w:sz w:val="24"/>
                <w:u w:val="single"/>
              </w:rPr>
              <w:t>31</w:t>
            </w:r>
            <w:r>
              <w:rPr>
                <w:rFonts w:ascii="Times New Roman" w:hAnsi="Times New Roman"/>
                <w:color w:val="auto"/>
                <w:sz w:val="24"/>
              </w:rPr>
              <w:t>分</w:t>
            </w:r>
            <w:r>
              <w:rPr>
                <w:rFonts w:ascii="Times New Roman" w:hAnsi="Times New Roman"/>
                <w:color w:val="auto"/>
                <w:sz w:val="24"/>
                <w:u w:val="single"/>
              </w:rPr>
              <w:t>34.4</w:t>
            </w:r>
            <w:r>
              <w:rPr>
                <w:rFonts w:hint="eastAsia" w:ascii="Times New Roman" w:hAnsi="Times New Roman"/>
                <w:color w:val="auto"/>
                <w:sz w:val="24"/>
                <w:u w:val="single"/>
              </w:rPr>
              <w:t>1</w:t>
            </w:r>
            <w:r>
              <w:rPr>
                <w:rFonts w:ascii="Times New Roman" w:hAnsi="Times New Roman"/>
                <w:color w:val="auto"/>
                <w:sz w:val="24"/>
                <w:u w:val="single"/>
              </w:rPr>
              <w:t>1</w:t>
            </w:r>
            <w:r>
              <w:rPr>
                <w:rFonts w:ascii="Times New Roman" w:hAnsi="Times New Roman"/>
                <w:color w:val="auto"/>
                <w:sz w:val="24"/>
              </w:rPr>
              <w:t>秒，北纬：</w:t>
            </w:r>
            <w:r>
              <w:rPr>
                <w:rFonts w:ascii="Times New Roman" w:hAnsi="Times New Roman"/>
                <w:color w:val="auto"/>
                <w:sz w:val="24"/>
                <w:u w:val="single"/>
              </w:rPr>
              <w:t>44</w:t>
            </w:r>
            <w:r>
              <w:rPr>
                <w:rFonts w:ascii="Times New Roman" w:hAnsi="Times New Roman"/>
                <w:color w:val="auto"/>
                <w:sz w:val="24"/>
              </w:rPr>
              <w:t>度</w:t>
            </w:r>
            <w:r>
              <w:rPr>
                <w:rFonts w:ascii="Times New Roman" w:hAnsi="Times New Roman"/>
                <w:color w:val="auto"/>
                <w:sz w:val="24"/>
                <w:u w:val="single"/>
              </w:rPr>
              <w:t>58</w:t>
            </w:r>
            <w:r>
              <w:rPr>
                <w:rFonts w:ascii="Times New Roman" w:hAnsi="Times New Roman"/>
                <w:color w:val="auto"/>
                <w:sz w:val="24"/>
              </w:rPr>
              <w:t>分</w:t>
            </w:r>
            <w:r>
              <w:rPr>
                <w:rFonts w:ascii="Times New Roman" w:hAnsi="Times New Roman"/>
                <w:color w:val="auto"/>
                <w:sz w:val="24"/>
                <w:u w:val="single"/>
              </w:rPr>
              <w:t>36.6</w:t>
            </w:r>
            <w:r>
              <w:rPr>
                <w:rFonts w:hint="eastAsia" w:ascii="Times New Roman" w:hAnsi="Times New Roman"/>
                <w:color w:val="auto"/>
                <w:sz w:val="24"/>
                <w:u w:val="single"/>
              </w:rPr>
              <w:t>24</w:t>
            </w:r>
            <w:r>
              <w:rPr>
                <w:rFonts w:ascii="Times New Roman" w:hAnsi="Times New Roman"/>
                <w:color w:val="auto"/>
                <w:sz w:val="24"/>
              </w:rPr>
              <w:t>秒</w:t>
            </w:r>
            <w:bookmarkEnd w:id="2"/>
            <w:r>
              <w:rPr>
                <w:rFonts w:ascii="Times New Roman" w:hAnsi="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建设项目</w:t>
            </w:r>
          </w:p>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行业类别</w:t>
            </w:r>
          </w:p>
        </w:tc>
        <w:tc>
          <w:tcPr>
            <w:tcW w:w="1586"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五、石油和天然气开采业 07—7 陆地石油开采0711 其他</w:t>
            </w:r>
          </w:p>
        </w:tc>
        <w:tc>
          <w:tcPr>
            <w:tcW w:w="1230"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用地（用海）面积（m</w:t>
            </w:r>
            <w:r>
              <w:rPr>
                <w:rFonts w:ascii="Times New Roman" w:hAnsi="Times New Roman"/>
                <w:color w:val="auto"/>
                <w:sz w:val="24"/>
                <w:vertAlign w:val="superscript"/>
              </w:rPr>
              <w:t>2</w:t>
            </w:r>
            <w:r>
              <w:rPr>
                <w:rFonts w:ascii="Times New Roman" w:hAnsi="Times New Roman"/>
                <w:color w:val="auto"/>
                <w:sz w:val="24"/>
              </w:rPr>
              <w:t>）/长度（km）</w:t>
            </w:r>
          </w:p>
        </w:tc>
        <w:tc>
          <w:tcPr>
            <w:tcW w:w="1251" w:type="pct"/>
            <w:vAlign w:val="center"/>
          </w:tcPr>
          <w:p>
            <w:pPr>
              <w:adjustRightInd w:val="0"/>
              <w:snapToGrid w:val="0"/>
              <w:spacing w:line="300" w:lineRule="exact"/>
              <w:jc w:val="center"/>
              <w:rPr>
                <w:rFonts w:ascii="Times New Roman" w:hAnsi="Times New Roman"/>
                <w:color w:val="auto"/>
                <w:sz w:val="24"/>
                <w:vertAlign w:val="superscript"/>
              </w:rPr>
            </w:pPr>
            <w:r>
              <w:rPr>
                <w:rFonts w:hint="eastAsia" w:ascii="Times New Roman" w:hAnsi="Times New Roman"/>
                <w:color w:val="auto"/>
                <w:sz w:val="24"/>
              </w:rPr>
              <w:t>永久占地：28</w:t>
            </w:r>
            <w:r>
              <w:rPr>
                <w:rFonts w:ascii="Times New Roman" w:hAnsi="Times New Roman"/>
                <w:color w:val="auto"/>
                <w:sz w:val="24"/>
              </w:rPr>
              <w:t>920m</w:t>
            </w:r>
            <w:r>
              <w:rPr>
                <w:rFonts w:ascii="Times New Roman" w:hAnsi="Times New Roman"/>
                <w:color w:val="auto"/>
                <w:sz w:val="24"/>
                <w:vertAlign w:val="superscript"/>
              </w:rPr>
              <w:t>2</w:t>
            </w:r>
          </w:p>
          <w:p>
            <w:pPr>
              <w:adjustRightInd w:val="0"/>
              <w:snapToGrid w:val="0"/>
              <w:spacing w:line="300" w:lineRule="exact"/>
              <w:jc w:val="center"/>
              <w:rPr>
                <w:rFonts w:ascii="Times New Roman" w:hAnsi="Times New Roman"/>
                <w:color w:val="auto"/>
                <w:sz w:val="24"/>
              </w:rPr>
            </w:pPr>
            <w:r>
              <w:rPr>
                <w:rFonts w:hint="eastAsia" w:ascii="Times New Roman" w:hAnsi="Times New Roman"/>
                <w:color w:val="auto"/>
                <w:sz w:val="24"/>
              </w:rPr>
              <w:t>临时占地：12000</w:t>
            </w:r>
            <w:r>
              <w:rPr>
                <w:rFonts w:ascii="Times New Roman" w:hAnsi="Times New Roman"/>
                <w:color w:val="auto"/>
                <w:sz w:val="24"/>
              </w:rPr>
              <w:t>m</w:t>
            </w:r>
            <w:r>
              <w:rPr>
                <w:rFonts w:ascii="Times New Roman" w:hAnsi="Times New Roman"/>
                <w:color w:val="auto"/>
                <w:sz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建设性质</w:t>
            </w:r>
          </w:p>
        </w:tc>
        <w:tc>
          <w:tcPr>
            <w:tcW w:w="1586" w:type="pct"/>
            <w:vAlign w:val="center"/>
          </w:tcPr>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□新建（迁建）</w:t>
            </w:r>
          </w:p>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□改建</w:t>
            </w:r>
          </w:p>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eq \o\ac(□,</w:instrText>
            </w:r>
            <w:r>
              <w:rPr>
                <w:rFonts w:ascii="Times New Roman" w:hAnsi="Times New Roman"/>
                <w:color w:val="auto"/>
                <w:position w:val="2"/>
                <w:sz w:val="24"/>
              </w:rPr>
              <w:instrText xml:space="preserve">√</w:instrText>
            </w:r>
            <w:r>
              <w:rPr>
                <w:rFonts w:ascii="Times New Roman" w:hAnsi="Times New Roman"/>
                <w:color w:val="auto"/>
                <w:sz w:val="24"/>
              </w:rPr>
              <w:instrText xml:space="preserve">)</w:instrText>
            </w:r>
            <w:r>
              <w:rPr>
                <w:rFonts w:ascii="Times New Roman" w:hAnsi="Times New Roman"/>
                <w:color w:val="auto"/>
                <w:sz w:val="24"/>
              </w:rPr>
              <w:fldChar w:fldCharType="end"/>
            </w:r>
            <w:r>
              <w:rPr>
                <w:rFonts w:ascii="Times New Roman" w:hAnsi="Times New Roman"/>
                <w:color w:val="auto"/>
                <w:sz w:val="24"/>
              </w:rPr>
              <w:t>扩建</w:t>
            </w:r>
          </w:p>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□技术改造</w:t>
            </w:r>
          </w:p>
        </w:tc>
        <w:tc>
          <w:tcPr>
            <w:tcW w:w="1230"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建设项目</w:t>
            </w:r>
          </w:p>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申报情形</w:t>
            </w:r>
          </w:p>
        </w:tc>
        <w:tc>
          <w:tcPr>
            <w:tcW w:w="1251" w:type="pct"/>
            <w:vAlign w:val="center"/>
          </w:tcPr>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eq \o\ac(□,</w:instrText>
            </w:r>
            <w:r>
              <w:rPr>
                <w:rFonts w:ascii="Times New Roman" w:hAnsi="Times New Roman"/>
                <w:color w:val="auto"/>
                <w:position w:val="2"/>
                <w:sz w:val="24"/>
              </w:rPr>
              <w:instrText xml:space="preserve">√</w:instrText>
            </w:r>
            <w:r>
              <w:rPr>
                <w:rFonts w:ascii="Times New Roman" w:hAnsi="Times New Roman"/>
                <w:color w:val="auto"/>
                <w:sz w:val="24"/>
              </w:rPr>
              <w:instrText xml:space="preserve">)</w:instrText>
            </w:r>
            <w:r>
              <w:rPr>
                <w:rFonts w:ascii="Times New Roman" w:hAnsi="Times New Roman"/>
                <w:color w:val="auto"/>
                <w:sz w:val="24"/>
              </w:rPr>
              <w:fldChar w:fldCharType="end"/>
            </w:r>
            <w:r>
              <w:rPr>
                <w:rFonts w:ascii="Times New Roman" w:hAnsi="Times New Roman"/>
                <w:color w:val="auto"/>
                <w:sz w:val="24"/>
              </w:rPr>
              <w:t>首次申报项目</w:t>
            </w:r>
          </w:p>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□不予批准后再次申报项目</w:t>
            </w:r>
          </w:p>
          <w:p>
            <w:pPr>
              <w:adjustRightInd w:val="0"/>
              <w:snapToGrid w:val="0"/>
              <w:spacing w:line="300" w:lineRule="exact"/>
              <w:jc w:val="both"/>
              <w:rPr>
                <w:rFonts w:ascii="Times New Roman" w:hAnsi="Times New Roman"/>
                <w:color w:val="auto"/>
                <w:sz w:val="24"/>
              </w:rPr>
            </w:pPr>
            <w:r>
              <w:rPr>
                <w:rFonts w:ascii="Times New Roman" w:hAnsi="Times New Roman"/>
                <w:color w:val="auto"/>
                <w:sz w:val="24"/>
              </w:rPr>
              <w:t>□超五年重新审核项目</w:t>
            </w:r>
          </w:p>
          <w:p>
            <w:pPr>
              <w:adjustRightInd w:val="0"/>
              <w:snapToGrid w:val="0"/>
              <w:spacing w:line="300" w:lineRule="exact"/>
              <w:jc w:val="both"/>
              <w:rPr>
                <w:rFonts w:ascii="Times New Roman" w:hAnsi="Times New Roman"/>
                <w:color w:val="auto"/>
                <w:spacing w:val="-8"/>
                <w:sz w:val="24"/>
              </w:rPr>
            </w:pPr>
            <w:r>
              <w:rPr>
                <w:rFonts w:ascii="Times New Roman" w:hAnsi="Times New Roman"/>
                <w:color w:val="auto"/>
                <w:spacing w:val="-8"/>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pacing w:val="-12"/>
                <w:sz w:val="24"/>
              </w:rPr>
            </w:pPr>
            <w:r>
              <w:rPr>
                <w:rFonts w:ascii="Times New Roman" w:hAnsi="Times New Roman"/>
                <w:color w:val="auto"/>
                <w:spacing w:val="-12"/>
                <w:sz w:val="24"/>
              </w:rPr>
              <w:t>项目审批（核准/备案）部门（选填）</w:t>
            </w:r>
          </w:p>
        </w:tc>
        <w:tc>
          <w:tcPr>
            <w:tcW w:w="1586"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w:t>
            </w:r>
          </w:p>
        </w:tc>
        <w:tc>
          <w:tcPr>
            <w:tcW w:w="1230" w:type="pct"/>
            <w:vAlign w:val="center"/>
          </w:tcPr>
          <w:p>
            <w:pPr>
              <w:adjustRightInd w:val="0"/>
              <w:snapToGrid w:val="0"/>
              <w:spacing w:line="300" w:lineRule="exact"/>
              <w:jc w:val="center"/>
              <w:rPr>
                <w:rFonts w:ascii="Times New Roman" w:hAnsi="Times New Roman"/>
                <w:color w:val="auto"/>
                <w:spacing w:val="-8"/>
                <w:sz w:val="24"/>
              </w:rPr>
            </w:pPr>
            <w:r>
              <w:rPr>
                <w:rFonts w:ascii="Times New Roman" w:hAnsi="Times New Roman"/>
                <w:color w:val="auto"/>
                <w:spacing w:val="-8"/>
                <w:sz w:val="24"/>
              </w:rPr>
              <w:t>项目审批（核准/</w:t>
            </w:r>
          </w:p>
          <w:p>
            <w:pPr>
              <w:adjustRightInd w:val="0"/>
              <w:snapToGrid w:val="0"/>
              <w:spacing w:line="300" w:lineRule="exact"/>
              <w:jc w:val="center"/>
              <w:rPr>
                <w:rFonts w:ascii="Times New Roman" w:hAnsi="Times New Roman"/>
                <w:color w:val="auto"/>
                <w:sz w:val="24"/>
              </w:rPr>
            </w:pPr>
            <w:r>
              <w:rPr>
                <w:rFonts w:ascii="Times New Roman" w:hAnsi="Times New Roman"/>
                <w:color w:val="auto"/>
                <w:spacing w:val="-8"/>
                <w:sz w:val="24"/>
              </w:rPr>
              <w:t>备案）文号（选填）</w:t>
            </w:r>
          </w:p>
        </w:tc>
        <w:tc>
          <w:tcPr>
            <w:tcW w:w="1251"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5"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总投资</w:t>
            </w:r>
          </w:p>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（万元）</w:t>
            </w:r>
          </w:p>
        </w:tc>
        <w:tc>
          <w:tcPr>
            <w:tcW w:w="1586"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6548</w:t>
            </w:r>
          </w:p>
        </w:tc>
        <w:tc>
          <w:tcPr>
            <w:tcW w:w="1230"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环保投资</w:t>
            </w:r>
          </w:p>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（万元）</w:t>
            </w:r>
          </w:p>
        </w:tc>
        <w:tc>
          <w:tcPr>
            <w:tcW w:w="1251" w:type="pct"/>
            <w:vAlign w:val="center"/>
          </w:tcPr>
          <w:p>
            <w:pPr>
              <w:adjustRightInd w:val="0"/>
              <w:snapToGrid w:val="0"/>
              <w:spacing w:line="300" w:lineRule="exact"/>
              <w:jc w:val="center"/>
              <w:rPr>
                <w:rFonts w:ascii="Times New Roman" w:hAnsi="Times New Roman"/>
                <w:color w:val="auto"/>
                <w:sz w:val="24"/>
              </w:rPr>
            </w:pPr>
            <w:r>
              <w:rPr>
                <w:rFonts w:hint="eastAsia" w:ascii="Times New Roman" w:hAnsi="Times New Roman"/>
                <w:color w:val="auto"/>
                <w:sz w:val="24"/>
              </w:rPr>
              <w:t>447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4"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环保投资占比（%）</w:t>
            </w:r>
          </w:p>
        </w:tc>
        <w:tc>
          <w:tcPr>
            <w:tcW w:w="1586"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6.</w:t>
            </w:r>
            <w:r>
              <w:rPr>
                <w:rFonts w:hint="eastAsia" w:ascii="Times New Roman" w:hAnsi="Times New Roman"/>
                <w:color w:val="auto"/>
                <w:sz w:val="24"/>
              </w:rPr>
              <w:t>83</w:t>
            </w:r>
          </w:p>
        </w:tc>
        <w:tc>
          <w:tcPr>
            <w:tcW w:w="1230"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施工工期</w:t>
            </w:r>
          </w:p>
        </w:tc>
        <w:tc>
          <w:tcPr>
            <w:tcW w:w="1251" w:type="pct"/>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18个月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是否开工建设</w:t>
            </w:r>
          </w:p>
        </w:tc>
        <w:tc>
          <w:tcPr>
            <w:tcW w:w="4068" w:type="pct"/>
            <w:gridSpan w:val="3"/>
            <w:vAlign w:val="center"/>
          </w:tcPr>
          <w:p>
            <w:pPr>
              <w:adjustRightInd w:val="0"/>
              <w:snapToGrid w:val="0"/>
              <w:spacing w:line="300" w:lineRule="exact"/>
              <w:ind w:firstLine="120" w:firstLineChars="50"/>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eq \o\ac(□,</w:instrText>
            </w:r>
            <w:r>
              <w:rPr>
                <w:rFonts w:ascii="Times New Roman" w:hAnsi="Times New Roman"/>
                <w:color w:val="auto"/>
                <w:position w:val="2"/>
                <w:sz w:val="24"/>
              </w:rPr>
              <w:instrText xml:space="preserve">√</w:instrText>
            </w:r>
            <w:r>
              <w:rPr>
                <w:rFonts w:ascii="Times New Roman" w:hAnsi="Times New Roman"/>
                <w:color w:val="auto"/>
                <w:sz w:val="24"/>
              </w:rPr>
              <w:instrText xml:space="preserve">)</w:instrText>
            </w:r>
            <w:r>
              <w:rPr>
                <w:rFonts w:ascii="Times New Roman" w:hAnsi="Times New Roman"/>
                <w:color w:val="auto"/>
                <w:sz w:val="24"/>
              </w:rPr>
              <w:fldChar w:fldCharType="end"/>
            </w:r>
            <w:r>
              <w:rPr>
                <w:rFonts w:ascii="Times New Roman" w:hAnsi="Times New Roman"/>
                <w:color w:val="auto"/>
                <w:sz w:val="24"/>
              </w:rPr>
              <w:t>否</w:t>
            </w:r>
          </w:p>
          <w:p>
            <w:pPr>
              <w:adjustRightInd w:val="0"/>
              <w:snapToGrid w:val="0"/>
              <w:spacing w:line="300" w:lineRule="exact"/>
              <w:ind w:firstLine="120" w:firstLineChars="50"/>
              <w:rPr>
                <w:rFonts w:ascii="Times New Roman" w:hAnsi="Times New Roman"/>
                <w:color w:val="auto"/>
                <w:sz w:val="24"/>
                <w:u w:val="single"/>
              </w:rPr>
            </w:pPr>
            <w:r>
              <w:rPr>
                <w:rFonts w:ascii="Times New Roman" w:hAnsi="Times New Roman"/>
                <w:color w:val="auto"/>
                <w:sz w:val="24"/>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专项评价</w:t>
            </w:r>
          </w:p>
          <w:p>
            <w:pPr>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设置情况</w:t>
            </w:r>
          </w:p>
        </w:tc>
        <w:tc>
          <w:tcPr>
            <w:tcW w:w="4068" w:type="pct"/>
            <w:gridSpan w:val="3"/>
            <w:tcMar>
              <w:top w:w="16" w:type="dxa"/>
              <w:left w:w="16" w:type="dxa"/>
              <w:right w:w="16" w:type="dxa"/>
            </w:tcMar>
            <w:vAlign w:val="center"/>
          </w:tcPr>
          <w:p>
            <w:pPr>
              <w:adjustRightInd w:val="0"/>
              <w:snapToGrid w:val="0"/>
              <w:spacing w:line="300" w:lineRule="exact"/>
              <w:ind w:firstLine="480" w:firstLineChars="200"/>
              <w:jc w:val="both"/>
              <w:rPr>
                <w:rFonts w:ascii="Times New Roman" w:hAnsi="Times New Roman"/>
                <w:color w:val="auto"/>
                <w:sz w:val="24"/>
              </w:rPr>
            </w:pPr>
            <w:r>
              <w:rPr>
                <w:rFonts w:ascii="Times New Roman" w:hAnsi="Times New Roman"/>
                <w:color w:val="auto"/>
                <w:sz w:val="24"/>
              </w:rPr>
              <w:t>本项目为陆地石油开采项目，设置地下水、环境风险专项评价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kern w:val="0"/>
                <w:sz w:val="24"/>
              </w:rPr>
            </w:pPr>
            <w:r>
              <w:rPr>
                <w:rFonts w:ascii="Times New Roman" w:hAnsi="Times New Roman"/>
                <w:color w:val="auto"/>
                <w:sz w:val="24"/>
              </w:rPr>
              <w:t>规划情况</w:t>
            </w:r>
          </w:p>
        </w:tc>
        <w:tc>
          <w:tcPr>
            <w:tcW w:w="4068" w:type="pct"/>
            <w:gridSpan w:val="3"/>
            <w:tcMar>
              <w:top w:w="16" w:type="dxa"/>
              <w:left w:w="16" w:type="dxa"/>
              <w:right w:w="16" w:type="dxa"/>
            </w:tcMar>
            <w:vAlign w:val="center"/>
          </w:tcPr>
          <w:p>
            <w:pPr>
              <w:pStyle w:val="48"/>
              <w:adjustRightInd w:val="0"/>
              <w:snapToGrid w:val="0"/>
              <w:spacing w:line="240" w:lineRule="auto"/>
              <w:ind w:firstLine="0" w:firstLineChars="0"/>
              <w:jc w:val="center"/>
              <w:rPr>
                <w:rFonts w:ascii="Times New Roman" w:hAnsi="Times New Roman"/>
                <w:color w:val="auto"/>
                <w:kern w:val="0"/>
              </w:rPr>
            </w:pPr>
            <w:r>
              <w:rPr>
                <w:rFonts w:hint="eastAsia" w:ascii="Times New Roman" w:hAnsi="Times New Roman"/>
                <w:color w:val="auto"/>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931" w:type="pct"/>
            <w:tcMar>
              <w:top w:w="16" w:type="dxa"/>
              <w:left w:w="16" w:type="dxa"/>
              <w:right w:w="16" w:type="dxa"/>
            </w:tcMar>
            <w:vAlign w:val="center"/>
          </w:tcPr>
          <w:p>
            <w:pPr>
              <w:adjustRightInd w:val="0"/>
              <w:snapToGrid w:val="0"/>
              <w:spacing w:line="300" w:lineRule="exact"/>
              <w:jc w:val="center"/>
              <w:rPr>
                <w:rFonts w:ascii="Times New Roman" w:hAnsi="Times New Roman"/>
                <w:color w:val="auto"/>
                <w:sz w:val="24"/>
              </w:rPr>
            </w:pPr>
            <w:r>
              <w:rPr>
                <w:rFonts w:ascii="Times New Roman" w:hAnsi="Times New Roman"/>
                <w:color w:val="auto"/>
                <w:sz w:val="24"/>
              </w:rPr>
              <w:t>规划环境影响</w:t>
            </w:r>
          </w:p>
          <w:p>
            <w:pPr>
              <w:adjustRightInd w:val="0"/>
              <w:snapToGrid w:val="0"/>
              <w:spacing w:line="300" w:lineRule="exact"/>
              <w:jc w:val="center"/>
              <w:rPr>
                <w:rFonts w:ascii="Times New Roman" w:hAnsi="Times New Roman"/>
                <w:color w:val="auto"/>
                <w:kern w:val="0"/>
                <w:sz w:val="24"/>
              </w:rPr>
            </w:pPr>
            <w:r>
              <w:rPr>
                <w:rFonts w:ascii="Times New Roman" w:hAnsi="Times New Roman"/>
                <w:color w:val="auto"/>
                <w:sz w:val="24"/>
              </w:rPr>
              <w:t>评价情况</w:t>
            </w:r>
          </w:p>
        </w:tc>
        <w:tc>
          <w:tcPr>
            <w:tcW w:w="4068" w:type="pct"/>
            <w:gridSpan w:val="3"/>
            <w:tcMar>
              <w:top w:w="16" w:type="dxa"/>
              <w:left w:w="16" w:type="dxa"/>
              <w:right w:w="16" w:type="dxa"/>
            </w:tcMar>
            <w:vAlign w:val="center"/>
          </w:tcPr>
          <w:p>
            <w:pPr>
              <w:pStyle w:val="13"/>
              <w:spacing w:before="0" w:after="0" w:line="240" w:lineRule="auto"/>
              <w:ind w:right="0"/>
              <w:jc w:val="center"/>
              <w:rPr>
                <w:rFonts w:ascii="Times New Roman" w:hAnsi="Times New Roman"/>
                <w:color w:val="auto"/>
                <w:kern w:val="2"/>
                <w:sz w:val="24"/>
                <w:szCs w:val="24"/>
              </w:rPr>
            </w:pPr>
            <w:r>
              <w:rPr>
                <w:rFonts w:hint="eastAsia" w:ascii="Times New Roman" w:hAnsi="Times New Roman"/>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08" w:hRule="atLeast"/>
          <w:jc w:val="center"/>
        </w:trPr>
        <w:tc>
          <w:tcPr>
            <w:tcW w:w="931" w:type="pct"/>
            <w:tcMar>
              <w:top w:w="16" w:type="dxa"/>
              <w:left w:w="16" w:type="dxa"/>
              <w:right w:w="16" w:type="dxa"/>
            </w:tcMar>
            <w:vAlign w:val="center"/>
          </w:tcPr>
          <w:p>
            <w:pPr>
              <w:autoSpaceDE w:val="0"/>
              <w:autoSpaceDN w:val="0"/>
              <w:adjustRightInd w:val="0"/>
              <w:snapToGrid w:val="0"/>
              <w:spacing w:line="300" w:lineRule="exact"/>
              <w:jc w:val="center"/>
              <w:rPr>
                <w:rFonts w:ascii="Times New Roman" w:hAnsi="Times New Roman"/>
                <w:color w:val="auto"/>
                <w:kern w:val="0"/>
                <w:sz w:val="24"/>
              </w:rPr>
            </w:pPr>
            <w:r>
              <w:rPr>
                <w:rFonts w:ascii="Times New Roman" w:hAnsi="Times New Roman"/>
                <w:color w:val="auto"/>
                <w:kern w:val="0"/>
                <w:sz w:val="24"/>
              </w:rPr>
              <w:t>规划及</w:t>
            </w:r>
            <w:r>
              <w:rPr>
                <w:rFonts w:ascii="Times New Roman" w:hAnsi="Times New Roman"/>
                <w:color w:val="auto"/>
                <w:sz w:val="24"/>
              </w:rPr>
              <w:t>规划环境影响评价</w:t>
            </w:r>
            <w:r>
              <w:rPr>
                <w:rFonts w:ascii="Times New Roman" w:hAnsi="Times New Roman"/>
                <w:color w:val="auto"/>
                <w:kern w:val="0"/>
                <w:sz w:val="24"/>
              </w:rPr>
              <w:t>符合性分析</w:t>
            </w:r>
          </w:p>
        </w:tc>
        <w:tc>
          <w:tcPr>
            <w:tcW w:w="4068" w:type="pct"/>
            <w:gridSpan w:val="3"/>
            <w:tcMar>
              <w:top w:w="16" w:type="dxa"/>
              <w:left w:w="16" w:type="dxa"/>
              <w:right w:w="16" w:type="dxa"/>
            </w:tcMar>
            <w:vAlign w:val="center"/>
          </w:tcPr>
          <w:p>
            <w:pPr>
              <w:pStyle w:val="13"/>
              <w:spacing w:before="0" w:after="0" w:line="240" w:lineRule="auto"/>
              <w:ind w:right="0"/>
              <w:jc w:val="center"/>
              <w:rPr>
                <w:rFonts w:ascii="Times New Roman" w:hAnsi="Times New Roman"/>
                <w:color w:val="auto"/>
                <w:kern w:val="2"/>
                <w:sz w:val="24"/>
                <w:szCs w:val="24"/>
              </w:rPr>
            </w:pPr>
            <w:r>
              <w:rPr>
                <w:rFonts w:hint="eastAsia" w:ascii="Times New Roman" w:hAnsi="Times New Roman"/>
                <w:color w:val="auto"/>
                <w:kern w:val="2"/>
                <w:sz w:val="24"/>
                <w:szCs w:val="24"/>
              </w:rPr>
              <w:t>无</w:t>
            </w:r>
          </w:p>
        </w:tc>
      </w:tr>
    </w:tbl>
    <w:p>
      <w:pPr>
        <w:autoSpaceDE w:val="0"/>
        <w:autoSpaceDN w:val="0"/>
        <w:adjustRightInd w:val="0"/>
        <w:snapToGrid w:val="0"/>
        <w:jc w:val="center"/>
        <w:rPr>
          <w:rFonts w:ascii="Times New Roman" w:hAnsi="Times New Roman"/>
          <w:kern w:val="0"/>
          <w:sz w:val="24"/>
        </w:rPr>
      </w:pPr>
      <w:r>
        <w:rPr>
          <w:rFonts w:ascii="Times New Roman" w:hAnsi="Times New Roman"/>
          <w:kern w:val="0"/>
          <w:sz w:val="24"/>
        </w:rPr>
        <w:br w:type="page"/>
      </w:r>
    </w:p>
    <w:tbl>
      <w:tblPr>
        <w:tblStyle w:val="37"/>
        <w:tblW w:w="515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69"/>
        <w:gridCol w:w="84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5" w:type="pct"/>
            <w:tcMar>
              <w:top w:w="16" w:type="dxa"/>
              <w:left w:w="16" w:type="dxa"/>
              <w:right w:w="16" w:type="dxa"/>
            </w:tcMar>
            <w:vAlign w:val="center"/>
          </w:tcPr>
          <w:p>
            <w:pPr>
              <w:autoSpaceDE w:val="0"/>
              <w:autoSpaceDN w:val="0"/>
              <w:adjustRightInd w:val="0"/>
              <w:snapToGrid w:val="0"/>
              <w:jc w:val="center"/>
              <w:rPr>
                <w:rFonts w:ascii="Times New Roman" w:hAnsi="Times New Roman"/>
                <w:color w:val="auto"/>
                <w:kern w:val="0"/>
                <w:sz w:val="24"/>
              </w:rPr>
            </w:pPr>
            <w:r>
              <w:rPr>
                <w:rFonts w:ascii="Times New Roman" w:hAnsi="Times New Roman"/>
                <w:color w:val="auto"/>
                <w:kern w:val="0"/>
                <w:sz w:val="24"/>
              </w:rPr>
              <w:t>其</w:t>
            </w:r>
          </w:p>
          <w:p>
            <w:pPr>
              <w:autoSpaceDE w:val="0"/>
              <w:autoSpaceDN w:val="0"/>
              <w:adjustRightInd w:val="0"/>
              <w:snapToGrid w:val="0"/>
              <w:jc w:val="center"/>
              <w:rPr>
                <w:rFonts w:ascii="Times New Roman" w:hAnsi="Times New Roman"/>
                <w:color w:val="auto"/>
                <w:kern w:val="0"/>
                <w:sz w:val="24"/>
              </w:rPr>
            </w:pPr>
            <w:r>
              <w:rPr>
                <w:rFonts w:ascii="Times New Roman" w:hAnsi="Times New Roman"/>
                <w:color w:val="auto"/>
                <w:kern w:val="0"/>
                <w:sz w:val="24"/>
              </w:rPr>
              <w:t>他</w:t>
            </w:r>
          </w:p>
          <w:p>
            <w:pPr>
              <w:autoSpaceDE w:val="0"/>
              <w:autoSpaceDN w:val="0"/>
              <w:adjustRightInd w:val="0"/>
              <w:snapToGrid w:val="0"/>
              <w:jc w:val="center"/>
              <w:rPr>
                <w:rFonts w:ascii="Times New Roman" w:hAnsi="Times New Roman"/>
                <w:color w:val="auto"/>
                <w:kern w:val="0"/>
                <w:sz w:val="24"/>
              </w:rPr>
            </w:pPr>
            <w:r>
              <w:rPr>
                <w:rFonts w:ascii="Times New Roman" w:hAnsi="Times New Roman"/>
                <w:color w:val="auto"/>
                <w:kern w:val="0"/>
                <w:sz w:val="24"/>
              </w:rPr>
              <w:t>符</w:t>
            </w:r>
          </w:p>
          <w:p>
            <w:pPr>
              <w:autoSpaceDE w:val="0"/>
              <w:autoSpaceDN w:val="0"/>
              <w:adjustRightInd w:val="0"/>
              <w:snapToGrid w:val="0"/>
              <w:jc w:val="center"/>
              <w:rPr>
                <w:rFonts w:ascii="Times New Roman" w:hAnsi="Times New Roman"/>
                <w:color w:val="auto"/>
                <w:kern w:val="0"/>
                <w:sz w:val="24"/>
              </w:rPr>
            </w:pPr>
            <w:r>
              <w:rPr>
                <w:rFonts w:ascii="Times New Roman" w:hAnsi="Times New Roman"/>
                <w:color w:val="auto"/>
                <w:kern w:val="0"/>
                <w:sz w:val="24"/>
              </w:rPr>
              <w:t>合</w:t>
            </w:r>
          </w:p>
          <w:p>
            <w:pPr>
              <w:autoSpaceDE w:val="0"/>
              <w:autoSpaceDN w:val="0"/>
              <w:adjustRightInd w:val="0"/>
              <w:snapToGrid w:val="0"/>
              <w:jc w:val="center"/>
              <w:rPr>
                <w:rFonts w:ascii="Times New Roman" w:hAnsi="Times New Roman"/>
                <w:color w:val="auto"/>
                <w:kern w:val="0"/>
                <w:sz w:val="24"/>
              </w:rPr>
            </w:pPr>
            <w:r>
              <w:rPr>
                <w:rFonts w:ascii="Times New Roman" w:hAnsi="Times New Roman"/>
                <w:color w:val="auto"/>
                <w:kern w:val="0"/>
                <w:sz w:val="24"/>
              </w:rPr>
              <w:t>性</w:t>
            </w:r>
          </w:p>
          <w:p>
            <w:pPr>
              <w:autoSpaceDE w:val="0"/>
              <w:autoSpaceDN w:val="0"/>
              <w:adjustRightInd w:val="0"/>
              <w:snapToGrid w:val="0"/>
              <w:jc w:val="center"/>
              <w:rPr>
                <w:rFonts w:ascii="Times New Roman" w:hAnsi="Times New Roman"/>
                <w:color w:val="auto"/>
                <w:kern w:val="0"/>
                <w:sz w:val="24"/>
              </w:rPr>
            </w:pPr>
            <w:r>
              <w:rPr>
                <w:rFonts w:ascii="Times New Roman" w:hAnsi="Times New Roman"/>
                <w:color w:val="auto"/>
                <w:kern w:val="0"/>
                <w:sz w:val="24"/>
              </w:rPr>
              <w:t>分</w:t>
            </w:r>
          </w:p>
          <w:p>
            <w:pPr>
              <w:autoSpaceDE w:val="0"/>
              <w:autoSpaceDN w:val="0"/>
              <w:adjustRightInd w:val="0"/>
              <w:snapToGrid w:val="0"/>
              <w:jc w:val="center"/>
              <w:rPr>
                <w:rFonts w:ascii="Times New Roman" w:hAnsi="Times New Roman"/>
                <w:color w:val="auto"/>
                <w:kern w:val="0"/>
                <w:sz w:val="24"/>
              </w:rPr>
            </w:pPr>
            <w:r>
              <w:rPr>
                <w:rFonts w:ascii="Times New Roman" w:hAnsi="Times New Roman"/>
                <w:color w:val="auto"/>
                <w:kern w:val="0"/>
                <w:sz w:val="24"/>
              </w:rPr>
              <w:t>析</w:t>
            </w:r>
          </w:p>
        </w:tc>
        <w:tc>
          <w:tcPr>
            <w:tcW w:w="4684" w:type="pct"/>
            <w:tcMar>
              <w:top w:w="16" w:type="dxa"/>
              <w:left w:w="16" w:type="dxa"/>
              <w:right w:w="16" w:type="dxa"/>
            </w:tcMar>
            <w:vAlign w:val="center"/>
          </w:tcPr>
          <w:p>
            <w:pPr>
              <w:pStyle w:val="13"/>
              <w:spacing w:before="0" w:after="0" w:line="360" w:lineRule="auto"/>
              <w:ind w:right="0" w:firstLine="482" w:firstLineChars="200"/>
              <w:jc w:val="both"/>
              <w:rPr>
                <w:rFonts w:ascii="Times New Roman" w:hAnsi="Times New Roman"/>
                <w:b/>
                <w:bCs/>
                <w:color w:val="auto"/>
                <w:sz w:val="24"/>
              </w:rPr>
            </w:pPr>
            <w:r>
              <w:rPr>
                <w:rFonts w:hint="eastAsia" w:ascii="Times New Roman" w:hAnsi="Times New Roman"/>
                <w:b/>
                <w:bCs/>
                <w:color w:val="auto"/>
                <w:sz w:val="24"/>
              </w:rPr>
              <w:t>1</w:t>
            </w:r>
            <w:r>
              <w:rPr>
                <w:rFonts w:ascii="Times New Roman" w:hAnsi="Times New Roman"/>
                <w:b/>
                <w:bCs/>
                <w:color w:val="auto"/>
                <w:sz w:val="24"/>
              </w:rPr>
              <w:t>．产业政策相符性分析</w:t>
            </w:r>
          </w:p>
          <w:p>
            <w:pPr>
              <w:pStyle w:val="13"/>
              <w:spacing w:before="0" w:after="0" w:line="360" w:lineRule="auto"/>
              <w:ind w:right="0" w:firstLine="480" w:firstLineChars="200"/>
              <w:rPr>
                <w:rStyle w:val="42"/>
                <w:rFonts w:ascii="Times New Roman" w:hAnsi="Times New Roman"/>
                <w:color w:val="auto"/>
                <w:szCs w:val="24"/>
              </w:rPr>
            </w:pPr>
            <w:r>
              <w:rPr>
                <w:rFonts w:ascii="Times New Roman" w:hAnsi="Times New Roman"/>
                <w:color w:val="auto"/>
                <w:sz w:val="24"/>
              </w:rPr>
              <w:t>本项目为陆地石油开采项目，属于《产业结构调整指导目录（2019本）》中的鼓励类七、石油、天然气中1.常规石油、天然气勘探与开采，符合国家产业政策</w:t>
            </w:r>
            <w:r>
              <w:rPr>
                <w:rStyle w:val="42"/>
                <w:rFonts w:ascii="Times New Roman" w:hAnsi="Times New Roman"/>
                <w:color w:val="auto"/>
                <w:szCs w:val="24"/>
              </w:rPr>
              <w:t>。</w:t>
            </w:r>
          </w:p>
          <w:p>
            <w:pPr>
              <w:pStyle w:val="13"/>
              <w:spacing w:before="0" w:after="0" w:line="360" w:lineRule="auto"/>
              <w:ind w:right="0" w:firstLine="482" w:firstLineChars="200"/>
              <w:rPr>
                <w:rFonts w:ascii="Times New Roman" w:hAnsi="Times New Roman"/>
                <w:b/>
                <w:bCs/>
                <w:color w:val="auto"/>
                <w:sz w:val="24"/>
              </w:rPr>
            </w:pPr>
            <w:r>
              <w:rPr>
                <w:rFonts w:ascii="Times New Roman" w:hAnsi="Times New Roman"/>
                <w:b/>
                <w:bCs/>
                <w:color w:val="auto"/>
                <w:sz w:val="24"/>
              </w:rPr>
              <w:t>2.主体功能区划相符性分析</w:t>
            </w:r>
          </w:p>
          <w:p>
            <w:pPr>
              <w:pStyle w:val="48"/>
              <w:snapToGrid w:val="0"/>
              <w:spacing w:line="360" w:lineRule="auto"/>
              <w:ind w:firstLine="480"/>
              <w:jc w:val="both"/>
              <w:rPr>
                <w:rFonts w:ascii="Times New Roman" w:hAnsi="Times New Roman"/>
                <w:color w:val="auto"/>
                <w:kern w:val="0"/>
                <w:highlight w:val="yellow"/>
              </w:rPr>
            </w:pPr>
            <w:r>
              <w:rPr>
                <w:rFonts w:ascii="Times New Roman" w:hAnsi="Times New Roman"/>
                <w:color w:val="auto"/>
              </w:rPr>
              <w:t>本项目位于</w:t>
            </w:r>
            <w:r>
              <w:rPr>
                <w:rFonts w:ascii="Times New Roman" w:hAnsi="Times New Roman"/>
                <w:snapToGrid w:val="0"/>
                <w:color w:val="auto"/>
              </w:rPr>
              <w:t>新疆生产建设兵团第七师123团境内，在</w:t>
            </w:r>
            <w:r>
              <w:rPr>
                <w:rFonts w:ascii="Times New Roman" w:hAnsi="Times New Roman"/>
                <w:color w:val="auto"/>
              </w:rPr>
              <w:t>《新疆</w:t>
            </w:r>
            <w:r>
              <w:rPr>
                <w:rFonts w:hint="eastAsia" w:ascii="Times New Roman" w:hAnsi="Times New Roman"/>
                <w:color w:val="auto"/>
              </w:rPr>
              <w:t>生产建设兵团</w:t>
            </w:r>
            <w:r>
              <w:rPr>
                <w:rFonts w:ascii="Times New Roman" w:hAnsi="Times New Roman"/>
                <w:color w:val="auto"/>
              </w:rPr>
              <w:t>主体功能区规划》中</w:t>
            </w:r>
            <w:r>
              <w:rPr>
                <w:rFonts w:hint="eastAsia" w:ascii="Times New Roman" w:hAnsi="Times New Roman"/>
                <w:color w:val="auto"/>
              </w:rPr>
              <w:t>限制开发区（农产品主产区）内</w:t>
            </w:r>
            <w:r>
              <w:rPr>
                <w:rFonts w:ascii="Times New Roman" w:hAnsi="Times New Roman"/>
                <w:color w:val="auto"/>
              </w:rPr>
              <w:t>，</w:t>
            </w:r>
            <w:r>
              <w:rPr>
                <w:rFonts w:hint="eastAsia" w:ascii="Times New Roman" w:hAnsi="Times New Roman"/>
                <w:bCs/>
                <w:color w:val="auto"/>
              </w:rPr>
              <w:t>该区域的功能定位是：保障农产品供给安全的区域，全国现代农业示范基地、节水灌溉示范推广基地和农业机械化推广基地，职工群众安居乐业的家园，屯垦戍边新型团场建设的示范区。</w:t>
            </w:r>
          </w:p>
          <w:p>
            <w:pPr>
              <w:pStyle w:val="13"/>
              <w:spacing w:before="0" w:after="0" w:line="360" w:lineRule="auto"/>
              <w:ind w:right="0" w:firstLine="480" w:firstLineChars="200"/>
              <w:rPr>
                <w:rFonts w:ascii="Times New Roman" w:hAnsi="Times New Roman"/>
                <w:color w:val="auto"/>
                <w:sz w:val="24"/>
              </w:rPr>
            </w:pPr>
            <w:r>
              <w:rPr>
                <w:rFonts w:ascii="Times New Roman" w:hAnsi="Times New Roman"/>
                <w:color w:val="auto"/>
                <w:sz w:val="24"/>
              </w:rPr>
              <w:t>本项目</w:t>
            </w:r>
            <w:r>
              <w:rPr>
                <w:rFonts w:ascii="monospace" w:hAnsi="monospace" w:eastAsia="monospace" w:cs="monospace"/>
                <w:color w:val="auto"/>
                <w:sz w:val="24"/>
                <w:szCs w:val="24"/>
                <w:shd w:val="clear" w:color="auto" w:fill="FFFFFF"/>
              </w:rPr>
              <w:t>未处于主体功能区划中的禁止开发区，与区域主体功能区中限制开发区域规划目标相一致，</w:t>
            </w:r>
            <w:r>
              <w:rPr>
                <w:rFonts w:ascii="Times New Roman" w:hAnsi="Times New Roman"/>
                <w:color w:val="auto"/>
                <w:sz w:val="24"/>
              </w:rPr>
              <w:t>符合要求。</w:t>
            </w:r>
          </w:p>
          <w:p>
            <w:pPr>
              <w:pStyle w:val="13"/>
              <w:numPr>
                <w:ilvl w:val="0"/>
                <w:numId w:val="1"/>
              </w:numPr>
              <w:spacing w:before="0" w:after="0" w:line="360" w:lineRule="auto"/>
              <w:ind w:right="0" w:firstLine="482" w:firstLineChars="200"/>
              <w:rPr>
                <w:rFonts w:ascii="Times New Roman" w:hAnsi="Times New Roman"/>
                <w:b/>
                <w:bCs/>
                <w:color w:val="auto"/>
                <w:kern w:val="2"/>
                <w:sz w:val="24"/>
                <w:szCs w:val="24"/>
              </w:rPr>
            </w:pPr>
            <w:r>
              <w:rPr>
                <w:rFonts w:ascii="Times New Roman" w:hAnsi="Times New Roman"/>
                <w:b/>
                <w:bCs/>
                <w:color w:val="auto"/>
                <w:kern w:val="2"/>
                <w:sz w:val="24"/>
                <w:szCs w:val="24"/>
              </w:rPr>
              <w:t>与“三线一单”相符性分析</w:t>
            </w:r>
          </w:p>
          <w:p>
            <w:pPr>
              <w:pStyle w:val="13"/>
              <w:spacing w:before="0" w:after="0" w:line="360" w:lineRule="auto"/>
              <w:ind w:right="0" w:firstLine="480" w:firstLineChars="200"/>
              <w:rPr>
                <w:rFonts w:ascii="Times New Roman" w:hAnsi="Times New Roman"/>
                <w:color w:val="auto"/>
                <w:sz w:val="24"/>
                <w:szCs w:val="24"/>
              </w:rPr>
            </w:pPr>
            <w:r>
              <w:rPr>
                <w:rFonts w:hint="eastAsia" w:ascii="Times New Roman" w:hAnsi="Times New Roman"/>
                <w:color w:val="auto"/>
                <w:sz w:val="24"/>
                <w:szCs w:val="24"/>
              </w:rPr>
              <w:t>根据新疆生产建设兵团“三线一单”生态环境分区管控方案管控单元汇总表，本项目所在地第七师归属胡杨河市，第七师胡杨河市已制定《第七师胡杨河市</w:t>
            </w:r>
            <w:r>
              <w:rPr>
                <w:rFonts w:ascii="Times New Roman" w:hAnsi="Times New Roman"/>
                <w:color w:val="auto"/>
                <w:sz w:val="24"/>
                <w:szCs w:val="24"/>
              </w:rPr>
              <w:t>“三线一单”生态环境分区管控方案》（2021年发布）</w:t>
            </w:r>
            <w:r>
              <w:rPr>
                <w:rFonts w:hint="eastAsia" w:ascii="Times New Roman" w:hAnsi="Times New Roman"/>
                <w:color w:val="auto"/>
                <w:sz w:val="24"/>
                <w:szCs w:val="24"/>
              </w:rPr>
              <w:t>。</w:t>
            </w:r>
          </w:p>
          <w:p>
            <w:pPr>
              <w:pStyle w:val="13"/>
              <w:spacing w:before="0" w:after="0" w:line="360" w:lineRule="auto"/>
              <w:ind w:right="0" w:firstLine="482" w:firstLineChars="200"/>
              <w:rPr>
                <w:rFonts w:ascii="Times New Roman" w:hAnsi="Times New Roman"/>
                <w:b/>
                <w:bCs/>
                <w:color w:val="auto"/>
                <w:kern w:val="2"/>
                <w:sz w:val="24"/>
                <w:szCs w:val="24"/>
              </w:rPr>
            </w:pPr>
            <w:r>
              <w:rPr>
                <w:rFonts w:hint="eastAsia" w:ascii="Times New Roman" w:hAnsi="Times New Roman"/>
                <w:b/>
                <w:bCs/>
                <w:color w:val="auto"/>
                <w:kern w:val="2"/>
                <w:sz w:val="24"/>
                <w:szCs w:val="24"/>
              </w:rPr>
              <w:t>（1）</w:t>
            </w:r>
            <w:r>
              <w:rPr>
                <w:rFonts w:ascii="Times New Roman" w:hAnsi="Times New Roman"/>
                <w:b/>
                <w:bCs/>
                <w:color w:val="auto"/>
                <w:kern w:val="2"/>
                <w:sz w:val="24"/>
                <w:szCs w:val="24"/>
              </w:rPr>
              <w:t>生态红线</w:t>
            </w:r>
          </w:p>
          <w:p>
            <w:pPr>
              <w:pStyle w:val="13"/>
              <w:spacing w:before="0" w:after="0" w:line="360" w:lineRule="auto"/>
              <w:ind w:right="0" w:firstLine="480" w:firstLineChars="200"/>
              <w:rPr>
                <w:rFonts w:ascii="Times New Roman" w:hAnsi="Times New Roman"/>
                <w:color w:val="auto"/>
                <w:sz w:val="24"/>
                <w:szCs w:val="24"/>
              </w:rPr>
            </w:pPr>
            <w:r>
              <w:rPr>
                <w:rFonts w:ascii="Times New Roman" w:hAnsi="Times New Roman"/>
                <w:color w:val="auto"/>
                <w:sz w:val="24"/>
                <w:szCs w:val="24"/>
              </w:rPr>
              <w:t>根据《第七师胡杨河市“三线一单”生态环境分区管控方案》（2021年发布），本项目位于</w:t>
            </w:r>
            <w:r>
              <w:rPr>
                <w:rFonts w:hint="eastAsia" w:ascii="Times New Roman" w:hAnsi="Times New Roman"/>
                <w:color w:val="auto"/>
                <w:sz w:val="24"/>
                <w:szCs w:val="24"/>
              </w:rPr>
              <w:t>123团</w:t>
            </w:r>
            <w:r>
              <w:rPr>
                <w:rFonts w:ascii="Times New Roman" w:hAnsi="Times New Roman"/>
                <w:color w:val="auto"/>
                <w:sz w:val="24"/>
                <w:szCs w:val="24"/>
              </w:rPr>
              <w:t>重点管控单元和师域范围，不在生态保护红线范围内，详见附图1。</w:t>
            </w:r>
          </w:p>
          <w:p>
            <w:pPr>
              <w:pStyle w:val="13"/>
              <w:spacing w:before="0" w:after="0" w:line="360" w:lineRule="auto"/>
              <w:ind w:right="0" w:firstLine="482" w:firstLineChars="200"/>
              <w:rPr>
                <w:rFonts w:ascii="Times New Roman" w:hAnsi="Times New Roman"/>
                <w:b/>
                <w:bCs/>
                <w:color w:val="auto"/>
                <w:kern w:val="2"/>
                <w:sz w:val="24"/>
                <w:szCs w:val="24"/>
              </w:rPr>
            </w:pPr>
            <w:r>
              <w:rPr>
                <w:rFonts w:hint="eastAsia" w:ascii="Times New Roman" w:hAnsi="Times New Roman"/>
                <w:b/>
                <w:bCs/>
                <w:color w:val="auto"/>
                <w:kern w:val="2"/>
                <w:sz w:val="24"/>
                <w:szCs w:val="24"/>
              </w:rPr>
              <w:t>（2）</w:t>
            </w:r>
            <w:r>
              <w:rPr>
                <w:rFonts w:ascii="Times New Roman" w:hAnsi="Times New Roman"/>
                <w:b/>
                <w:bCs/>
                <w:color w:val="auto"/>
                <w:kern w:val="2"/>
                <w:sz w:val="24"/>
                <w:szCs w:val="24"/>
              </w:rPr>
              <w:t>环境质量底线</w:t>
            </w:r>
          </w:p>
          <w:p>
            <w:pPr>
              <w:pStyle w:val="13"/>
              <w:spacing w:before="0" w:after="0" w:line="360" w:lineRule="auto"/>
              <w:ind w:right="0" w:firstLine="480" w:firstLineChars="200"/>
              <w:jc w:val="both"/>
              <w:rPr>
                <w:rFonts w:ascii="Times New Roman" w:hAnsi="Times New Roman"/>
                <w:color w:val="auto"/>
                <w:sz w:val="24"/>
                <w:szCs w:val="24"/>
              </w:rPr>
            </w:pPr>
            <w:r>
              <w:rPr>
                <w:rFonts w:ascii="Times New Roman" w:hAnsi="Times New Roman"/>
                <w:color w:val="auto"/>
                <w:sz w:val="24"/>
                <w:szCs w:val="24"/>
              </w:rPr>
              <w:t>本项目选址处声环境质量能够满足</w:t>
            </w:r>
            <w:r>
              <w:rPr>
                <w:rFonts w:hint="eastAsia" w:ascii="Times New Roman" w:hAnsi="Times New Roman"/>
                <w:color w:val="auto"/>
                <w:sz w:val="24"/>
                <w:szCs w:val="24"/>
              </w:rPr>
              <w:t>《声环境质量标准》（GB3096-2008）</w:t>
            </w:r>
            <w:r>
              <w:rPr>
                <w:rFonts w:ascii="Times New Roman" w:hAnsi="Times New Roman"/>
                <w:color w:val="auto"/>
                <w:sz w:val="24"/>
                <w:szCs w:val="24"/>
              </w:rPr>
              <w:t xml:space="preserve">要求，大气环境满足《环境空气质量标准》（GB3095-2012）二级标准。项目所在区域的环境空气、声环境、地下水、土壤的环境质量均较好，均可达到相应的环境功能区划要求。 </w:t>
            </w:r>
          </w:p>
          <w:p>
            <w:pPr>
              <w:pStyle w:val="13"/>
              <w:spacing w:before="0" w:after="0" w:line="360" w:lineRule="auto"/>
              <w:ind w:right="0" w:firstLine="480" w:firstLineChars="200"/>
              <w:jc w:val="both"/>
              <w:rPr>
                <w:rFonts w:ascii="Times New Roman" w:hAnsi="Times New Roman"/>
                <w:color w:val="auto"/>
                <w:sz w:val="24"/>
                <w:szCs w:val="24"/>
              </w:rPr>
            </w:pPr>
            <w:r>
              <w:rPr>
                <w:rFonts w:ascii="Times New Roman" w:hAnsi="Times New Roman"/>
                <w:color w:val="auto"/>
                <w:sz w:val="24"/>
                <w:szCs w:val="24"/>
              </w:rPr>
              <w:t>本项目施工期使用的柴油油品符合国家标准要求，施工机械及车辆采用低噪声设备，并采取基础减振措施，钻井岩屑经不落地系统处理后交由岩屑接收单位拉运处置。施工期对周围环境的影响随施工期的结束而消失；运营期采用密闭集输工艺，并加强对密闭管线及密封点的巡检，井场设备及巡检车辆，采取选用低噪声设备，基础减振等措施，不会出现扰民现象，洗井废水及废洗井液集中收集后送至春光联合站采出水处理系统处理，处理达标后均回注油藏，不外排。综上所述，项目对区域环境质量的影响较小，不会突破区域环境质量底线。</w:t>
            </w:r>
          </w:p>
          <w:p>
            <w:pPr>
              <w:pStyle w:val="13"/>
              <w:spacing w:before="0" w:after="0" w:line="360" w:lineRule="auto"/>
              <w:ind w:right="0" w:firstLine="482" w:firstLineChars="200"/>
              <w:jc w:val="both"/>
              <w:rPr>
                <w:rFonts w:ascii="Times New Roman" w:hAnsi="Times New Roman"/>
                <w:b/>
                <w:bCs/>
                <w:color w:val="auto"/>
                <w:sz w:val="24"/>
                <w:szCs w:val="24"/>
              </w:rPr>
            </w:pPr>
            <w:r>
              <w:rPr>
                <w:rFonts w:hint="eastAsia" w:ascii="Times New Roman" w:hAnsi="Times New Roman"/>
                <w:b/>
                <w:bCs/>
                <w:color w:val="auto"/>
                <w:sz w:val="24"/>
                <w:szCs w:val="24"/>
              </w:rPr>
              <w:t>（3）</w:t>
            </w:r>
            <w:r>
              <w:rPr>
                <w:rFonts w:ascii="Times New Roman" w:hAnsi="Times New Roman"/>
                <w:b/>
                <w:bCs/>
                <w:color w:val="auto"/>
                <w:sz w:val="24"/>
                <w:szCs w:val="24"/>
              </w:rPr>
              <w:t>资源利用上线</w:t>
            </w:r>
          </w:p>
          <w:p>
            <w:pPr>
              <w:pStyle w:val="13"/>
              <w:spacing w:before="0" w:after="0" w:line="360" w:lineRule="auto"/>
              <w:ind w:right="0"/>
              <w:jc w:val="both"/>
              <w:rPr>
                <w:rFonts w:ascii="Times New Roman" w:hAnsi="Times New Roman"/>
                <w:color w:val="auto"/>
                <w:sz w:val="24"/>
                <w:szCs w:val="24"/>
              </w:rPr>
            </w:pPr>
            <w:r>
              <w:rPr>
                <w:rFonts w:ascii="Times New Roman" w:hAnsi="Times New Roman"/>
                <w:color w:val="auto"/>
                <w:sz w:val="24"/>
                <w:szCs w:val="24"/>
              </w:rPr>
              <w:t>项目建设过程中会消耗一定量的柴油及少量新鲜水，施工临时占地在施工结束后会及时恢复；运营过程中消耗一定量的水资源、电源等资源；永久占用耕地面积较小，将在</w:t>
            </w:r>
            <w:r>
              <w:rPr>
                <w:rFonts w:hint="eastAsia" w:ascii="Times New Roman" w:hAnsi="Times New Roman"/>
                <w:color w:val="auto"/>
                <w:sz w:val="24"/>
                <w:szCs w:val="24"/>
              </w:rPr>
              <w:t>闭井</w:t>
            </w:r>
            <w:r>
              <w:rPr>
                <w:rFonts w:ascii="Times New Roman" w:hAnsi="Times New Roman"/>
                <w:color w:val="auto"/>
                <w:sz w:val="24"/>
                <w:szCs w:val="24"/>
              </w:rPr>
              <w:t>期进行复垦恢复耕地；项目资源消耗量相对区域资源利用总量较少，符合资源利用上线要求。本项目为石油开发项目，具有良好的经济效益和社会效益，不会突破资源利用上线。</w:t>
            </w:r>
          </w:p>
          <w:p>
            <w:pPr>
              <w:pStyle w:val="13"/>
              <w:spacing w:before="0" w:after="0" w:line="360" w:lineRule="auto"/>
              <w:ind w:right="0" w:firstLine="482" w:firstLineChars="200"/>
              <w:jc w:val="both"/>
              <w:rPr>
                <w:rFonts w:ascii="Times New Roman" w:hAnsi="Times New Roman"/>
                <w:b/>
                <w:bCs/>
                <w:color w:val="auto"/>
                <w:sz w:val="24"/>
                <w:szCs w:val="24"/>
              </w:rPr>
            </w:pPr>
            <w:r>
              <w:rPr>
                <w:rFonts w:hint="eastAsia" w:ascii="Times New Roman" w:hAnsi="Times New Roman"/>
                <w:b/>
                <w:bCs/>
                <w:color w:val="auto"/>
                <w:sz w:val="24"/>
                <w:szCs w:val="24"/>
              </w:rPr>
              <w:t>（4）</w:t>
            </w:r>
            <w:r>
              <w:rPr>
                <w:rFonts w:ascii="Times New Roman" w:hAnsi="Times New Roman"/>
                <w:b/>
                <w:bCs/>
                <w:color w:val="auto"/>
                <w:sz w:val="24"/>
                <w:szCs w:val="24"/>
              </w:rPr>
              <w:t>生态环境准入清单</w:t>
            </w: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根据《第七师胡杨河市“三线一单”生态环境分区管控方案》，本次对照第七师胡杨河市生态环境准入清单，</w:t>
            </w:r>
            <w:r>
              <w:rPr>
                <w:rFonts w:hint="eastAsia" w:ascii="Times New Roman" w:hAnsi="Times New Roman"/>
                <w:color w:val="auto"/>
                <w:kern w:val="0"/>
                <w:sz w:val="24"/>
              </w:rPr>
              <w:t>项目位于123团重点管控单元和师域范围，</w:t>
            </w:r>
            <w:r>
              <w:rPr>
                <w:rFonts w:ascii="Times New Roman" w:hAnsi="Times New Roman"/>
                <w:color w:val="auto"/>
                <w:kern w:val="0"/>
                <w:sz w:val="24"/>
              </w:rPr>
              <w:t>相关准入要求见表</w:t>
            </w:r>
            <w:r>
              <w:rPr>
                <w:rFonts w:ascii="Times New Roman" w:hAnsi="Times New Roman" w:eastAsia="TimesNewRomanPSMT"/>
                <w:color w:val="auto"/>
                <w:kern w:val="0"/>
                <w:sz w:val="24"/>
              </w:rPr>
              <w:t>1-1</w:t>
            </w:r>
            <w:r>
              <w:rPr>
                <w:rFonts w:ascii="Times New Roman" w:hAnsi="Times New Roman"/>
                <w:color w:val="auto"/>
                <w:kern w:val="0"/>
                <w:sz w:val="24"/>
              </w:rPr>
              <w:t>。</w:t>
            </w: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widowControl w:val="0"/>
              <w:autoSpaceDE w:val="0"/>
              <w:autoSpaceDN w:val="0"/>
              <w:adjustRightInd w:val="0"/>
              <w:spacing w:line="360" w:lineRule="auto"/>
              <w:ind w:firstLine="480" w:firstLineChars="200"/>
              <w:jc w:val="both"/>
              <w:rPr>
                <w:rFonts w:ascii="Times New Roman" w:hAnsi="Times New Roman"/>
                <w:color w:val="auto"/>
                <w:kern w:val="0"/>
                <w:sz w:val="24"/>
              </w:rPr>
            </w:pPr>
          </w:p>
          <w:p>
            <w:pPr>
              <w:pStyle w:val="3"/>
              <w:spacing w:before="0" w:after="0" w:line="240" w:lineRule="auto"/>
              <w:jc w:val="center"/>
              <w:rPr>
                <w:rFonts w:ascii="Times New Roman" w:hAnsi="Times New Roman"/>
                <w:color w:val="auto"/>
                <w:sz w:val="21"/>
                <w:szCs w:val="21"/>
              </w:rPr>
            </w:pPr>
          </w:p>
          <w:p>
            <w:pPr>
              <w:pStyle w:val="3"/>
              <w:spacing w:before="0" w:after="0" w:line="240" w:lineRule="auto"/>
              <w:jc w:val="center"/>
              <w:rPr>
                <w:rFonts w:ascii="Times New Roman" w:hAnsi="Times New Roman"/>
                <w:color w:val="auto"/>
                <w:sz w:val="21"/>
                <w:szCs w:val="21"/>
              </w:rPr>
            </w:pPr>
            <w:r>
              <w:rPr>
                <w:rFonts w:ascii="Times New Roman" w:hAnsi="Times New Roman"/>
                <w:color w:val="auto"/>
                <w:sz w:val="21"/>
                <w:szCs w:val="21"/>
              </w:rPr>
              <w:t>表1-1 第七师胡杨河市生态环境准入清单准入相符性分析</w:t>
            </w:r>
          </w:p>
          <w:tbl>
            <w:tblPr>
              <w:tblStyle w:val="243"/>
              <w:tblW w:w="0" w:type="auto"/>
              <w:jc w:val="center"/>
              <w:tblBorders>
                <w:top w:val="single" w:color="auto" w:sz="2" w:space="0"/>
                <w:left w:val="none" w:color="auto" w:sz="0" w:space="0"/>
                <w:bottom w:val="single" w:color="auto" w:sz="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971"/>
              <w:gridCol w:w="3577"/>
              <w:gridCol w:w="3452"/>
            </w:tblGrid>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8000" w:type="dxa"/>
                  <w:gridSpan w:val="3"/>
                  <w:vAlign w:val="center"/>
                </w:tcPr>
                <w:p>
                  <w:pPr>
                    <w:pStyle w:val="13"/>
                    <w:spacing w:before="0" w:after="0" w:line="240" w:lineRule="auto"/>
                    <w:ind w:right="0"/>
                    <w:jc w:val="both"/>
                    <w:rPr>
                      <w:rFonts w:ascii="Times New Roman" w:hAnsi="Times New Roman"/>
                      <w:color w:val="auto"/>
                      <w:sz w:val="21"/>
                      <w:szCs w:val="21"/>
                    </w:rPr>
                  </w:pPr>
                  <w:r>
                    <w:rPr>
                      <w:rFonts w:ascii="Times New Roman" w:hAnsi="Times New Roman"/>
                      <w:color w:val="auto"/>
                      <w:sz w:val="21"/>
                      <w:szCs w:val="21"/>
                    </w:rPr>
                    <w:t>123团重点管控单元（ZH65770120002）</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71" w:hRule="atLeast"/>
                <w:jc w:val="center"/>
              </w:trPr>
              <w:tc>
                <w:tcPr>
                  <w:tcW w:w="4548" w:type="dxa"/>
                  <w:gridSpan w:val="2"/>
                  <w:vAlign w:val="center"/>
                </w:tcPr>
                <w:p>
                  <w:pPr>
                    <w:pStyle w:val="3"/>
                    <w:spacing w:before="0" w:after="0" w:line="240" w:lineRule="auto"/>
                    <w:jc w:val="center"/>
                    <w:outlineLvl w:val="1"/>
                    <w:rPr>
                      <w:rFonts w:ascii="Times New Roman" w:hAnsi="Times New Roman"/>
                      <w:b w:val="0"/>
                      <w:bCs w:val="0"/>
                      <w:color w:val="auto"/>
                      <w:sz w:val="21"/>
                      <w:szCs w:val="21"/>
                    </w:rPr>
                  </w:pPr>
                  <w:r>
                    <w:rPr>
                      <w:rFonts w:ascii="Times New Roman" w:hAnsi="Times New Roman"/>
                      <w:b w:val="0"/>
                      <w:bCs w:val="0"/>
                      <w:color w:val="auto"/>
                      <w:sz w:val="21"/>
                      <w:szCs w:val="21"/>
                    </w:rPr>
                    <w:t>相关管控要求</w:t>
                  </w:r>
                </w:p>
              </w:tc>
              <w:tc>
                <w:tcPr>
                  <w:tcW w:w="3452" w:type="dxa"/>
                  <w:vAlign w:val="center"/>
                </w:tcPr>
                <w:p>
                  <w:pPr>
                    <w:pStyle w:val="3"/>
                    <w:spacing w:before="0" w:after="0" w:line="240" w:lineRule="auto"/>
                    <w:jc w:val="center"/>
                    <w:outlineLvl w:val="1"/>
                    <w:rPr>
                      <w:rFonts w:ascii="Times New Roman" w:hAnsi="Times New Roman"/>
                      <w:b w:val="0"/>
                      <w:bCs w:val="0"/>
                      <w:color w:val="auto"/>
                      <w:sz w:val="21"/>
                      <w:szCs w:val="21"/>
                    </w:rPr>
                  </w:pPr>
                  <w:r>
                    <w:rPr>
                      <w:rFonts w:ascii="Times New Roman" w:hAnsi="Times New Roman"/>
                      <w:b w:val="0"/>
                      <w:bCs w:val="0"/>
                      <w:color w:val="auto"/>
                      <w:sz w:val="21"/>
                      <w:szCs w:val="21"/>
                    </w:rPr>
                    <w:t>相符性</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71" w:type="dxa"/>
                  <w:vAlign w:val="center"/>
                </w:tcPr>
                <w:p>
                  <w:pPr>
                    <w:pStyle w:val="3"/>
                    <w:spacing w:before="0" w:after="0" w:line="240" w:lineRule="auto"/>
                    <w:jc w:val="center"/>
                    <w:outlineLvl w:val="1"/>
                    <w:rPr>
                      <w:rFonts w:ascii="Times New Roman" w:hAnsi="Times New Roman"/>
                      <w:b w:val="0"/>
                      <w:bCs w:val="0"/>
                      <w:color w:val="auto"/>
                      <w:sz w:val="24"/>
                      <w:szCs w:val="24"/>
                    </w:rPr>
                  </w:pPr>
                  <w:r>
                    <w:rPr>
                      <w:rFonts w:ascii="Times New Roman" w:hAnsi="Times New Roman"/>
                      <w:b w:val="0"/>
                      <w:bCs w:val="0"/>
                      <w:color w:val="auto"/>
                      <w:sz w:val="21"/>
                      <w:szCs w:val="21"/>
                    </w:rPr>
                    <w:t>空间布局约束</w:t>
                  </w:r>
                </w:p>
              </w:tc>
              <w:tc>
                <w:tcPr>
                  <w:tcW w:w="3577" w:type="dxa"/>
                  <w:vAlign w:val="center"/>
                </w:tcPr>
                <w:p>
                  <w:pPr>
                    <w:jc w:val="both"/>
                    <w:rPr>
                      <w:rFonts w:ascii="Times New Roman" w:hAnsi="Times New Roman"/>
                      <w:color w:val="auto"/>
                      <w:kern w:val="0"/>
                      <w:szCs w:val="21"/>
                    </w:rPr>
                  </w:pPr>
                  <w:r>
                    <w:rPr>
                      <w:rFonts w:ascii="Times New Roman" w:hAnsi="Times New Roman"/>
                      <w:color w:val="auto"/>
                      <w:kern w:val="0"/>
                      <w:szCs w:val="21"/>
                    </w:rPr>
                    <w:t>（1）执行水环境农业污染重点管控区相关要求。</w:t>
                  </w:r>
                </w:p>
                <w:p>
                  <w:pPr>
                    <w:jc w:val="both"/>
                    <w:rPr>
                      <w:rFonts w:ascii="Times New Roman" w:hAnsi="Times New Roman"/>
                      <w:color w:val="auto"/>
                      <w:kern w:val="0"/>
                      <w:szCs w:val="21"/>
                    </w:rPr>
                  </w:pPr>
                  <w:r>
                    <w:rPr>
                      <w:rFonts w:ascii="Times New Roman" w:hAnsi="Times New Roman"/>
                      <w:color w:val="auto"/>
                      <w:kern w:val="0"/>
                      <w:szCs w:val="21"/>
                    </w:rPr>
                    <w:t>（2）加强农田防护林网体系建设，保护基本农田，改造中低产农田和盐碱地，发展设施农业，并改进农业种植技术。</w:t>
                  </w:r>
                </w:p>
                <w:p>
                  <w:pPr>
                    <w:jc w:val="both"/>
                    <w:rPr>
                      <w:rFonts w:ascii="Times New Roman" w:hAnsi="Times New Roman"/>
                      <w:color w:val="auto"/>
                      <w:kern w:val="0"/>
                      <w:szCs w:val="21"/>
                    </w:rPr>
                  </w:pPr>
                  <w:r>
                    <w:rPr>
                      <w:rFonts w:ascii="Times New Roman" w:hAnsi="Times New Roman"/>
                      <w:color w:val="auto"/>
                      <w:kern w:val="0"/>
                      <w:szCs w:val="21"/>
                    </w:rPr>
                    <w:t>（3）严格控制非农建设占用耕地，加大对土地整理复垦开发重点区域及重点工程、粮食主产区和基本农田保护区的投入。</w:t>
                  </w:r>
                </w:p>
                <w:p>
                  <w:pPr>
                    <w:pStyle w:val="3"/>
                    <w:spacing w:before="0" w:after="0" w:line="240" w:lineRule="auto"/>
                    <w:jc w:val="both"/>
                    <w:outlineLvl w:val="1"/>
                    <w:rPr>
                      <w:rFonts w:ascii="Times New Roman" w:hAnsi="Times New Roman"/>
                      <w:b w:val="0"/>
                      <w:bCs w:val="0"/>
                      <w:color w:val="auto"/>
                      <w:sz w:val="21"/>
                      <w:szCs w:val="21"/>
                    </w:rPr>
                  </w:pPr>
                  <w:r>
                    <w:rPr>
                      <w:rFonts w:ascii="Times New Roman" w:hAnsi="Times New Roman"/>
                      <w:b w:val="0"/>
                      <w:bCs w:val="0"/>
                      <w:color w:val="auto"/>
                      <w:kern w:val="0"/>
                      <w:sz w:val="21"/>
                      <w:szCs w:val="21"/>
                    </w:rPr>
                    <w:t>（4）禁止任何单位和个人在基本农田保护区内建窑、建房、建坟、挖砂采石、采矿、取土、堆放固体废弃物或者进行其他破坏基本农田的活动。</w:t>
                  </w:r>
                </w:p>
              </w:tc>
              <w:tc>
                <w:tcPr>
                  <w:tcW w:w="3452" w:type="dxa"/>
                  <w:vAlign w:val="center"/>
                </w:tcPr>
                <w:p>
                  <w:pPr>
                    <w:pStyle w:val="3"/>
                    <w:spacing w:before="0" w:after="0" w:line="240" w:lineRule="auto"/>
                    <w:jc w:val="both"/>
                    <w:outlineLvl w:val="1"/>
                    <w:rPr>
                      <w:rFonts w:ascii="Times New Roman" w:hAnsi="Times New Roman"/>
                      <w:b w:val="0"/>
                      <w:bCs w:val="0"/>
                      <w:color w:val="auto"/>
                      <w:sz w:val="21"/>
                      <w:szCs w:val="21"/>
                    </w:rPr>
                  </w:pPr>
                  <w:r>
                    <w:rPr>
                      <w:rFonts w:ascii="Times New Roman" w:hAnsi="Times New Roman"/>
                      <w:b w:val="0"/>
                      <w:bCs w:val="0"/>
                      <w:color w:val="auto"/>
                      <w:sz w:val="21"/>
                      <w:szCs w:val="21"/>
                    </w:rPr>
                    <w:t>项目区占用耕地，不占用基本农田，占地范围内无水源涵养区、饮用水水源地保护区等环境敏感区；项目的建设符合产业政策，符合自治区生态功能区规划。</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71" w:type="dxa"/>
                  <w:vAlign w:val="center"/>
                </w:tcPr>
                <w:p>
                  <w:pPr>
                    <w:pStyle w:val="3"/>
                    <w:spacing w:before="0" w:after="0" w:line="240" w:lineRule="auto"/>
                    <w:jc w:val="center"/>
                    <w:outlineLvl w:val="1"/>
                    <w:rPr>
                      <w:rFonts w:ascii="Times New Roman" w:hAnsi="Times New Roman"/>
                      <w:b w:val="0"/>
                      <w:bCs w:val="0"/>
                      <w:color w:val="auto"/>
                      <w:sz w:val="21"/>
                      <w:szCs w:val="21"/>
                    </w:rPr>
                  </w:pPr>
                  <w:r>
                    <w:rPr>
                      <w:rFonts w:ascii="Times New Roman" w:hAnsi="Times New Roman"/>
                      <w:b w:val="0"/>
                      <w:bCs w:val="0"/>
                      <w:color w:val="auto"/>
                      <w:sz w:val="21"/>
                      <w:szCs w:val="21"/>
                    </w:rPr>
                    <w:t>污染物排放管控</w:t>
                  </w:r>
                </w:p>
              </w:tc>
              <w:tc>
                <w:tcPr>
                  <w:tcW w:w="3577" w:type="dxa"/>
                  <w:vAlign w:val="top"/>
                </w:tcPr>
                <w:p>
                  <w:pPr>
                    <w:jc w:val="both"/>
                    <w:rPr>
                      <w:rFonts w:ascii="Times New Roman" w:hAnsi="Times New Roman"/>
                      <w:color w:val="auto"/>
                      <w:kern w:val="0"/>
                      <w:szCs w:val="21"/>
                    </w:rPr>
                  </w:pPr>
                  <w:r>
                    <w:rPr>
                      <w:rFonts w:ascii="Times New Roman" w:hAnsi="Times New Roman"/>
                      <w:color w:val="auto"/>
                      <w:kern w:val="0"/>
                      <w:szCs w:val="21"/>
                    </w:rPr>
                    <w:t>（1）执行水环境农业污染重点管控区相关要求。</w:t>
                  </w:r>
                </w:p>
                <w:p>
                  <w:pPr>
                    <w:jc w:val="both"/>
                    <w:rPr>
                      <w:rFonts w:ascii="Times New Roman" w:hAnsi="Times New Roman"/>
                      <w:color w:val="auto"/>
                      <w:kern w:val="0"/>
                      <w:szCs w:val="21"/>
                    </w:rPr>
                  </w:pPr>
                  <w:r>
                    <w:rPr>
                      <w:rFonts w:ascii="Times New Roman" w:hAnsi="Times New Roman"/>
                      <w:color w:val="auto"/>
                    </w:rPr>
                    <w:t>（2）农田灌溉用水应当符合相应的水质标准，防止污染土壤、地下水和农产品。禁止向农田灌溉渠道排放工业废水或者医疗污水。向农田灌溉渠道排放城镇污水以及未综合利用的畜禽养殖废水、农产品加工废水的，应当保证其下游最近的灌溉取水点的水质符合农田灌溉水质标准。</w:t>
                  </w:r>
                </w:p>
              </w:tc>
              <w:tc>
                <w:tcPr>
                  <w:tcW w:w="3452" w:type="dxa"/>
                  <w:vAlign w:val="center"/>
                </w:tcPr>
                <w:p>
                  <w:pPr>
                    <w:pStyle w:val="3"/>
                    <w:spacing w:before="0" w:after="0" w:line="240" w:lineRule="auto"/>
                    <w:jc w:val="center"/>
                    <w:outlineLvl w:val="1"/>
                    <w:rPr>
                      <w:rFonts w:ascii="Times New Roman" w:hAnsi="Times New Roman"/>
                      <w:b w:val="0"/>
                      <w:bCs w:val="0"/>
                      <w:color w:val="auto"/>
                      <w:sz w:val="21"/>
                      <w:szCs w:val="21"/>
                    </w:rPr>
                  </w:pPr>
                  <w:r>
                    <w:rPr>
                      <w:rFonts w:ascii="Times New Roman" w:hAnsi="Times New Roman"/>
                      <w:b w:val="0"/>
                      <w:bCs w:val="0"/>
                      <w:color w:val="auto"/>
                      <w:sz w:val="21"/>
                      <w:szCs w:val="21"/>
                    </w:rPr>
                    <w:t>本项目采出水、洗井废水及废洗井液进春光联合站采出水处理系统处理，处理达标后回注于油藏，不外排。</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71" w:type="dxa"/>
                  <w:vAlign w:val="center"/>
                </w:tcPr>
                <w:p>
                  <w:pPr>
                    <w:pStyle w:val="3"/>
                    <w:spacing w:before="0" w:after="0" w:line="240" w:lineRule="auto"/>
                    <w:jc w:val="center"/>
                    <w:outlineLvl w:val="1"/>
                    <w:rPr>
                      <w:rFonts w:ascii="Times New Roman" w:hAnsi="Times New Roman"/>
                      <w:b w:val="0"/>
                      <w:bCs w:val="0"/>
                      <w:color w:val="auto"/>
                      <w:sz w:val="21"/>
                      <w:szCs w:val="21"/>
                    </w:rPr>
                  </w:pPr>
                  <w:r>
                    <w:rPr>
                      <w:rFonts w:ascii="Times New Roman" w:hAnsi="Times New Roman"/>
                      <w:b w:val="0"/>
                      <w:bCs w:val="0"/>
                      <w:color w:val="auto"/>
                      <w:sz w:val="21"/>
                      <w:szCs w:val="21"/>
                    </w:rPr>
                    <w:t>环境风险防控</w:t>
                  </w:r>
                </w:p>
              </w:tc>
              <w:tc>
                <w:tcPr>
                  <w:tcW w:w="3577" w:type="dxa"/>
                  <w:vAlign w:val="center"/>
                </w:tcPr>
                <w:p>
                  <w:pPr>
                    <w:pStyle w:val="13"/>
                    <w:spacing w:before="0" w:after="0" w:line="240" w:lineRule="auto"/>
                    <w:ind w:right="0"/>
                    <w:jc w:val="center"/>
                    <w:rPr>
                      <w:rFonts w:ascii="Times New Roman" w:hAnsi="Times New Roman"/>
                      <w:color w:val="auto"/>
                      <w:sz w:val="21"/>
                      <w:szCs w:val="21"/>
                    </w:rPr>
                  </w:pPr>
                  <w:r>
                    <w:rPr>
                      <w:rFonts w:ascii="Times New Roman" w:hAnsi="Times New Roman"/>
                      <w:color w:val="auto"/>
                      <w:sz w:val="21"/>
                      <w:szCs w:val="21"/>
                    </w:rPr>
                    <w:t>（1）对耕地面积减少或土壤环境质量下降的团场要进行预警提醒，并依法采取环评限批等限制性措施。</w:t>
                  </w:r>
                </w:p>
                <w:p>
                  <w:pPr>
                    <w:jc w:val="center"/>
                    <w:rPr>
                      <w:rFonts w:ascii="Times New Roman" w:hAnsi="Times New Roman"/>
                      <w:color w:val="auto"/>
                      <w:kern w:val="0"/>
                      <w:szCs w:val="21"/>
                    </w:rPr>
                  </w:pPr>
                  <w:r>
                    <w:rPr>
                      <w:rFonts w:ascii="Times New Roman" w:hAnsi="Times New Roman"/>
                      <w:color w:val="auto"/>
                      <w:szCs w:val="21"/>
                    </w:rPr>
                    <w:t>（2）对威胁地下水、饮用水水源安全的耕地，制定环境风险管控方案，并落实有关措施。</w:t>
                  </w:r>
                </w:p>
              </w:tc>
              <w:tc>
                <w:tcPr>
                  <w:tcW w:w="3452" w:type="dxa"/>
                  <w:vAlign w:val="top"/>
                </w:tcPr>
                <w:p>
                  <w:pPr>
                    <w:pStyle w:val="3"/>
                    <w:spacing w:before="0" w:after="0" w:line="240" w:lineRule="auto"/>
                    <w:jc w:val="both"/>
                    <w:outlineLvl w:val="1"/>
                    <w:rPr>
                      <w:rFonts w:ascii="Times New Roman" w:hAnsi="Times New Roman"/>
                      <w:b w:val="0"/>
                      <w:bCs w:val="0"/>
                      <w:color w:val="auto"/>
                      <w:sz w:val="21"/>
                      <w:szCs w:val="21"/>
                    </w:rPr>
                  </w:pPr>
                  <w:r>
                    <w:rPr>
                      <w:rFonts w:ascii="Times New Roman" w:hAnsi="Times New Roman"/>
                      <w:b w:val="0"/>
                      <w:bCs w:val="0"/>
                      <w:color w:val="auto"/>
                      <w:sz w:val="21"/>
                      <w:szCs w:val="21"/>
                    </w:rPr>
                    <w:t>本项目占地面积较小，全面贯彻“边开采，边治理，边恢复”的原则，对井场及输油管道沿线土壤定期监测，发现土壤污染时，及时查找泄漏源，防止污染源的进一步下渗，必要时对已污染的土壤进行替换或修复，闭井期对井场及道路永久占地及时复垦恢复原有植被类型，可最大限度规避项目建设对耕地及土壤的环境风险影响。严格落实报告提出的土壤污染防范措施，落实各项污染防治措施，防止污染项目区土壤和地下水；严格落实运营期污染源监测计划。</w:t>
                  </w:r>
                </w:p>
              </w:tc>
            </w:tr>
            <w:tr>
              <w:tblPrEx>
                <w:tblBorders>
                  <w:top w:val="single" w:color="auto" w:sz="2" w:space="0"/>
                  <w:left w:val="none" w:color="auto" w:sz="0" w:space="0"/>
                  <w:bottom w:val="single" w:color="auto" w:sz="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971" w:type="dxa"/>
                  <w:vAlign w:val="center"/>
                </w:tcPr>
                <w:p>
                  <w:pPr>
                    <w:pStyle w:val="3"/>
                    <w:spacing w:before="0" w:after="0" w:line="240" w:lineRule="auto"/>
                    <w:jc w:val="center"/>
                    <w:outlineLvl w:val="1"/>
                    <w:rPr>
                      <w:rFonts w:ascii="Times New Roman" w:hAnsi="Times New Roman"/>
                      <w:b w:val="0"/>
                      <w:bCs w:val="0"/>
                      <w:color w:val="auto"/>
                      <w:sz w:val="21"/>
                      <w:szCs w:val="21"/>
                    </w:rPr>
                  </w:pPr>
                  <w:r>
                    <w:rPr>
                      <w:rFonts w:ascii="Times New Roman" w:hAnsi="Times New Roman"/>
                      <w:b w:val="0"/>
                      <w:bCs w:val="0"/>
                      <w:color w:val="auto"/>
                      <w:sz w:val="21"/>
                      <w:szCs w:val="21"/>
                    </w:rPr>
                    <w:t>资源利用效率</w:t>
                  </w:r>
                </w:p>
              </w:tc>
              <w:tc>
                <w:tcPr>
                  <w:tcW w:w="3577" w:type="dxa"/>
                  <w:vAlign w:val="top"/>
                </w:tcPr>
                <w:p>
                  <w:pPr>
                    <w:pStyle w:val="13"/>
                    <w:spacing w:before="0" w:after="0" w:line="240" w:lineRule="auto"/>
                    <w:ind w:right="0"/>
                    <w:jc w:val="both"/>
                    <w:rPr>
                      <w:rFonts w:ascii="Times New Roman" w:hAnsi="Times New Roman"/>
                      <w:color w:val="auto"/>
                      <w:sz w:val="21"/>
                      <w:szCs w:val="21"/>
                    </w:rPr>
                  </w:pPr>
                  <w:r>
                    <w:rPr>
                      <w:rFonts w:ascii="Times New Roman" w:hAnsi="Times New Roman"/>
                      <w:color w:val="auto"/>
                      <w:sz w:val="21"/>
                      <w:szCs w:val="21"/>
                    </w:rPr>
                    <w:t>（1）推行秸秆还田、增施有机肥、少耕免耕、粮豆轮作、化肥农药减量、农膜减量与回收利用等措施，切实保护耕地土壤环境质量。</w:t>
                  </w:r>
                </w:p>
                <w:p>
                  <w:pPr>
                    <w:pStyle w:val="13"/>
                    <w:spacing w:before="0" w:after="0" w:line="240" w:lineRule="auto"/>
                    <w:ind w:right="0"/>
                    <w:jc w:val="both"/>
                    <w:rPr>
                      <w:rFonts w:ascii="Times New Roman" w:hAnsi="Times New Roman"/>
                      <w:color w:val="auto"/>
                      <w:sz w:val="21"/>
                      <w:szCs w:val="21"/>
                    </w:rPr>
                  </w:pPr>
                  <w:r>
                    <w:rPr>
                      <w:rFonts w:ascii="Times New Roman" w:hAnsi="Times New Roman"/>
                      <w:color w:val="auto"/>
                      <w:sz w:val="21"/>
                      <w:szCs w:val="21"/>
                    </w:rPr>
                    <w:t>（2）推进规模化高效节水灌溉，推广农作物节水抗旱技术。发展以喷滴灌和渠道防渗为中心的节水农业。</w:t>
                  </w:r>
                </w:p>
              </w:tc>
              <w:tc>
                <w:tcPr>
                  <w:tcW w:w="3452" w:type="dxa"/>
                  <w:vAlign w:val="center"/>
                </w:tcPr>
                <w:p>
                  <w:pPr>
                    <w:pStyle w:val="3"/>
                    <w:spacing w:before="0" w:after="0" w:line="240" w:lineRule="auto"/>
                    <w:jc w:val="center"/>
                    <w:outlineLvl w:val="1"/>
                    <w:rPr>
                      <w:rFonts w:ascii="Times New Roman" w:hAnsi="Times New Roman"/>
                      <w:b w:val="0"/>
                      <w:bCs w:val="0"/>
                      <w:color w:val="auto"/>
                      <w:sz w:val="21"/>
                      <w:szCs w:val="21"/>
                    </w:rPr>
                  </w:pPr>
                  <w:r>
                    <w:rPr>
                      <w:rFonts w:ascii="Times New Roman" w:hAnsi="Times New Roman"/>
                      <w:b w:val="0"/>
                      <w:bCs w:val="0"/>
                      <w:color w:val="auto"/>
                      <w:sz w:val="21"/>
                      <w:szCs w:val="21"/>
                    </w:rPr>
                    <w:t>本项目不涉及以上两项要求。</w:t>
                  </w:r>
                </w:p>
              </w:tc>
            </w:tr>
          </w:tbl>
          <w:p>
            <w:pPr>
              <w:pStyle w:val="105"/>
              <w:spacing w:before="120" w:beforeLines="50" w:line="360" w:lineRule="auto"/>
              <w:ind w:firstLine="480" w:firstLineChars="200"/>
              <w:jc w:val="both"/>
              <w:rPr>
                <w:rFonts w:ascii="Times New Roman" w:hAnsi="Times New Roman"/>
                <w:color w:val="auto"/>
                <w:sz w:val="24"/>
                <w:szCs w:val="24"/>
              </w:rPr>
            </w:pPr>
            <w:r>
              <w:rPr>
                <w:rFonts w:ascii="Times New Roman" w:hAnsi="Times New Roman"/>
                <w:color w:val="auto"/>
                <w:sz w:val="24"/>
                <w:szCs w:val="24"/>
              </w:rPr>
              <w:t>综上，本项目建设符合</w:t>
            </w:r>
            <w:r>
              <w:rPr>
                <w:rFonts w:ascii="Times New Roman" w:hAnsi="Times New Roman" w:eastAsia="TimesNewRomanPSMT"/>
                <w:color w:val="auto"/>
                <w:sz w:val="24"/>
                <w:szCs w:val="24"/>
              </w:rPr>
              <w:t>“</w:t>
            </w:r>
            <w:r>
              <w:rPr>
                <w:rFonts w:ascii="Times New Roman" w:hAnsi="Times New Roman"/>
                <w:color w:val="auto"/>
                <w:sz w:val="24"/>
                <w:szCs w:val="24"/>
              </w:rPr>
              <w:t>三线一单</w:t>
            </w:r>
            <w:r>
              <w:rPr>
                <w:rFonts w:ascii="Times New Roman" w:hAnsi="Times New Roman" w:eastAsia="TimesNewRomanPSMT"/>
                <w:color w:val="auto"/>
                <w:sz w:val="24"/>
                <w:szCs w:val="24"/>
              </w:rPr>
              <w:t>”</w:t>
            </w:r>
            <w:r>
              <w:rPr>
                <w:rFonts w:ascii="Times New Roman" w:hAnsi="Times New Roman"/>
                <w:color w:val="auto"/>
                <w:sz w:val="24"/>
                <w:szCs w:val="24"/>
              </w:rPr>
              <w:t>要求。</w:t>
            </w:r>
          </w:p>
          <w:p>
            <w:pPr>
              <w:pStyle w:val="105"/>
              <w:spacing w:line="360" w:lineRule="auto"/>
              <w:jc w:val="both"/>
              <w:rPr>
                <w:rFonts w:ascii="Times New Roman" w:hAnsi="Times New Roman"/>
                <w:b/>
                <w:color w:val="auto"/>
                <w:sz w:val="24"/>
                <w:szCs w:val="24"/>
                <w:lang w:bidi="ar"/>
              </w:rPr>
            </w:pPr>
          </w:p>
          <w:p>
            <w:pPr>
              <w:pStyle w:val="105"/>
              <w:spacing w:line="360" w:lineRule="auto"/>
              <w:jc w:val="both"/>
              <w:rPr>
                <w:rFonts w:ascii="Times New Roman" w:hAnsi="Times New Roman"/>
                <w:b/>
                <w:color w:val="auto"/>
                <w:sz w:val="24"/>
                <w:szCs w:val="24"/>
                <w:lang w:bidi="ar"/>
              </w:rPr>
            </w:pPr>
            <w:r>
              <w:rPr>
                <w:rFonts w:hint="eastAsia" w:ascii="Times New Roman" w:hAnsi="Times New Roman"/>
                <w:b/>
                <w:color w:val="auto"/>
                <w:sz w:val="24"/>
                <w:szCs w:val="24"/>
                <w:lang w:bidi="ar"/>
              </w:rPr>
              <w:t>与相关规划符合性分析</w:t>
            </w:r>
          </w:p>
          <w:p>
            <w:pPr>
              <w:pStyle w:val="105"/>
              <w:spacing w:line="360" w:lineRule="auto"/>
              <w:ind w:firstLine="482" w:firstLineChars="200"/>
              <w:jc w:val="both"/>
              <w:rPr>
                <w:rFonts w:ascii="Times New Roman" w:hAnsi="Times New Roman"/>
                <w:b/>
                <w:color w:val="auto"/>
                <w:sz w:val="24"/>
                <w:szCs w:val="24"/>
                <w:lang w:bidi="ar"/>
              </w:rPr>
            </w:pPr>
            <w:r>
              <w:rPr>
                <w:rFonts w:hint="eastAsia" w:ascii="Times New Roman" w:hAnsi="Times New Roman"/>
                <w:b/>
                <w:color w:val="auto"/>
                <w:sz w:val="24"/>
                <w:szCs w:val="24"/>
                <w:lang w:bidi="ar"/>
              </w:rPr>
              <w:t>1.</w:t>
            </w:r>
            <w:r>
              <w:rPr>
                <w:rFonts w:ascii="Times New Roman" w:hAnsi="Times New Roman"/>
                <w:b/>
                <w:color w:val="auto"/>
                <w:sz w:val="24"/>
                <w:szCs w:val="24"/>
                <w:lang w:bidi="ar"/>
              </w:rPr>
              <w:t>与《</w:t>
            </w:r>
            <w:r>
              <w:rPr>
                <w:rFonts w:hint="eastAsia" w:ascii="Times New Roman" w:hAnsi="Times New Roman"/>
                <w:b/>
                <w:color w:val="auto"/>
                <w:sz w:val="24"/>
                <w:szCs w:val="24"/>
                <w:lang w:bidi="ar"/>
              </w:rPr>
              <w:t>新疆维吾尔自治区矿产资源勘查开发“十三五”规划</w:t>
            </w:r>
            <w:r>
              <w:rPr>
                <w:rFonts w:ascii="Times New Roman" w:hAnsi="Times New Roman"/>
                <w:b/>
                <w:color w:val="auto"/>
                <w:sz w:val="24"/>
                <w:szCs w:val="24"/>
                <w:lang w:bidi="ar"/>
              </w:rPr>
              <w:t>》相符性分析</w:t>
            </w:r>
          </w:p>
          <w:p>
            <w:pPr>
              <w:pStyle w:val="105"/>
              <w:spacing w:line="360" w:lineRule="auto"/>
              <w:ind w:firstLine="480" w:firstLineChars="200"/>
              <w:jc w:val="both"/>
              <w:rPr>
                <w:rFonts w:ascii="Times New Roman" w:hAnsi="Times New Roman"/>
                <w:color w:val="auto"/>
                <w:sz w:val="24"/>
                <w:szCs w:val="24"/>
                <w:lang w:bidi="ar"/>
              </w:rPr>
            </w:pPr>
            <w:r>
              <w:rPr>
                <w:rFonts w:hint="eastAsia" w:ascii="Times New Roman" w:hAnsi="Times New Roman"/>
                <w:color w:val="auto"/>
                <w:sz w:val="24"/>
                <w:szCs w:val="24"/>
                <w:lang w:bidi="ar"/>
              </w:rPr>
              <w:t>《新疆维吾尔自治区矿产资源勘查开发“十三五”规划》将石油、天然气等新疆优势矿种列为战略性矿产，提高资源安全供应能力和开发利用水平。本项目为石油开采项目，符合规划要求。</w:t>
            </w:r>
          </w:p>
          <w:p>
            <w:pPr>
              <w:pStyle w:val="13"/>
              <w:spacing w:before="0" w:after="0" w:line="360" w:lineRule="auto"/>
              <w:ind w:right="0" w:firstLine="482" w:firstLineChars="200"/>
              <w:rPr>
                <w:rFonts w:ascii="Times New Roman" w:hAnsi="Times New Roman"/>
                <w:b/>
                <w:bCs/>
                <w:color w:val="auto"/>
                <w:kern w:val="2"/>
                <w:sz w:val="24"/>
                <w:szCs w:val="24"/>
              </w:rPr>
            </w:pPr>
            <w:r>
              <w:rPr>
                <w:rFonts w:hint="eastAsia" w:ascii="Times New Roman" w:hAnsi="Times New Roman"/>
                <w:b/>
                <w:bCs/>
                <w:color w:val="auto"/>
                <w:sz w:val="24"/>
                <w:szCs w:val="24"/>
                <w:lang w:bidi="ar"/>
              </w:rPr>
              <w:t>2.</w:t>
            </w:r>
            <w:r>
              <w:rPr>
                <w:rFonts w:ascii="Times New Roman" w:hAnsi="Times New Roman"/>
                <w:b/>
                <w:bCs/>
                <w:color w:val="auto"/>
                <w:kern w:val="2"/>
                <w:sz w:val="24"/>
                <w:szCs w:val="24"/>
              </w:rPr>
              <w:t>与《新疆维吾尔自治区矿产资源总体规划（2016-2020 年）》相符性分析：</w:t>
            </w:r>
          </w:p>
          <w:p>
            <w:pPr>
              <w:pStyle w:val="13"/>
              <w:spacing w:before="0" w:after="0" w:line="360" w:lineRule="auto"/>
              <w:ind w:right="0" w:firstLine="480" w:firstLineChars="200"/>
              <w:jc w:val="both"/>
              <w:rPr>
                <w:rFonts w:ascii="Times New Roman" w:hAnsi="Times New Roman"/>
                <w:color w:val="auto"/>
                <w:kern w:val="2"/>
                <w:sz w:val="24"/>
                <w:szCs w:val="24"/>
              </w:rPr>
            </w:pPr>
            <w:r>
              <w:rPr>
                <w:rFonts w:ascii="Times New Roman" w:hAnsi="Times New Roman"/>
                <w:color w:val="auto"/>
                <w:kern w:val="2"/>
                <w:sz w:val="24"/>
                <w:szCs w:val="24"/>
              </w:rPr>
              <w:t>《新疆维吾尔自治区矿产资源总体规划（2016-2020 年）》第三章第三节指出“落实国家资源安全战略部署，综合考虑自治区矿产资源禀赋、开发利用条件、环境承载力和区域产业布局等因素，建成油气、煤炭、铀矿、铁矿、锰矿、铜矿、铅锌矿、金矿、钾盐等10个国家级和14个自治区级矿产能源资源基地，作为国家资源安全供应战略核心区，纳入自治区国民经济和社会发展规划以及相关行业发展规划中统筹安排和重点建设”，其中准噶尔盆地油气基地属于该规划确定的10个国家级大型油气生产和加工基地，本项目属于准噶尔盆地油气基地内重点项目，符合规划要求。</w:t>
            </w:r>
          </w:p>
          <w:p>
            <w:pPr>
              <w:pStyle w:val="13"/>
              <w:spacing w:before="0" w:after="0" w:line="360" w:lineRule="auto"/>
              <w:ind w:right="0" w:firstLine="482" w:firstLineChars="200"/>
              <w:rPr>
                <w:rFonts w:ascii="Times New Roman" w:hAnsi="Times New Roman"/>
                <w:b/>
                <w:bCs/>
                <w:color w:val="auto"/>
                <w:kern w:val="2"/>
                <w:sz w:val="24"/>
                <w:szCs w:val="24"/>
              </w:rPr>
            </w:pPr>
            <w:r>
              <w:rPr>
                <w:rFonts w:hint="eastAsia" w:ascii="Times New Roman" w:hAnsi="Times New Roman"/>
                <w:b/>
                <w:bCs/>
                <w:color w:val="auto"/>
                <w:kern w:val="2"/>
                <w:sz w:val="24"/>
                <w:szCs w:val="24"/>
              </w:rPr>
              <w:t>3</w:t>
            </w:r>
            <w:r>
              <w:rPr>
                <w:rFonts w:ascii="Times New Roman" w:hAnsi="Times New Roman"/>
                <w:b/>
                <w:bCs/>
                <w:color w:val="auto"/>
                <w:kern w:val="2"/>
                <w:sz w:val="24"/>
                <w:szCs w:val="24"/>
              </w:rPr>
              <w:t>.与《新疆维吾尔自治区矿产资源总体规划（2016-2020 年）环境影响报告书评价结论及审查意见》相符性分析：</w:t>
            </w:r>
          </w:p>
          <w:p>
            <w:pPr>
              <w:pStyle w:val="13"/>
              <w:spacing w:before="0" w:after="0" w:line="360" w:lineRule="auto"/>
              <w:ind w:right="0" w:firstLine="480" w:firstLineChars="200"/>
              <w:jc w:val="both"/>
              <w:rPr>
                <w:rFonts w:ascii="Times New Roman" w:hAnsi="Times New Roman"/>
                <w:color w:val="auto"/>
                <w:kern w:val="2"/>
                <w:sz w:val="24"/>
                <w:szCs w:val="24"/>
              </w:rPr>
            </w:pPr>
            <w:r>
              <w:rPr>
                <w:rFonts w:ascii="Times New Roman" w:hAnsi="Times New Roman"/>
                <w:color w:val="auto"/>
                <w:kern w:val="2"/>
                <w:sz w:val="24"/>
                <w:szCs w:val="24"/>
              </w:rPr>
              <w:t>《新疆维吾尔自治区矿产资源总体规划（2016-2020年）环境影响报告书》要求对采出物开采过程中的废气、废水、固体废物采取相应的治理措施，对实施过程中产生的生态影响采取有效的减缓措施。</w:t>
            </w:r>
          </w:p>
          <w:p>
            <w:pPr>
              <w:pStyle w:val="33"/>
              <w:keepLines/>
              <w:widowControl w:val="0"/>
              <w:spacing w:before="0" w:beforeAutospacing="0" w:after="0" w:afterAutospacing="0" w:line="360" w:lineRule="auto"/>
              <w:jc w:val="both"/>
              <w:rPr>
                <w:rFonts w:ascii="Times New Roman" w:hAnsi="Times New Roman"/>
                <w:color w:val="auto"/>
                <w:kern w:val="2"/>
              </w:rPr>
            </w:pPr>
            <w:r>
              <w:rPr>
                <w:rFonts w:ascii="Times New Roman" w:hAnsi="Times New Roman"/>
                <w:color w:val="auto"/>
                <w:kern w:val="2"/>
              </w:rPr>
              <w:t>本项目运营期集输过程中排放的挥发性有机物产生量少，废水废液集中收集至专用收集罐中，由罐车拉运至春光联合站（原排二联合站）采出水处理系统处理，处理达标后均回注油藏，不外排；运营期事故状态下产生的危险废物均交由第三方处置，设备均采取防渗措施，管线进行了防腐处理，并对项目实施过程中产生的生态影响提出了有效的减缓措施，符合</w:t>
            </w:r>
            <w:r>
              <w:rPr>
                <w:rFonts w:hint="eastAsia" w:ascii="Times New Roman" w:hAnsi="Times New Roman"/>
                <w:color w:val="auto"/>
                <w:kern w:val="2"/>
              </w:rPr>
              <w:t>该规划环评及审查意见</w:t>
            </w:r>
            <w:r>
              <w:rPr>
                <w:rFonts w:ascii="Times New Roman" w:hAnsi="Times New Roman"/>
                <w:color w:val="auto"/>
                <w:kern w:val="2"/>
              </w:rPr>
              <w:t>的要求。</w:t>
            </w:r>
          </w:p>
          <w:p>
            <w:pPr>
              <w:pStyle w:val="33"/>
              <w:keepLines/>
              <w:widowControl w:val="0"/>
              <w:spacing w:before="0" w:beforeAutospacing="0" w:after="0" w:afterAutospacing="0" w:line="360" w:lineRule="auto"/>
              <w:jc w:val="both"/>
              <w:rPr>
                <w:rFonts w:ascii="Times New Roman" w:hAnsi="Times New Roman"/>
                <w:b/>
                <w:color w:val="auto"/>
              </w:rPr>
            </w:pPr>
            <w:r>
              <w:rPr>
                <w:rFonts w:ascii="Times New Roman" w:hAnsi="Times New Roman"/>
                <w:b/>
                <w:color w:val="auto"/>
                <w:kern w:val="2"/>
                <w:lang w:bidi="ar"/>
              </w:rPr>
              <w:t>与相关政策符合性分析</w:t>
            </w:r>
          </w:p>
          <w:p>
            <w:pPr>
              <w:pStyle w:val="48"/>
              <w:spacing w:line="360" w:lineRule="auto"/>
              <w:ind w:firstLine="482"/>
              <w:jc w:val="both"/>
              <w:rPr>
                <w:rFonts w:ascii="Times New Roman" w:hAnsi="Times New Roman"/>
                <w:b/>
                <w:bCs/>
                <w:color w:val="auto"/>
                <w:lang w:bidi="ar"/>
              </w:rPr>
            </w:pPr>
            <w:r>
              <w:rPr>
                <w:rFonts w:ascii="Times New Roman" w:hAnsi="Times New Roman"/>
                <w:b/>
                <w:bCs/>
                <w:color w:val="auto"/>
                <w:lang w:bidi="ar"/>
              </w:rPr>
              <w:t>1.与《石油天然气开采业污染防治技术政策》相符性分析</w:t>
            </w:r>
          </w:p>
          <w:p>
            <w:pPr>
              <w:pStyle w:val="48"/>
              <w:adjustRightInd w:val="0"/>
              <w:snapToGrid w:val="0"/>
              <w:spacing w:line="360" w:lineRule="auto"/>
              <w:ind w:firstLine="480"/>
              <w:jc w:val="both"/>
              <w:rPr>
                <w:rFonts w:ascii="Times New Roman" w:hAnsi="Times New Roman"/>
                <w:color w:val="auto"/>
                <w:lang w:bidi="ar"/>
              </w:rPr>
            </w:pPr>
            <w:r>
              <w:rPr>
                <w:rFonts w:ascii="Times New Roman" w:hAnsi="Times New Roman"/>
                <w:color w:val="auto"/>
                <w:lang w:bidi="ar"/>
              </w:rPr>
              <w:t>本项目运营期采取的各项环保措施与《石油天然气开采业污染防治技术政策》中要求的相符性分析详见表1-2。</w:t>
            </w:r>
          </w:p>
          <w:p>
            <w:pPr>
              <w:pStyle w:val="105"/>
              <w:spacing w:line="360" w:lineRule="auto"/>
              <w:ind w:firstLine="480" w:firstLineChars="200"/>
              <w:jc w:val="both"/>
              <w:rPr>
                <w:rFonts w:ascii="Times New Roman" w:hAnsi="Times New Roman"/>
                <w:color w:val="auto"/>
                <w:sz w:val="24"/>
                <w:szCs w:val="24"/>
              </w:rPr>
            </w:pPr>
          </w:p>
          <w:p>
            <w:pPr>
              <w:pStyle w:val="105"/>
              <w:spacing w:line="360" w:lineRule="auto"/>
              <w:ind w:firstLine="480" w:firstLineChars="200"/>
              <w:jc w:val="both"/>
              <w:rPr>
                <w:rFonts w:ascii="Times New Roman" w:hAnsi="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15" w:type="pct"/>
            <w:tcMar>
              <w:top w:w="16" w:type="dxa"/>
              <w:left w:w="16" w:type="dxa"/>
              <w:right w:w="16" w:type="dxa"/>
            </w:tcMar>
            <w:vAlign w:val="center"/>
          </w:tcPr>
          <w:p>
            <w:pPr>
              <w:pStyle w:val="33"/>
              <w:spacing w:before="0" w:beforeAutospacing="0" w:after="0" w:afterAutospacing="0"/>
              <w:jc w:val="center"/>
              <w:rPr>
                <w:rFonts w:cs="宋体"/>
                <w:snapToGrid w:val="0"/>
                <w:color w:val="auto"/>
              </w:rPr>
            </w:pPr>
            <w:r>
              <w:rPr>
                <w:rFonts w:hint="eastAsia" w:cs="宋体"/>
                <w:snapToGrid w:val="0"/>
                <w:color w:val="auto"/>
              </w:rPr>
              <w:t>其</w:t>
            </w:r>
          </w:p>
          <w:p>
            <w:pPr>
              <w:pStyle w:val="33"/>
              <w:spacing w:before="0" w:beforeAutospacing="0" w:after="0" w:afterAutospacing="0"/>
              <w:jc w:val="center"/>
              <w:rPr>
                <w:rFonts w:cs="宋体"/>
                <w:snapToGrid w:val="0"/>
                <w:color w:val="auto"/>
              </w:rPr>
            </w:pPr>
            <w:r>
              <w:rPr>
                <w:rFonts w:hint="eastAsia" w:cs="宋体"/>
                <w:snapToGrid w:val="0"/>
                <w:color w:val="auto"/>
              </w:rPr>
              <w:t>他</w:t>
            </w:r>
          </w:p>
          <w:p>
            <w:pPr>
              <w:pStyle w:val="33"/>
              <w:spacing w:before="0" w:beforeAutospacing="0" w:after="0" w:afterAutospacing="0"/>
              <w:jc w:val="center"/>
              <w:rPr>
                <w:rFonts w:cs="宋体"/>
                <w:snapToGrid w:val="0"/>
                <w:color w:val="auto"/>
              </w:rPr>
            </w:pPr>
            <w:r>
              <w:rPr>
                <w:rFonts w:hint="eastAsia" w:cs="宋体"/>
                <w:snapToGrid w:val="0"/>
                <w:color w:val="auto"/>
              </w:rPr>
              <w:t>符</w:t>
            </w:r>
          </w:p>
          <w:p>
            <w:pPr>
              <w:pStyle w:val="33"/>
              <w:spacing w:before="0" w:beforeAutospacing="0" w:after="0" w:afterAutospacing="0"/>
              <w:jc w:val="center"/>
              <w:rPr>
                <w:rFonts w:cs="宋体"/>
                <w:snapToGrid w:val="0"/>
                <w:color w:val="auto"/>
              </w:rPr>
            </w:pPr>
            <w:r>
              <w:rPr>
                <w:rFonts w:hint="eastAsia" w:cs="宋体"/>
                <w:snapToGrid w:val="0"/>
                <w:color w:val="auto"/>
              </w:rPr>
              <w:t>合</w:t>
            </w:r>
          </w:p>
          <w:p>
            <w:pPr>
              <w:pStyle w:val="33"/>
              <w:spacing w:before="0" w:beforeAutospacing="0" w:after="0" w:afterAutospacing="0"/>
              <w:jc w:val="center"/>
              <w:rPr>
                <w:rFonts w:cs="宋体"/>
                <w:snapToGrid w:val="0"/>
                <w:color w:val="auto"/>
              </w:rPr>
            </w:pPr>
            <w:r>
              <w:rPr>
                <w:rFonts w:hint="eastAsia" w:cs="宋体"/>
                <w:snapToGrid w:val="0"/>
                <w:color w:val="auto"/>
              </w:rPr>
              <w:t>性</w:t>
            </w:r>
          </w:p>
          <w:p>
            <w:pPr>
              <w:pStyle w:val="33"/>
              <w:spacing w:before="0" w:beforeAutospacing="0" w:after="0" w:afterAutospacing="0"/>
              <w:jc w:val="center"/>
              <w:rPr>
                <w:rFonts w:cs="宋体"/>
                <w:snapToGrid w:val="0"/>
                <w:color w:val="auto"/>
              </w:rPr>
            </w:pPr>
            <w:r>
              <w:rPr>
                <w:rFonts w:hint="eastAsia" w:cs="宋体"/>
                <w:snapToGrid w:val="0"/>
                <w:color w:val="auto"/>
              </w:rPr>
              <w:t>分</w:t>
            </w:r>
          </w:p>
          <w:p>
            <w:pPr>
              <w:pStyle w:val="33"/>
              <w:spacing w:before="0" w:beforeAutospacing="0" w:after="0" w:afterAutospacing="0"/>
              <w:jc w:val="center"/>
              <w:rPr>
                <w:rFonts w:cs="宋体"/>
                <w:snapToGrid w:val="0"/>
                <w:color w:val="auto"/>
              </w:rPr>
            </w:pPr>
            <w:r>
              <w:rPr>
                <w:rFonts w:hint="eastAsia" w:cs="宋体"/>
                <w:snapToGrid w:val="0"/>
                <w:color w:val="auto"/>
              </w:rPr>
              <w:t>析</w:t>
            </w:r>
          </w:p>
          <w:p>
            <w:pPr>
              <w:autoSpaceDE w:val="0"/>
              <w:autoSpaceDN w:val="0"/>
              <w:adjustRightInd w:val="0"/>
              <w:snapToGrid w:val="0"/>
              <w:jc w:val="center"/>
              <w:rPr>
                <w:rFonts w:ascii="Times New Roman" w:hAnsi="Times New Roman"/>
                <w:color w:val="auto"/>
                <w:kern w:val="0"/>
                <w:sz w:val="24"/>
              </w:rPr>
            </w:pPr>
          </w:p>
        </w:tc>
        <w:tc>
          <w:tcPr>
            <w:tcW w:w="4684" w:type="pct"/>
            <w:tcMar>
              <w:top w:w="16" w:type="dxa"/>
              <w:left w:w="16" w:type="dxa"/>
              <w:right w:w="16" w:type="dxa"/>
            </w:tcMar>
            <w:vAlign w:val="center"/>
          </w:tcPr>
          <w:p>
            <w:pPr>
              <w:adjustRightInd w:val="0"/>
              <w:snapToGrid w:val="0"/>
              <w:spacing w:before="120" w:beforeLines="50"/>
              <w:jc w:val="center"/>
              <w:rPr>
                <w:rFonts w:ascii="Times New Roman" w:hAnsi="Times New Roman"/>
                <w:b/>
                <w:color w:val="auto"/>
                <w:kern w:val="0"/>
                <w:szCs w:val="21"/>
              </w:rPr>
            </w:pPr>
            <w:r>
              <w:rPr>
                <w:rFonts w:ascii="Times New Roman" w:hAnsi="Times New Roman"/>
                <w:b/>
                <w:color w:val="auto"/>
                <w:kern w:val="0"/>
                <w:szCs w:val="21"/>
              </w:rPr>
              <w:t>表1-2  与《石油天然气开采业污染防治技术政策》相符性分析</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3832"/>
              <w:gridCol w:w="3294"/>
              <w:gridCol w:w="7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序号</w:t>
                  </w:r>
                </w:p>
              </w:tc>
              <w:tc>
                <w:tcPr>
                  <w:tcW w:w="2272"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《政策》中相关规定</w:t>
                  </w:r>
                </w:p>
              </w:tc>
              <w:tc>
                <w:tcPr>
                  <w:tcW w:w="1953"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本项目采取的相关措施</w:t>
                  </w:r>
                </w:p>
              </w:tc>
              <w:tc>
                <w:tcPr>
                  <w:tcW w:w="425"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1</w:t>
                  </w:r>
                </w:p>
              </w:tc>
              <w:tc>
                <w:tcPr>
                  <w:tcW w:w="2272" w:type="pct"/>
                  <w:tcMar>
                    <w:left w:w="0" w:type="dxa"/>
                    <w:right w:w="0" w:type="dxa"/>
                  </w:tcMar>
                  <w:vAlign w:val="center"/>
                </w:tcPr>
                <w:p>
                  <w:pPr>
                    <w:pStyle w:val="220"/>
                    <w:jc w:val="center"/>
                    <w:rPr>
                      <w:rFonts w:ascii="Times New Roman" w:hAnsi="Times New Roman" w:cs="Times New Roman"/>
                      <w:color w:val="auto"/>
                      <w:sz w:val="21"/>
                      <w:szCs w:val="21"/>
                      <w:lang w:bidi="ar"/>
                    </w:rPr>
                  </w:pPr>
                  <w:r>
                    <w:rPr>
                      <w:rFonts w:ascii="Times New Roman" w:hAnsi="Times New Roman" w:cs="Times New Roman"/>
                      <w:color w:val="auto"/>
                      <w:sz w:val="21"/>
                      <w:szCs w:val="21"/>
                      <w:lang w:bidi="ar"/>
                    </w:rPr>
                    <w:t xml:space="preserve">在钻井过程中，鼓励采用环境友好的钻井液体系；配备完善的固控设备，钻井液循环率达到95%以上 </w:t>
                  </w:r>
                </w:p>
              </w:tc>
              <w:tc>
                <w:tcPr>
                  <w:tcW w:w="1953" w:type="pct"/>
                  <w:tcMar>
                    <w:left w:w="0" w:type="dxa"/>
                    <w:right w:w="0" w:type="dxa"/>
                  </w:tcMar>
                  <w:vAlign w:val="center"/>
                </w:tcPr>
                <w:p>
                  <w:pPr>
                    <w:pStyle w:val="220"/>
                    <w:jc w:val="center"/>
                    <w:rPr>
                      <w:rFonts w:ascii="Times New Roman" w:hAnsi="Times New Roman" w:cs="Times New Roman"/>
                      <w:color w:val="auto"/>
                      <w:sz w:val="21"/>
                      <w:szCs w:val="21"/>
                      <w:lang w:bidi="ar"/>
                    </w:rPr>
                  </w:pPr>
                  <w:r>
                    <w:rPr>
                      <w:rFonts w:ascii="Times New Roman" w:hAnsi="Times New Roman" w:cs="Times New Roman"/>
                      <w:color w:val="auto"/>
                      <w:sz w:val="21"/>
                      <w:szCs w:val="21"/>
                      <w:lang w:bidi="ar"/>
                    </w:rPr>
                    <w:t>本项目采用无毒钻井液体系，钻井液循环利用率大于95%</w:t>
                  </w:r>
                </w:p>
              </w:tc>
              <w:tc>
                <w:tcPr>
                  <w:tcW w:w="425" w:type="pct"/>
                  <w:tcMar>
                    <w:left w:w="0" w:type="dxa"/>
                    <w:right w:w="0" w:type="dxa"/>
                  </w:tcMar>
                  <w:vAlign w:val="center"/>
                </w:tcPr>
                <w:p>
                  <w:pPr>
                    <w:pStyle w:val="105"/>
                    <w:adjustRightInd w:val="0"/>
                    <w:snapToGrid w:val="0"/>
                    <w:spacing w:line="280" w:lineRule="exact"/>
                    <w:rPr>
                      <w:rFonts w:ascii="Times New Roman" w:hAnsi="Times New Roman"/>
                      <w:color w:val="auto"/>
                      <w:szCs w:val="21"/>
                      <w:lang w:bidi="ar"/>
                    </w:rPr>
                  </w:pPr>
                  <w:r>
                    <w:rPr>
                      <w:rFonts w:ascii="Times New Roman" w:hAnsi="Times New Roman"/>
                      <w:color w:val="auto"/>
                      <w:szCs w:val="21"/>
                      <w:lang w:bidi="ar"/>
                    </w:rPr>
                    <w:t>基本</w:t>
                  </w:r>
                </w:p>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2</w:t>
                  </w:r>
                </w:p>
              </w:tc>
              <w:tc>
                <w:tcPr>
                  <w:tcW w:w="2272"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在勘探开发过程中，应防止产生落地原油。其中井下作业过程中应配备泄油器、刮油器等。落地原油应及时回收，落地原油回收率应达到100%</w:t>
                  </w:r>
                </w:p>
              </w:tc>
              <w:tc>
                <w:tcPr>
                  <w:tcW w:w="1953"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井下作业时带罐，井口敷设防渗膜，防止产生落地油。产生的落地油，及时回收，做到100%回收</w:t>
                  </w:r>
                </w:p>
              </w:tc>
              <w:tc>
                <w:tcPr>
                  <w:tcW w:w="425"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3</w:t>
                  </w:r>
                </w:p>
              </w:tc>
              <w:tc>
                <w:tcPr>
                  <w:tcW w:w="2272" w:type="pct"/>
                  <w:tcMar>
                    <w:left w:w="0" w:type="dxa"/>
                    <w:right w:w="0" w:type="dxa"/>
                  </w:tcMar>
                  <w:vAlign w:val="center"/>
                </w:tcPr>
                <w:p>
                  <w:pPr>
                    <w:pStyle w:val="105"/>
                    <w:adjustRightInd w:val="0"/>
                    <w:snapToGrid w:val="0"/>
                    <w:spacing w:line="280" w:lineRule="exact"/>
                    <w:rPr>
                      <w:rFonts w:ascii="Times New Roman" w:hAnsi="Times New Roman"/>
                      <w:color w:val="auto"/>
                      <w:szCs w:val="21"/>
                      <w:lang w:bidi="ar"/>
                    </w:rPr>
                  </w:pPr>
                  <w:r>
                    <w:rPr>
                      <w:rFonts w:ascii="Times New Roman" w:hAnsi="Times New Roman"/>
                      <w:color w:val="auto"/>
                      <w:szCs w:val="21"/>
                      <w:lang w:bidi="ar"/>
                    </w:rPr>
                    <w:t>在开发过程中，适宜注水开采的油气田，应将采出水处理满足标准后回注</w:t>
                  </w:r>
                </w:p>
              </w:tc>
              <w:tc>
                <w:tcPr>
                  <w:tcW w:w="1953" w:type="pct"/>
                  <w:tcMar>
                    <w:left w:w="0" w:type="dxa"/>
                    <w:right w:w="0" w:type="dxa"/>
                  </w:tcMar>
                  <w:vAlign w:val="center"/>
                </w:tcPr>
                <w:p>
                  <w:pPr>
                    <w:pStyle w:val="105"/>
                    <w:adjustRightInd w:val="0"/>
                    <w:snapToGrid w:val="0"/>
                    <w:spacing w:line="280" w:lineRule="exact"/>
                    <w:rPr>
                      <w:rFonts w:ascii="Times New Roman" w:hAnsi="Times New Roman"/>
                      <w:color w:val="auto"/>
                      <w:szCs w:val="21"/>
                      <w:lang w:bidi="ar"/>
                    </w:rPr>
                  </w:pPr>
                  <w:r>
                    <w:rPr>
                      <w:rFonts w:ascii="Times New Roman" w:hAnsi="Times New Roman"/>
                      <w:color w:val="auto"/>
                      <w:szCs w:val="21"/>
                      <w:lang w:bidi="ar"/>
                    </w:rPr>
                    <w:t>采出液送至春光联合站处理，站内分离出的采出水经站内采出水处理系统处理达到《碎屑岩油藏注水水质指标及分析方法》（SY/T5329-2012）中相关标准后，全部回注油藏，不外排</w:t>
                  </w:r>
                </w:p>
              </w:tc>
              <w:tc>
                <w:tcPr>
                  <w:tcW w:w="425" w:type="pct"/>
                  <w:tcMar>
                    <w:left w:w="0" w:type="dxa"/>
                    <w:right w:w="0" w:type="dxa"/>
                  </w:tcMar>
                  <w:vAlign w:val="center"/>
                </w:tcPr>
                <w:p>
                  <w:pPr>
                    <w:pStyle w:val="105"/>
                    <w:adjustRightInd w:val="0"/>
                    <w:snapToGrid w:val="0"/>
                    <w:spacing w:line="28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4</w:t>
                  </w:r>
                </w:p>
              </w:tc>
              <w:tc>
                <w:tcPr>
                  <w:tcW w:w="2272" w:type="pct"/>
                  <w:tcMar>
                    <w:left w:w="0" w:type="dxa"/>
                    <w:right w:w="0" w:type="dxa"/>
                  </w:tcMar>
                  <w:vAlign w:val="center"/>
                </w:tcPr>
                <w:p>
                  <w:pPr>
                    <w:pStyle w:val="105"/>
                    <w:adjustRightInd w:val="0"/>
                    <w:snapToGrid w:val="0"/>
                    <w:spacing w:line="280" w:lineRule="exact"/>
                    <w:rPr>
                      <w:rFonts w:ascii="Times New Roman" w:hAnsi="Times New Roman"/>
                      <w:color w:val="auto"/>
                      <w:spacing w:val="-4"/>
                      <w:szCs w:val="21"/>
                    </w:rPr>
                  </w:pPr>
                  <w:r>
                    <w:rPr>
                      <w:rFonts w:ascii="Times New Roman" w:hAnsi="Times New Roman"/>
                      <w:color w:val="auto"/>
                      <w:spacing w:val="-4"/>
                      <w:szCs w:val="21"/>
                      <w:lang w:bidi="ar"/>
                    </w:rPr>
                    <w:t>在开发过程中，伴生气应回收利用，减少温室气体排放，不具备回收利用条件的，应充分燃烧，伴生气回收利用率应达到80%以上；站场放空天然气应充分燃烧。燃烧放空设施应避开鸟类迁徙通道</w:t>
                  </w:r>
                </w:p>
              </w:tc>
              <w:tc>
                <w:tcPr>
                  <w:tcW w:w="1953" w:type="pct"/>
                  <w:tcMar>
                    <w:left w:w="0" w:type="dxa"/>
                    <w:right w:w="0" w:type="dxa"/>
                  </w:tcMar>
                  <w:vAlign w:val="center"/>
                </w:tcPr>
                <w:p>
                  <w:pPr>
                    <w:widowControl w:val="0"/>
                    <w:autoSpaceDE w:val="0"/>
                    <w:autoSpaceDN w:val="0"/>
                    <w:adjustRightInd w:val="0"/>
                    <w:jc w:val="center"/>
                    <w:rPr>
                      <w:rFonts w:ascii="Times New Roman" w:hAnsi="Times New Roman"/>
                      <w:color w:val="auto"/>
                      <w:kern w:val="0"/>
                      <w:szCs w:val="21"/>
                    </w:rPr>
                  </w:pPr>
                  <w:r>
                    <w:rPr>
                      <w:rFonts w:hint="eastAsia" w:ascii="Times New Roman" w:hAnsi="Times New Roman"/>
                      <w:color w:val="auto"/>
                      <w:kern w:val="0"/>
                      <w:szCs w:val="21"/>
                      <w:lang w:bidi="ar"/>
                    </w:rPr>
                    <w:t>春光油田主要是为稠油和超稠油区块，油层所含伴生气较少，根据多年开采经验，春光区块仅有少量几口井在开采过程中产生了少量的伴生气并放空充分燃烧处理。</w:t>
                  </w:r>
                  <w:r>
                    <w:rPr>
                      <w:rFonts w:ascii="Times New Roman" w:hAnsi="Times New Roman"/>
                      <w:color w:val="auto"/>
                      <w:kern w:val="0"/>
                      <w:szCs w:val="21"/>
                      <w:lang w:bidi="ar"/>
                    </w:rPr>
                    <w:t>本项目开发过程中不产生伴生气，本项目如若在钻探的过程中产生伴生气则需按照相关规范标准进行</w:t>
                  </w:r>
                  <w:r>
                    <w:rPr>
                      <w:rFonts w:hint="eastAsia" w:ascii="Times New Roman" w:hAnsi="Times New Roman"/>
                      <w:color w:val="auto"/>
                      <w:kern w:val="0"/>
                      <w:szCs w:val="21"/>
                      <w:lang w:bidi="ar"/>
                    </w:rPr>
                    <w:t>充分燃烧</w:t>
                  </w:r>
                  <w:r>
                    <w:rPr>
                      <w:rFonts w:ascii="Times New Roman" w:hAnsi="Times New Roman"/>
                      <w:color w:val="auto"/>
                      <w:kern w:val="0"/>
                      <w:szCs w:val="21"/>
                      <w:lang w:bidi="ar"/>
                    </w:rPr>
                    <w:t>处理。</w:t>
                  </w:r>
                </w:p>
              </w:tc>
              <w:tc>
                <w:tcPr>
                  <w:tcW w:w="425"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5</w:t>
                  </w:r>
                </w:p>
              </w:tc>
              <w:tc>
                <w:tcPr>
                  <w:tcW w:w="2272"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在钻井和井下作业过程中，鼓励污油、污水进入生产流程循环利用，未进入生产流程的污油、污水应采用固液分离、废水处理一体化装置等处理后达标外排</w:t>
                  </w:r>
                </w:p>
              </w:tc>
              <w:tc>
                <w:tcPr>
                  <w:tcW w:w="1953" w:type="pct"/>
                  <w:tcMar>
                    <w:left w:w="0" w:type="dxa"/>
                    <w:right w:w="0" w:type="dxa"/>
                  </w:tcMar>
                  <w:vAlign w:val="center"/>
                </w:tcPr>
                <w:p>
                  <w:pPr>
                    <w:pStyle w:val="220"/>
                    <w:jc w:val="center"/>
                    <w:rPr>
                      <w:rFonts w:ascii="Times New Roman" w:hAnsi="Times New Roman" w:cs="Times New Roman"/>
                      <w:color w:val="auto"/>
                      <w:sz w:val="18"/>
                      <w:szCs w:val="18"/>
                    </w:rPr>
                  </w:pPr>
                  <w:r>
                    <w:rPr>
                      <w:rFonts w:ascii="Times New Roman" w:hAnsi="Times New Roman" w:cs="Times New Roman"/>
                      <w:color w:val="auto"/>
                      <w:sz w:val="21"/>
                      <w:szCs w:val="21"/>
                      <w:lang w:bidi="ar"/>
                    </w:rPr>
                    <w:t>钻井过程中产生的废水全部与泥浆、岩屑进入泥浆不落地系统，一并交由第三方进行处置。</w:t>
                  </w:r>
                </w:p>
              </w:tc>
              <w:tc>
                <w:tcPr>
                  <w:tcW w:w="425" w:type="pct"/>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tcBorders>
                    <w:top w:val="single" w:color="auto" w:sz="6" w:space="0"/>
                    <w:left w:val="nil"/>
                    <w:bottom w:val="single" w:color="auto" w:sz="6" w:space="0"/>
                    <w:right w:val="single" w:color="auto" w:sz="6" w:space="0"/>
                  </w:tcBorders>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rPr>
                    <w:t>6</w:t>
                  </w:r>
                </w:p>
              </w:tc>
              <w:tc>
                <w:tcPr>
                  <w:tcW w:w="2272" w:type="pct"/>
                  <w:tcBorders>
                    <w:top w:val="single" w:color="auto" w:sz="6" w:space="0"/>
                    <w:left w:val="single" w:color="auto" w:sz="6" w:space="0"/>
                    <w:bottom w:val="single" w:color="auto" w:sz="6" w:space="0"/>
                    <w:right w:val="single" w:color="auto" w:sz="6" w:space="0"/>
                  </w:tcBorders>
                  <w:tcMar>
                    <w:left w:w="0" w:type="dxa"/>
                    <w:right w:w="0" w:type="dxa"/>
                  </w:tcMar>
                </w:tcPr>
                <w:p>
                  <w:pPr>
                    <w:pStyle w:val="105"/>
                    <w:adjustRightInd w:val="0"/>
                    <w:snapToGrid w:val="0"/>
                    <w:spacing w:line="280" w:lineRule="exact"/>
                    <w:rPr>
                      <w:rFonts w:ascii="Times New Roman" w:hAnsi="Times New Roman"/>
                      <w:color w:val="auto"/>
                      <w:szCs w:val="21"/>
                      <w:lang w:bidi="ar"/>
                    </w:rPr>
                  </w:pPr>
                  <w:r>
                    <w:rPr>
                      <w:rFonts w:ascii="Times New Roman" w:hAnsi="Times New Roman"/>
                      <w:color w:val="auto"/>
                      <w:szCs w:val="21"/>
                      <w:lang w:bidi="ar"/>
                    </w:rPr>
                    <w:t>固体废物收集、贮存、处理处置设施应按照标准要求采取防渗措施。试油（气）后应立即封闭废弃钻井液贮池。</w:t>
                  </w:r>
                </w:p>
              </w:tc>
              <w:tc>
                <w:tcPr>
                  <w:tcW w:w="1953" w:type="pct"/>
                  <w:tcBorders>
                    <w:top w:val="single" w:color="auto" w:sz="6" w:space="0"/>
                    <w:left w:val="single" w:color="auto" w:sz="6" w:space="0"/>
                    <w:bottom w:val="single" w:color="auto" w:sz="6" w:space="0"/>
                    <w:right w:val="single" w:color="auto" w:sz="6" w:space="0"/>
                  </w:tcBorders>
                  <w:tcMar>
                    <w:left w:w="0" w:type="dxa"/>
                    <w:right w:w="0" w:type="dxa"/>
                  </w:tcMar>
                </w:tcPr>
                <w:p>
                  <w:pPr>
                    <w:pStyle w:val="220"/>
                    <w:jc w:val="center"/>
                    <w:rPr>
                      <w:rFonts w:ascii="Times New Roman" w:hAnsi="Times New Roman" w:cs="Times New Roman"/>
                      <w:color w:val="auto"/>
                      <w:sz w:val="21"/>
                      <w:szCs w:val="21"/>
                      <w:lang w:bidi="ar"/>
                    </w:rPr>
                  </w:pPr>
                  <w:r>
                    <w:rPr>
                      <w:rFonts w:ascii="Times New Roman" w:hAnsi="Times New Roman" w:cs="Times New Roman"/>
                      <w:color w:val="auto"/>
                      <w:sz w:val="21"/>
                      <w:szCs w:val="21"/>
                      <w:lang w:bidi="ar"/>
                    </w:rPr>
                    <w:t>本项目严格按照《环境影响评价技术导则地下水环境》（HJ 610-2016）规范落实防渗措施。</w:t>
                  </w:r>
                </w:p>
              </w:tc>
              <w:tc>
                <w:tcPr>
                  <w:tcW w:w="425" w:type="pct"/>
                  <w:tcBorders>
                    <w:top w:val="single" w:color="auto" w:sz="6" w:space="0"/>
                    <w:left w:val="single" w:color="auto" w:sz="6" w:space="0"/>
                    <w:bottom w:val="single" w:color="auto" w:sz="6" w:space="0"/>
                    <w:right w:val="nil"/>
                  </w:tcBorders>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lang w:bidi="ar"/>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tcBorders>
                    <w:top w:val="single" w:color="auto" w:sz="6" w:space="0"/>
                    <w:left w:val="nil"/>
                    <w:bottom w:val="single" w:color="auto" w:sz="6" w:space="0"/>
                    <w:right w:val="single" w:color="auto" w:sz="6" w:space="0"/>
                  </w:tcBorders>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rPr>
                    <w:t>7</w:t>
                  </w:r>
                </w:p>
              </w:tc>
              <w:tc>
                <w:tcPr>
                  <w:tcW w:w="2272" w:type="pct"/>
                  <w:tcBorders>
                    <w:top w:val="single" w:color="auto" w:sz="6" w:space="0"/>
                    <w:left w:val="single" w:color="auto" w:sz="6" w:space="0"/>
                    <w:bottom w:val="single" w:color="auto" w:sz="6" w:space="0"/>
                    <w:right w:val="single" w:color="auto" w:sz="6" w:space="0"/>
                  </w:tcBorders>
                  <w:tcMar>
                    <w:left w:w="0" w:type="dxa"/>
                    <w:right w:w="0" w:type="dxa"/>
                  </w:tcMar>
                  <w:vAlign w:val="center"/>
                </w:tcPr>
                <w:p>
                  <w:pPr>
                    <w:pStyle w:val="105"/>
                    <w:adjustRightInd w:val="0"/>
                    <w:snapToGrid w:val="0"/>
                    <w:spacing w:line="280" w:lineRule="exact"/>
                    <w:rPr>
                      <w:rFonts w:ascii="Times New Roman" w:hAnsi="Times New Roman"/>
                      <w:color w:val="auto"/>
                      <w:szCs w:val="21"/>
                      <w:lang w:bidi="ar"/>
                    </w:rPr>
                  </w:pPr>
                  <w:r>
                    <w:rPr>
                      <w:rFonts w:ascii="Times New Roman" w:hAnsi="Times New Roman"/>
                      <w:color w:val="auto"/>
                      <w:szCs w:val="21"/>
                      <w:lang w:bidi="ar"/>
                    </w:rPr>
                    <w:t>应回收落地原油，以及原油处理、废水处理产生的油泥（砂）等中的油类物质，含油污泥资源化利用率应达到90%以上，残余固体废物应按照《国家危险废物名录》和危险废物鉴别标准识别</w:t>
                  </w:r>
                </w:p>
              </w:tc>
              <w:tc>
                <w:tcPr>
                  <w:tcW w:w="1953" w:type="pct"/>
                  <w:tcBorders>
                    <w:top w:val="single" w:color="auto" w:sz="6" w:space="0"/>
                    <w:left w:val="single" w:color="auto" w:sz="6" w:space="0"/>
                    <w:bottom w:val="single" w:color="auto" w:sz="6" w:space="0"/>
                    <w:right w:val="single" w:color="auto" w:sz="6" w:space="0"/>
                  </w:tcBorders>
                  <w:tcMar>
                    <w:left w:w="0" w:type="dxa"/>
                    <w:right w:w="0" w:type="dxa"/>
                  </w:tcMar>
                  <w:vAlign w:val="center"/>
                </w:tcPr>
                <w:p>
                  <w:pPr>
                    <w:widowControl w:val="0"/>
                    <w:autoSpaceDE w:val="0"/>
                    <w:autoSpaceDN w:val="0"/>
                    <w:adjustRightInd w:val="0"/>
                    <w:jc w:val="center"/>
                    <w:rPr>
                      <w:rFonts w:ascii="Times New Roman" w:hAnsi="Times New Roman"/>
                      <w:color w:val="auto"/>
                      <w:szCs w:val="21"/>
                      <w:lang w:bidi="ar"/>
                    </w:rPr>
                  </w:pPr>
                  <w:r>
                    <w:rPr>
                      <w:rFonts w:ascii="Times New Roman" w:hAnsi="Times New Roman"/>
                      <w:color w:val="auto"/>
                      <w:kern w:val="0"/>
                      <w:szCs w:val="21"/>
                      <w:lang w:bidi="ar"/>
                    </w:rPr>
                    <w:t>事故状态下落地原油100%回收，受浸染的土壤交由有相应处理资质的单位进行回收、处置</w:t>
                  </w:r>
                  <w:r>
                    <w:rPr>
                      <w:rFonts w:hint="eastAsia" w:ascii="Times New Roman" w:hAnsi="Times New Roman"/>
                      <w:color w:val="auto"/>
                      <w:kern w:val="0"/>
                      <w:szCs w:val="21"/>
                      <w:lang w:bidi="ar"/>
                    </w:rPr>
                    <w:t>。</w:t>
                  </w:r>
                </w:p>
              </w:tc>
              <w:tc>
                <w:tcPr>
                  <w:tcW w:w="425" w:type="pct"/>
                  <w:tcBorders>
                    <w:top w:val="single" w:color="auto" w:sz="6" w:space="0"/>
                    <w:left w:val="single" w:color="auto" w:sz="6" w:space="0"/>
                    <w:bottom w:val="single" w:color="auto" w:sz="6" w:space="0"/>
                    <w:right w:val="nil"/>
                  </w:tcBorders>
                  <w:tcMar>
                    <w:left w:w="0" w:type="dxa"/>
                    <w:right w:w="0" w:type="dxa"/>
                  </w:tcMar>
                  <w:vAlign w:val="center"/>
                </w:tcPr>
                <w:p>
                  <w:pPr>
                    <w:pStyle w:val="105"/>
                    <w:adjustRightInd w:val="0"/>
                    <w:snapToGrid w:val="0"/>
                    <w:spacing w:line="28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tcBorders>
                    <w:top w:val="single" w:color="auto" w:sz="6" w:space="0"/>
                    <w:left w:val="nil"/>
                    <w:bottom w:val="single" w:color="auto" w:sz="6" w:space="0"/>
                    <w:right w:val="single" w:color="auto" w:sz="6" w:space="0"/>
                  </w:tcBorders>
                  <w:tcMar>
                    <w:left w:w="0" w:type="dxa"/>
                    <w:right w:w="0" w:type="dxa"/>
                  </w:tcMar>
                  <w:vAlign w:val="center"/>
                </w:tcPr>
                <w:p>
                  <w:pPr>
                    <w:pStyle w:val="105"/>
                    <w:adjustRightInd w:val="0"/>
                    <w:snapToGrid w:val="0"/>
                    <w:spacing w:line="280" w:lineRule="exact"/>
                    <w:rPr>
                      <w:rFonts w:ascii="Times New Roman" w:hAnsi="Times New Roman"/>
                      <w:color w:val="auto"/>
                      <w:szCs w:val="21"/>
                    </w:rPr>
                  </w:pPr>
                  <w:r>
                    <w:rPr>
                      <w:rFonts w:ascii="Times New Roman" w:hAnsi="Times New Roman"/>
                      <w:color w:val="auto"/>
                      <w:szCs w:val="21"/>
                    </w:rPr>
                    <w:t>8</w:t>
                  </w:r>
                </w:p>
              </w:tc>
              <w:tc>
                <w:tcPr>
                  <w:tcW w:w="2272" w:type="pct"/>
                  <w:tcBorders>
                    <w:top w:val="single" w:color="auto" w:sz="6" w:space="0"/>
                    <w:left w:val="single" w:color="auto" w:sz="6" w:space="0"/>
                    <w:bottom w:val="single" w:color="auto" w:sz="6" w:space="0"/>
                    <w:right w:val="single" w:color="auto" w:sz="6" w:space="0"/>
                  </w:tcBorders>
                  <w:tcMar>
                    <w:left w:w="0" w:type="dxa"/>
                    <w:right w:w="0" w:type="dxa"/>
                  </w:tcMar>
                </w:tcPr>
                <w:p>
                  <w:pPr>
                    <w:pStyle w:val="105"/>
                    <w:adjustRightInd w:val="0"/>
                    <w:snapToGrid w:val="0"/>
                    <w:spacing w:line="280" w:lineRule="exact"/>
                    <w:rPr>
                      <w:rFonts w:ascii="Times New Roman" w:hAnsi="Times New Roman"/>
                      <w:color w:val="auto"/>
                      <w:szCs w:val="21"/>
                      <w:lang w:bidi="ar"/>
                    </w:rPr>
                  </w:pPr>
                  <w:r>
                    <w:rPr>
                      <w:rFonts w:ascii="Times New Roman" w:hAnsi="Times New Roman"/>
                      <w:color w:val="auto"/>
                      <w:szCs w:val="21"/>
                      <w:lang w:bidi="ar"/>
                    </w:rPr>
                    <w:t>油气田企业应制定环境保护管理规定，建立并运行健康、安全与环境管理体系。</w:t>
                  </w:r>
                </w:p>
              </w:tc>
              <w:tc>
                <w:tcPr>
                  <w:tcW w:w="1953" w:type="pct"/>
                  <w:tcBorders>
                    <w:top w:val="single" w:color="auto" w:sz="6" w:space="0"/>
                    <w:left w:val="single" w:color="auto" w:sz="6" w:space="0"/>
                    <w:bottom w:val="single" w:color="auto" w:sz="6" w:space="0"/>
                    <w:right w:val="single" w:color="auto" w:sz="6" w:space="0"/>
                  </w:tcBorders>
                  <w:tcMar>
                    <w:left w:w="0" w:type="dxa"/>
                    <w:right w:w="0" w:type="dxa"/>
                  </w:tcMar>
                </w:tcPr>
                <w:p>
                  <w:pPr>
                    <w:pStyle w:val="220"/>
                    <w:jc w:val="center"/>
                    <w:rPr>
                      <w:rFonts w:ascii="Times New Roman" w:hAnsi="Times New Roman" w:cs="Times New Roman"/>
                      <w:color w:val="auto"/>
                      <w:sz w:val="21"/>
                      <w:szCs w:val="21"/>
                      <w:lang w:bidi="ar"/>
                    </w:rPr>
                  </w:pPr>
                  <w:r>
                    <w:rPr>
                      <w:rFonts w:ascii="Times New Roman" w:hAnsi="Times New Roman" w:cs="Times New Roman"/>
                      <w:color w:val="auto"/>
                      <w:sz w:val="21"/>
                      <w:szCs w:val="21"/>
                      <w:lang w:bidi="ar"/>
                    </w:rPr>
                    <w:t>本项目制定有完善的环境保护管理规定，并建立运行健康、安全与环境管理体系。</w:t>
                  </w:r>
                </w:p>
              </w:tc>
              <w:tc>
                <w:tcPr>
                  <w:tcW w:w="425" w:type="pct"/>
                  <w:tcBorders>
                    <w:top w:val="single" w:color="auto" w:sz="6" w:space="0"/>
                    <w:left w:val="single" w:color="auto" w:sz="6" w:space="0"/>
                    <w:bottom w:val="single" w:color="auto" w:sz="6" w:space="0"/>
                    <w:right w:val="nil"/>
                  </w:tcBorders>
                  <w:tcMar>
                    <w:left w:w="0" w:type="dxa"/>
                    <w:right w:w="0" w:type="dxa"/>
                  </w:tcMar>
                  <w:vAlign w:val="center"/>
                </w:tcPr>
                <w:p>
                  <w:pPr>
                    <w:pStyle w:val="105"/>
                    <w:adjustRightInd w:val="0"/>
                    <w:snapToGrid w:val="0"/>
                    <w:spacing w:line="28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tcBorders>
                    <w:top w:val="single" w:color="auto" w:sz="6" w:space="0"/>
                    <w:left w:val="nil"/>
                    <w:bottom w:val="single" w:color="auto" w:sz="6" w:space="0"/>
                    <w:right w:val="single" w:color="auto" w:sz="6" w:space="0"/>
                  </w:tcBorders>
                  <w:tcMar>
                    <w:left w:w="0" w:type="dxa"/>
                    <w:right w:w="0" w:type="dxa"/>
                  </w:tcMar>
                  <w:vAlign w:val="center"/>
                </w:tcPr>
                <w:p>
                  <w:pPr>
                    <w:pStyle w:val="105"/>
                    <w:adjustRightInd w:val="0"/>
                    <w:snapToGrid w:val="0"/>
                    <w:spacing w:line="240" w:lineRule="auto"/>
                    <w:rPr>
                      <w:rFonts w:ascii="Times New Roman" w:hAnsi="Times New Roman"/>
                      <w:color w:val="auto"/>
                      <w:szCs w:val="21"/>
                    </w:rPr>
                  </w:pPr>
                  <w:r>
                    <w:rPr>
                      <w:rFonts w:ascii="Times New Roman" w:hAnsi="Times New Roman"/>
                      <w:color w:val="auto"/>
                      <w:szCs w:val="21"/>
                    </w:rPr>
                    <w:t>9</w:t>
                  </w:r>
                </w:p>
              </w:tc>
              <w:tc>
                <w:tcPr>
                  <w:tcW w:w="2272" w:type="pct"/>
                  <w:tcBorders>
                    <w:top w:val="single" w:color="auto" w:sz="6" w:space="0"/>
                    <w:left w:val="single" w:color="auto" w:sz="6" w:space="0"/>
                    <w:bottom w:val="single" w:color="auto" w:sz="6" w:space="0"/>
                    <w:right w:val="single" w:color="auto" w:sz="6" w:space="0"/>
                  </w:tcBorders>
                  <w:tcMar>
                    <w:left w:w="0" w:type="dxa"/>
                    <w:right w:w="0" w:type="dxa"/>
                  </w:tcMar>
                </w:tcPr>
                <w:p>
                  <w:pPr>
                    <w:pStyle w:val="105"/>
                    <w:adjustRightInd w:val="0"/>
                    <w:snapToGrid w:val="0"/>
                    <w:spacing w:line="240" w:lineRule="auto"/>
                    <w:rPr>
                      <w:rFonts w:ascii="Times New Roman" w:hAnsi="Times New Roman"/>
                      <w:color w:val="auto"/>
                      <w:szCs w:val="21"/>
                      <w:lang w:bidi="ar"/>
                    </w:rPr>
                  </w:pPr>
                  <w:r>
                    <w:rPr>
                      <w:rFonts w:ascii="Times New Roman" w:hAnsi="Times New Roman"/>
                      <w:color w:val="auto"/>
                      <w:szCs w:val="21"/>
                      <w:lang w:bidi="ar"/>
                    </w:rPr>
                    <w:t>油气田企业应建立环境保护人员培训制度，环境监测人员、统计人员、污染治理设施操作人员应经培训合格后上岗。</w:t>
                  </w:r>
                </w:p>
              </w:tc>
              <w:tc>
                <w:tcPr>
                  <w:tcW w:w="1953" w:type="pct"/>
                  <w:tcBorders>
                    <w:top w:val="single" w:color="auto" w:sz="6" w:space="0"/>
                    <w:left w:val="single" w:color="auto" w:sz="6" w:space="0"/>
                    <w:bottom w:val="single" w:color="auto" w:sz="6" w:space="0"/>
                    <w:right w:val="single" w:color="auto" w:sz="6" w:space="0"/>
                  </w:tcBorders>
                  <w:tcMar>
                    <w:left w:w="0" w:type="dxa"/>
                    <w:right w:w="0" w:type="dxa"/>
                  </w:tcMar>
                </w:tcPr>
                <w:p>
                  <w:pPr>
                    <w:pStyle w:val="220"/>
                    <w:jc w:val="center"/>
                    <w:rPr>
                      <w:rFonts w:ascii="Times New Roman" w:hAnsi="Times New Roman" w:cs="Times New Roman"/>
                      <w:color w:val="auto"/>
                      <w:sz w:val="21"/>
                      <w:szCs w:val="21"/>
                      <w:lang w:bidi="ar"/>
                    </w:rPr>
                  </w:pPr>
                  <w:r>
                    <w:rPr>
                      <w:rFonts w:ascii="Times New Roman" w:hAnsi="Times New Roman" w:cs="Times New Roman"/>
                      <w:color w:val="auto"/>
                      <w:sz w:val="21"/>
                      <w:szCs w:val="21"/>
                      <w:lang w:bidi="ar"/>
                    </w:rPr>
                    <w:t>本项目建设单位设置有专门的环境管理部门，并制定有完善的环境管理制度和培训制度。</w:t>
                  </w:r>
                </w:p>
              </w:tc>
              <w:tc>
                <w:tcPr>
                  <w:tcW w:w="425" w:type="pct"/>
                  <w:tcBorders>
                    <w:top w:val="single" w:color="auto" w:sz="6" w:space="0"/>
                    <w:left w:val="single" w:color="auto" w:sz="6" w:space="0"/>
                    <w:bottom w:val="single" w:color="auto" w:sz="6" w:space="0"/>
                    <w:right w:val="nil"/>
                  </w:tcBorders>
                  <w:tcMar>
                    <w:left w:w="0" w:type="dxa"/>
                    <w:right w:w="0" w:type="dxa"/>
                  </w:tcMar>
                  <w:vAlign w:val="center"/>
                </w:tcPr>
                <w:p>
                  <w:pPr>
                    <w:pStyle w:val="105"/>
                    <w:adjustRightInd w:val="0"/>
                    <w:snapToGrid w:val="0"/>
                    <w:spacing w:line="240" w:lineRule="auto"/>
                    <w:rPr>
                      <w:color w:val="auto"/>
                    </w:rPr>
                  </w:pPr>
                  <w:r>
                    <w:rPr>
                      <w:rFonts w:ascii="Times New Roman" w:hAnsi="Times New Roman"/>
                      <w:color w:val="auto"/>
                      <w:szCs w:val="21"/>
                      <w:lang w:bidi="ar"/>
                    </w:rPr>
                    <w:t>符合</w:t>
                  </w:r>
                </w:p>
              </w:tc>
            </w:tr>
            <w:tr>
              <w:tblPrEx>
                <w:tblBorders>
                  <w:top w:val="single" w:color="auto" w:sz="12" w:space="0"/>
                  <w:left w:val="none" w:color="auto" w:sz="6" w:space="0"/>
                  <w:bottom w:val="single" w:color="auto" w:sz="12" w:space="0"/>
                  <w:right w:val="non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tcBorders>
                    <w:top w:val="single" w:color="auto" w:sz="6" w:space="0"/>
                    <w:left w:val="nil"/>
                    <w:bottom w:val="single" w:color="auto" w:sz="6" w:space="0"/>
                    <w:right w:val="single" w:color="auto" w:sz="6" w:space="0"/>
                  </w:tcBorders>
                  <w:tcMar>
                    <w:left w:w="0" w:type="dxa"/>
                    <w:right w:w="0" w:type="dxa"/>
                  </w:tcMar>
                  <w:vAlign w:val="center"/>
                </w:tcPr>
                <w:p>
                  <w:pPr>
                    <w:pStyle w:val="105"/>
                    <w:adjustRightInd w:val="0"/>
                    <w:snapToGrid w:val="0"/>
                    <w:spacing w:line="240" w:lineRule="auto"/>
                    <w:rPr>
                      <w:rFonts w:ascii="Times New Roman" w:hAnsi="Times New Roman"/>
                      <w:color w:val="auto"/>
                      <w:szCs w:val="21"/>
                    </w:rPr>
                  </w:pPr>
                  <w:r>
                    <w:rPr>
                      <w:rFonts w:ascii="Times New Roman" w:hAnsi="Times New Roman"/>
                      <w:color w:val="auto"/>
                      <w:szCs w:val="21"/>
                    </w:rPr>
                    <w:t>10</w:t>
                  </w:r>
                </w:p>
              </w:tc>
              <w:tc>
                <w:tcPr>
                  <w:tcW w:w="2272" w:type="pct"/>
                  <w:tcBorders>
                    <w:top w:val="single" w:color="auto" w:sz="6" w:space="0"/>
                    <w:left w:val="single" w:color="auto" w:sz="6" w:space="0"/>
                    <w:bottom w:val="single" w:color="auto" w:sz="6" w:space="0"/>
                    <w:right w:val="single" w:color="auto" w:sz="6" w:space="0"/>
                  </w:tcBorders>
                  <w:tcMar>
                    <w:left w:w="0" w:type="dxa"/>
                    <w:right w:w="0" w:type="dxa"/>
                  </w:tcMar>
                </w:tcPr>
                <w:p>
                  <w:pPr>
                    <w:pStyle w:val="105"/>
                    <w:adjustRightInd w:val="0"/>
                    <w:snapToGrid w:val="0"/>
                    <w:spacing w:line="240" w:lineRule="auto"/>
                    <w:rPr>
                      <w:rFonts w:ascii="Times New Roman" w:hAnsi="Times New Roman"/>
                      <w:color w:val="auto"/>
                      <w:szCs w:val="21"/>
                      <w:lang w:bidi="ar"/>
                    </w:rPr>
                  </w:pPr>
                  <w:r>
                    <w:rPr>
                      <w:rFonts w:ascii="Times New Roman" w:hAnsi="Times New Roman"/>
                      <w:color w:val="auto"/>
                      <w:szCs w:val="21"/>
                      <w:lang w:bidi="ar"/>
                    </w:rPr>
                    <w:t>油气田企业应对勘探开发过程进行环境风险因素识别，制定突发环境事件应急预案并定期进行演练。应开展特征污染物监测工作，采取环境风险防范和应急措施，防止发生由突发性油气泄漏产生的环境事故。</w:t>
                  </w:r>
                </w:p>
              </w:tc>
              <w:tc>
                <w:tcPr>
                  <w:tcW w:w="1953" w:type="pct"/>
                  <w:tcBorders>
                    <w:top w:val="single" w:color="auto" w:sz="6" w:space="0"/>
                    <w:left w:val="single" w:color="auto" w:sz="6" w:space="0"/>
                    <w:bottom w:val="single" w:color="auto" w:sz="6" w:space="0"/>
                    <w:right w:val="single" w:color="auto" w:sz="6" w:space="0"/>
                  </w:tcBorders>
                  <w:tcMar>
                    <w:left w:w="0" w:type="dxa"/>
                    <w:right w:w="0" w:type="dxa"/>
                  </w:tcMar>
                  <w:vAlign w:val="center"/>
                </w:tcPr>
                <w:p>
                  <w:pPr>
                    <w:pStyle w:val="220"/>
                    <w:jc w:val="center"/>
                    <w:rPr>
                      <w:rFonts w:ascii="Times New Roman" w:hAnsi="Times New Roman" w:cs="Times New Roman"/>
                      <w:color w:val="auto"/>
                      <w:sz w:val="21"/>
                      <w:szCs w:val="21"/>
                      <w:lang w:bidi="ar"/>
                    </w:rPr>
                  </w:pPr>
                  <w:r>
                    <w:rPr>
                      <w:rFonts w:ascii="Times New Roman" w:hAnsi="Times New Roman" w:cs="Times New Roman"/>
                      <w:color w:val="auto"/>
                      <w:sz w:val="21"/>
                      <w:szCs w:val="21"/>
                      <w:lang w:bidi="ar"/>
                    </w:rPr>
                    <w:t>本项目建设单位对钻采工程设置有突发环境事件应急预案，并定期举行演练。</w:t>
                  </w:r>
                </w:p>
              </w:tc>
              <w:tc>
                <w:tcPr>
                  <w:tcW w:w="425" w:type="pct"/>
                  <w:tcBorders>
                    <w:top w:val="single" w:color="auto" w:sz="6" w:space="0"/>
                    <w:left w:val="single" w:color="auto" w:sz="6" w:space="0"/>
                    <w:bottom w:val="single" w:color="auto" w:sz="6" w:space="0"/>
                    <w:right w:val="nil"/>
                  </w:tcBorders>
                  <w:tcMar>
                    <w:left w:w="0" w:type="dxa"/>
                    <w:right w:w="0" w:type="dxa"/>
                  </w:tcMar>
                  <w:vAlign w:val="center"/>
                </w:tcPr>
                <w:p>
                  <w:pPr>
                    <w:pStyle w:val="105"/>
                    <w:adjustRightInd w:val="0"/>
                    <w:snapToGrid w:val="0"/>
                    <w:spacing w:line="240" w:lineRule="auto"/>
                    <w:rPr>
                      <w:color w:val="auto"/>
                    </w:rPr>
                  </w:pPr>
                  <w:r>
                    <w:rPr>
                      <w:rFonts w:ascii="Times New Roman" w:hAnsi="Times New Roman"/>
                      <w:color w:val="auto"/>
                      <w:szCs w:val="21"/>
                      <w:lang w:bidi="ar"/>
                    </w:rPr>
                    <w:t>符合</w:t>
                  </w:r>
                </w:p>
              </w:tc>
            </w:tr>
          </w:tbl>
          <w:p>
            <w:pPr>
              <w:pStyle w:val="105"/>
              <w:spacing w:line="360" w:lineRule="auto"/>
              <w:jc w:val="both"/>
              <w:rPr>
                <w:rFonts w:ascii="Times New Roman" w:hAnsi="Times New Roman"/>
                <w:color w:val="auto"/>
                <w:kern w:val="2"/>
                <w:sz w:val="24"/>
                <w:szCs w:val="24"/>
              </w:rPr>
            </w:pPr>
          </w:p>
        </w:tc>
      </w:tr>
    </w:tbl>
    <w:tbl>
      <w:tblPr>
        <w:tblStyle w:val="38"/>
        <w:tblW w:w="493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8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50" w:type="pct"/>
          </w:tcPr>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r>
              <w:rPr>
                <w:rFonts w:hint="eastAsia" w:cs="宋体"/>
                <w:snapToGrid w:val="0"/>
                <w:color w:val="auto"/>
              </w:rPr>
              <w:t>其他相符性分析</w:t>
            </w: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both"/>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r>
              <w:rPr>
                <w:rFonts w:hint="eastAsia" w:cs="宋体"/>
                <w:snapToGrid w:val="0"/>
                <w:color w:val="auto"/>
              </w:rPr>
              <w:t>其他符合性分析</w:t>
            </w: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r>
              <w:rPr>
                <w:rFonts w:hint="eastAsia" w:cs="宋体"/>
                <w:snapToGrid w:val="0"/>
                <w:color w:val="auto"/>
              </w:rPr>
              <w:t>其他符合性分析</w:t>
            </w: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center"/>
              <w:rPr>
                <w:rFonts w:cs="宋体"/>
                <w:snapToGrid w:val="0"/>
                <w:color w:val="auto"/>
              </w:rPr>
            </w:pPr>
          </w:p>
          <w:p>
            <w:pPr>
              <w:pStyle w:val="33"/>
              <w:spacing w:before="0" w:beforeAutospacing="0" w:after="0" w:afterAutospacing="0"/>
              <w:jc w:val="both"/>
              <w:rPr>
                <w:rFonts w:cs="宋体"/>
                <w:snapToGrid w:val="0"/>
                <w:color w:val="auto"/>
              </w:rPr>
            </w:pPr>
          </w:p>
        </w:tc>
        <w:tc>
          <w:tcPr>
            <w:tcW w:w="4649" w:type="pct"/>
          </w:tcPr>
          <w:p>
            <w:pPr>
              <w:spacing w:before="120" w:beforeLines="50" w:line="360" w:lineRule="auto"/>
              <w:ind w:firstLine="482" w:firstLineChars="200"/>
              <w:rPr>
                <w:rFonts w:ascii="Times New Roman" w:hAnsi="Times New Roman"/>
                <w:b/>
                <w:bCs/>
                <w:color w:val="auto"/>
                <w:spacing w:val="-20"/>
                <w:sz w:val="24"/>
              </w:rPr>
            </w:pPr>
            <w:r>
              <w:rPr>
                <w:rFonts w:ascii="Times New Roman" w:hAnsi="Times New Roman"/>
                <w:b/>
                <w:bCs/>
                <w:color w:val="auto"/>
                <w:sz w:val="24"/>
              </w:rPr>
              <w:t>2.与《新疆维吾尔自治区煤炭石油天然气开发环境保护条例》相符性</w:t>
            </w:r>
            <w:r>
              <w:rPr>
                <w:rFonts w:ascii="Times New Roman" w:hAnsi="Times New Roman"/>
                <w:b/>
                <w:bCs/>
                <w:color w:val="auto"/>
                <w:spacing w:val="-20"/>
                <w:sz w:val="24"/>
              </w:rPr>
              <w:t>分析</w:t>
            </w:r>
          </w:p>
          <w:p>
            <w:pPr>
              <w:spacing w:line="360" w:lineRule="auto"/>
              <w:ind w:firstLine="480" w:firstLineChars="200"/>
              <w:rPr>
                <w:rFonts w:ascii="Times New Roman" w:hAnsi="Times New Roman"/>
                <w:color w:val="auto"/>
                <w:sz w:val="24"/>
                <w:lang w:bidi="ar"/>
              </w:rPr>
            </w:pPr>
            <w:r>
              <w:rPr>
                <w:rFonts w:ascii="Times New Roman" w:hAnsi="Times New Roman"/>
                <w:color w:val="auto"/>
                <w:sz w:val="24"/>
                <w:lang w:bidi="ar"/>
              </w:rPr>
              <w:t>本项目运营期采取的各项环保措施与《新疆维吾尔自治区煤炭石油天然气开发环境保护条例》中要求的相符性分析详见表1-3。</w:t>
            </w:r>
          </w:p>
          <w:p>
            <w:pPr>
              <w:adjustRightInd w:val="0"/>
              <w:snapToGrid w:val="0"/>
              <w:jc w:val="center"/>
              <w:rPr>
                <w:rFonts w:ascii="Times New Roman" w:hAnsi="Times New Roman"/>
                <w:b/>
                <w:color w:val="auto"/>
                <w:kern w:val="0"/>
                <w:szCs w:val="21"/>
              </w:rPr>
            </w:pPr>
            <w:r>
              <w:rPr>
                <w:rFonts w:ascii="Times New Roman" w:hAnsi="Times New Roman"/>
                <w:b/>
                <w:color w:val="auto"/>
                <w:kern w:val="0"/>
                <w:szCs w:val="21"/>
              </w:rPr>
              <w:t>表1-3  与《新疆维吾尔自治区煤炭石油天然气开发环境保护条例》相符性分析</w:t>
            </w:r>
          </w:p>
          <w:tbl>
            <w:tblPr>
              <w:tblStyle w:val="3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3540"/>
              <w:gridCol w:w="3176"/>
              <w:gridCol w:w="7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tcMar>
                    <w:left w:w="0" w:type="dxa"/>
                    <w:right w:w="0" w:type="dxa"/>
                  </w:tcMar>
                  <w:vAlign w:val="center"/>
                </w:tcPr>
                <w:p>
                  <w:pPr>
                    <w:pStyle w:val="105"/>
                    <w:adjustRightInd w:val="0"/>
                    <w:snapToGrid w:val="0"/>
                    <w:spacing w:line="290" w:lineRule="exact"/>
                    <w:rPr>
                      <w:rFonts w:ascii="Times New Roman" w:hAnsi="Times New Roman"/>
                      <w:color w:val="auto"/>
                      <w:szCs w:val="21"/>
                    </w:rPr>
                  </w:pPr>
                  <w:r>
                    <w:rPr>
                      <w:rFonts w:ascii="Times New Roman" w:hAnsi="Times New Roman"/>
                      <w:color w:val="auto"/>
                      <w:szCs w:val="21"/>
                      <w:lang w:bidi="ar"/>
                    </w:rPr>
                    <w:t>序号</w:t>
                  </w:r>
                </w:p>
              </w:tc>
              <w:tc>
                <w:tcPr>
                  <w:tcW w:w="2215" w:type="pct"/>
                  <w:tcMar>
                    <w:left w:w="0" w:type="dxa"/>
                    <w:right w:w="0" w:type="dxa"/>
                  </w:tcMar>
                  <w:vAlign w:val="center"/>
                </w:tcPr>
                <w:p>
                  <w:pPr>
                    <w:pStyle w:val="105"/>
                    <w:adjustRightInd w:val="0"/>
                    <w:snapToGrid w:val="0"/>
                    <w:spacing w:line="290" w:lineRule="exact"/>
                    <w:rPr>
                      <w:rFonts w:ascii="Times New Roman" w:hAnsi="Times New Roman"/>
                      <w:color w:val="auto"/>
                      <w:szCs w:val="21"/>
                    </w:rPr>
                  </w:pPr>
                  <w:r>
                    <w:rPr>
                      <w:rFonts w:ascii="Times New Roman" w:hAnsi="Times New Roman"/>
                      <w:color w:val="auto"/>
                      <w:szCs w:val="21"/>
                      <w:lang w:bidi="ar"/>
                    </w:rPr>
                    <w:t>《</w:t>
                  </w:r>
                  <w:r>
                    <w:rPr>
                      <w:rFonts w:ascii="Times New Roman" w:hAnsi="Times New Roman"/>
                      <w:bCs/>
                      <w:color w:val="auto"/>
                      <w:szCs w:val="21"/>
                      <w:lang w:bidi="ar"/>
                    </w:rPr>
                    <w:t>条例</w:t>
                  </w:r>
                  <w:r>
                    <w:rPr>
                      <w:rFonts w:ascii="Times New Roman" w:hAnsi="Times New Roman"/>
                      <w:color w:val="auto"/>
                      <w:szCs w:val="21"/>
                      <w:lang w:bidi="ar"/>
                    </w:rPr>
                    <w:t>》中相关规定</w:t>
                  </w:r>
                </w:p>
              </w:tc>
              <w:tc>
                <w:tcPr>
                  <w:tcW w:w="1987" w:type="pct"/>
                  <w:tcMar>
                    <w:left w:w="0" w:type="dxa"/>
                    <w:right w:w="0" w:type="dxa"/>
                  </w:tcMar>
                  <w:vAlign w:val="center"/>
                </w:tcPr>
                <w:p>
                  <w:pPr>
                    <w:pStyle w:val="105"/>
                    <w:adjustRightInd w:val="0"/>
                    <w:snapToGrid w:val="0"/>
                    <w:spacing w:line="290" w:lineRule="exact"/>
                    <w:rPr>
                      <w:rFonts w:ascii="Times New Roman" w:hAnsi="Times New Roman"/>
                      <w:color w:val="auto"/>
                      <w:szCs w:val="21"/>
                    </w:rPr>
                  </w:pPr>
                  <w:r>
                    <w:rPr>
                      <w:rFonts w:ascii="Times New Roman" w:hAnsi="Times New Roman"/>
                      <w:color w:val="auto"/>
                      <w:szCs w:val="21"/>
                      <w:lang w:bidi="ar"/>
                    </w:rPr>
                    <w:t>本项目采取的相关措施</w:t>
                  </w:r>
                </w:p>
              </w:tc>
              <w:tc>
                <w:tcPr>
                  <w:tcW w:w="44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相符性</w:t>
                  </w:r>
                </w:p>
                <w:p>
                  <w:pPr>
                    <w:pStyle w:val="105"/>
                    <w:adjustRightInd w:val="0"/>
                    <w:snapToGrid w:val="0"/>
                    <w:spacing w:line="290" w:lineRule="exact"/>
                    <w:rPr>
                      <w:rFonts w:ascii="Times New Roman" w:hAnsi="Times New Roman"/>
                      <w:color w:val="auto"/>
                      <w:szCs w:val="21"/>
                    </w:rPr>
                  </w:pPr>
                  <w:r>
                    <w:rPr>
                      <w:rFonts w:ascii="Times New Roman" w:hAnsi="Times New Roman"/>
                      <w:color w:val="auto"/>
                      <w:szCs w:val="21"/>
                      <w:lang w:bidi="ar"/>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tcMar>
                    <w:left w:w="0" w:type="dxa"/>
                    <w:right w:w="0" w:type="dxa"/>
                  </w:tcMar>
                  <w:vAlign w:val="center"/>
                </w:tcPr>
                <w:p>
                  <w:pPr>
                    <w:pStyle w:val="105"/>
                    <w:adjustRightInd w:val="0"/>
                    <w:snapToGrid w:val="0"/>
                    <w:spacing w:line="290" w:lineRule="exact"/>
                    <w:rPr>
                      <w:rFonts w:ascii="Times New Roman" w:hAnsi="Times New Roman"/>
                      <w:color w:val="auto"/>
                      <w:szCs w:val="21"/>
                    </w:rPr>
                  </w:pPr>
                  <w:r>
                    <w:rPr>
                      <w:rFonts w:ascii="Times New Roman" w:hAnsi="Times New Roman"/>
                      <w:color w:val="auto"/>
                      <w:szCs w:val="21"/>
                      <w:lang w:bidi="ar"/>
                    </w:rPr>
                    <w:t>1</w:t>
                  </w:r>
                </w:p>
              </w:tc>
              <w:tc>
                <w:tcPr>
                  <w:tcW w:w="2215" w:type="pct"/>
                  <w:tcMar>
                    <w:left w:w="0" w:type="dxa"/>
                    <w:right w:w="0" w:type="dxa"/>
                  </w:tcMar>
                  <w:vAlign w:val="center"/>
                </w:tcPr>
                <w:p>
                  <w:pPr>
                    <w:pStyle w:val="105"/>
                    <w:adjustRightInd w:val="0"/>
                    <w:snapToGrid w:val="0"/>
                    <w:spacing w:line="290" w:lineRule="exact"/>
                    <w:rPr>
                      <w:rFonts w:ascii="Times New Roman" w:hAnsi="Times New Roman"/>
                      <w:color w:val="auto"/>
                      <w:szCs w:val="21"/>
                    </w:rPr>
                  </w:pPr>
                  <w:r>
                    <w:rPr>
                      <w:rFonts w:ascii="Times New Roman" w:hAnsi="Times New Roman"/>
                      <w:color w:val="auto"/>
                      <w:szCs w:val="21"/>
                    </w:rPr>
                    <w:t>禁止在水源涵养区、地下水源、饮用水源、自然保护区、风景名胜区、森林公园、重要湿地及人群密集区等生态敏感区域内进行煤炭、石油、天然气开发</w:t>
                  </w:r>
                </w:p>
              </w:tc>
              <w:tc>
                <w:tcPr>
                  <w:tcW w:w="1987" w:type="pct"/>
                  <w:tcMar>
                    <w:left w:w="0" w:type="dxa"/>
                    <w:right w:w="0" w:type="dxa"/>
                  </w:tcMar>
                  <w:vAlign w:val="center"/>
                </w:tcPr>
                <w:p>
                  <w:pPr>
                    <w:pStyle w:val="105"/>
                    <w:adjustRightInd w:val="0"/>
                    <w:snapToGrid w:val="0"/>
                    <w:spacing w:line="290" w:lineRule="exact"/>
                    <w:rPr>
                      <w:rFonts w:ascii="Times New Roman" w:hAnsi="Times New Roman"/>
                      <w:color w:val="auto"/>
                      <w:szCs w:val="21"/>
                    </w:rPr>
                  </w:pPr>
                  <w:r>
                    <w:rPr>
                      <w:rFonts w:ascii="Times New Roman" w:hAnsi="Times New Roman"/>
                      <w:color w:val="auto"/>
                      <w:szCs w:val="21"/>
                      <w:lang w:bidi="ar"/>
                    </w:rPr>
                    <w:t>本项目位于新疆</w:t>
                  </w:r>
                  <w:r>
                    <w:rPr>
                      <w:rFonts w:hint="eastAsia" w:ascii="Times New Roman" w:hAnsi="Times New Roman"/>
                      <w:color w:val="auto"/>
                      <w:szCs w:val="21"/>
                      <w:lang w:bidi="ar"/>
                    </w:rPr>
                    <w:t>生产建设</w:t>
                  </w:r>
                  <w:r>
                    <w:rPr>
                      <w:rFonts w:ascii="Times New Roman" w:hAnsi="Times New Roman"/>
                      <w:color w:val="auto"/>
                      <w:szCs w:val="21"/>
                      <w:lang w:bidi="ar"/>
                    </w:rPr>
                    <w:t>兵团第七师</w:t>
                  </w:r>
                  <w:r>
                    <w:rPr>
                      <w:rFonts w:hint="eastAsia" w:ascii="Times New Roman" w:hAnsi="Times New Roman"/>
                      <w:color w:val="auto"/>
                      <w:szCs w:val="21"/>
                      <w:lang w:bidi="ar"/>
                    </w:rPr>
                    <w:t>1</w:t>
                  </w:r>
                  <w:r>
                    <w:rPr>
                      <w:rFonts w:ascii="Times New Roman" w:hAnsi="Times New Roman"/>
                      <w:color w:val="auto"/>
                      <w:szCs w:val="21"/>
                      <w:lang w:bidi="ar"/>
                    </w:rPr>
                    <w:t>23</w:t>
                  </w:r>
                  <w:r>
                    <w:rPr>
                      <w:rFonts w:hint="eastAsia" w:ascii="Times New Roman" w:hAnsi="Times New Roman"/>
                      <w:color w:val="auto"/>
                      <w:szCs w:val="21"/>
                      <w:lang w:bidi="ar"/>
                    </w:rPr>
                    <w:t>团</w:t>
                  </w:r>
                  <w:r>
                    <w:rPr>
                      <w:rFonts w:ascii="Times New Roman" w:hAnsi="Times New Roman"/>
                      <w:color w:val="auto"/>
                      <w:szCs w:val="21"/>
                      <w:lang w:bidi="ar"/>
                    </w:rPr>
                    <w:t>境内，项目占地主要为耕地，评价范围内没有水源涵养区、地下水源、饮用水源、自然保护区、森林公园、重要湿地等生态敏感区域</w:t>
                  </w:r>
                </w:p>
              </w:tc>
              <w:tc>
                <w:tcPr>
                  <w:tcW w:w="443" w:type="pct"/>
                  <w:tcMar>
                    <w:left w:w="0" w:type="dxa"/>
                    <w:right w:w="0" w:type="dxa"/>
                  </w:tcMar>
                  <w:vAlign w:val="center"/>
                </w:tcPr>
                <w:p>
                  <w:pPr>
                    <w:pStyle w:val="105"/>
                    <w:adjustRightInd w:val="0"/>
                    <w:snapToGrid w:val="0"/>
                    <w:spacing w:line="290" w:lineRule="exact"/>
                    <w:rPr>
                      <w:rFonts w:ascii="Times New Roman" w:hAnsi="Times New Roman"/>
                      <w:color w:val="auto"/>
                      <w:szCs w:val="21"/>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2</w:t>
                  </w:r>
                </w:p>
              </w:tc>
              <w:tc>
                <w:tcPr>
                  <w:tcW w:w="2215"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开发单位应当对污染物排放及对周围环境的影响进行环境监测，接受环境保护主管部门的指导，并向社会公布监测情况</w:t>
                  </w:r>
                </w:p>
              </w:tc>
              <w:tc>
                <w:tcPr>
                  <w:tcW w:w="1987"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针对本项目运营期排放的废气、噪声、土壤提出了运营期监测计划，建设单位应接受新疆生产建设兵团第七师胡杨河市生态环境局监督与管理，并按照《企业事业单位环境信息公开办法》（原环保部第31号）等规定，公开运营期监测情况</w:t>
                  </w:r>
                </w:p>
              </w:tc>
              <w:tc>
                <w:tcPr>
                  <w:tcW w:w="44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 w:type="pct"/>
                  <w:tcMar>
                    <w:left w:w="0" w:type="dxa"/>
                    <w:right w:w="0" w:type="dxa"/>
                  </w:tcMar>
                  <w:vAlign w:val="center"/>
                </w:tcPr>
                <w:p>
                  <w:pPr>
                    <w:pStyle w:val="105"/>
                    <w:adjustRightInd w:val="0"/>
                    <w:snapToGrid w:val="0"/>
                    <w:spacing w:line="290" w:lineRule="exact"/>
                    <w:rPr>
                      <w:rFonts w:ascii="Times New Roman" w:hAnsi="Times New Roman"/>
                      <w:color w:val="auto"/>
                      <w:szCs w:val="21"/>
                    </w:rPr>
                  </w:pPr>
                  <w:r>
                    <w:rPr>
                      <w:rFonts w:ascii="Times New Roman" w:hAnsi="Times New Roman"/>
                      <w:color w:val="auto"/>
                      <w:szCs w:val="21"/>
                    </w:rPr>
                    <w:t>3</w:t>
                  </w:r>
                </w:p>
              </w:tc>
              <w:tc>
                <w:tcPr>
                  <w:tcW w:w="2215" w:type="pct"/>
                  <w:tcMar>
                    <w:left w:w="0" w:type="dxa"/>
                    <w:right w:w="0" w:type="dxa"/>
                  </w:tcMar>
                  <w:vAlign w:val="center"/>
                </w:tcPr>
                <w:p>
                  <w:pPr>
                    <w:pStyle w:val="105"/>
                    <w:adjustRightInd w:val="0"/>
                    <w:snapToGrid w:val="0"/>
                    <w:spacing w:line="290" w:lineRule="exact"/>
                    <w:rPr>
                      <w:rFonts w:ascii="Times New Roman" w:hAnsi="Times New Roman"/>
                      <w:color w:val="auto"/>
                      <w:szCs w:val="21"/>
                    </w:rPr>
                  </w:pPr>
                  <w:r>
                    <w:rPr>
                      <w:rFonts w:ascii="Times New Roman" w:hAnsi="Times New Roman"/>
                      <w:bCs/>
                      <w:iCs/>
                      <w:color w:val="auto"/>
                      <w:szCs w:val="21"/>
                    </w:rPr>
                    <w:t>石油开发单位应当建设清洁井场，做到场地平整、清洁卫生，在井场内实施无污染作业，并根据需要在井场四周设置符合规定的挡水墙、雨水出口和防洪渠道。散落油和油水混合液等含油污染物应当回收处理，不得掩埋</w:t>
                  </w:r>
                </w:p>
              </w:tc>
              <w:tc>
                <w:tcPr>
                  <w:tcW w:w="1987"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本报告提出，施工结束后应对施工场地进行清理平整。事故状态下产生的含油污泥集中收集后交由有相应处理资质的单位进行回收、处置</w:t>
                  </w:r>
                </w:p>
              </w:tc>
              <w:tc>
                <w:tcPr>
                  <w:tcW w:w="44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 w:type="pct"/>
                  <w:tcMar>
                    <w:left w:w="0" w:type="dxa"/>
                    <w:right w:w="0" w:type="dxa"/>
                  </w:tcMar>
                  <w:vAlign w:val="center"/>
                </w:tcPr>
                <w:p>
                  <w:pPr>
                    <w:pStyle w:val="105"/>
                    <w:adjustRightInd w:val="0"/>
                    <w:snapToGrid w:val="0"/>
                    <w:spacing w:line="290" w:lineRule="exact"/>
                    <w:rPr>
                      <w:rFonts w:ascii="Times New Roman" w:hAnsi="Times New Roman"/>
                      <w:color w:val="auto"/>
                      <w:szCs w:val="21"/>
                    </w:rPr>
                  </w:pPr>
                  <w:r>
                    <w:rPr>
                      <w:rFonts w:ascii="Times New Roman" w:hAnsi="Times New Roman"/>
                      <w:color w:val="auto"/>
                      <w:szCs w:val="21"/>
                      <w:lang w:bidi="ar"/>
                    </w:rPr>
                    <w:t>4</w:t>
                  </w:r>
                </w:p>
              </w:tc>
              <w:tc>
                <w:tcPr>
                  <w:tcW w:w="2215" w:type="pct"/>
                  <w:tcMar>
                    <w:left w:w="0" w:type="dxa"/>
                    <w:right w:w="0" w:type="dxa"/>
                  </w:tcMar>
                  <w:vAlign w:val="center"/>
                </w:tcPr>
                <w:p>
                  <w:pPr>
                    <w:pStyle w:val="105"/>
                    <w:adjustRightInd w:val="0"/>
                    <w:snapToGrid w:val="0"/>
                    <w:spacing w:line="290" w:lineRule="exact"/>
                    <w:rPr>
                      <w:rFonts w:ascii="Times New Roman" w:hAnsi="Times New Roman"/>
                      <w:bCs/>
                      <w:iCs/>
                      <w:color w:val="auto"/>
                      <w:szCs w:val="21"/>
                    </w:rPr>
                  </w:pPr>
                  <w:r>
                    <w:rPr>
                      <w:rFonts w:ascii="Times New Roman" w:hAnsi="Times New Roman"/>
                      <w:bCs/>
                      <w:iCs/>
                      <w:color w:val="auto"/>
                      <w:szCs w:val="21"/>
                    </w:rPr>
                    <w:t>石油、天然气开发单位应当定期对油气输送管线和油气储存设施进行巡查、检测、防护，防止油气管线或者油气储存设施断裂、穿孔，发生渗透、溢流、泄</w:t>
                  </w:r>
                  <w:r>
                    <w:rPr>
                      <w:rFonts w:hint="eastAsia" w:ascii="Times New Roman" w:hAnsi="Times New Roman"/>
                      <w:bCs/>
                      <w:iCs/>
                      <w:color w:val="auto"/>
                      <w:szCs w:val="21"/>
                    </w:rPr>
                    <w:t>漏</w:t>
                  </w:r>
                  <w:r>
                    <w:rPr>
                      <w:rFonts w:ascii="Times New Roman" w:hAnsi="Times New Roman"/>
                      <w:bCs/>
                      <w:iCs/>
                      <w:color w:val="auto"/>
                      <w:szCs w:val="21"/>
                    </w:rPr>
                    <w:t>，造成环境污染</w:t>
                  </w:r>
                </w:p>
              </w:tc>
              <w:tc>
                <w:tcPr>
                  <w:tcW w:w="1987"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本报告提出选用质量可靠的设备、仪表、阀门等；运营期定期对井场和管线的设备、阀门等进行检查、检修，以防止“跑、冒、漏”现象的发生</w:t>
                  </w:r>
                </w:p>
              </w:tc>
              <w:tc>
                <w:tcPr>
                  <w:tcW w:w="44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5</w:t>
                  </w:r>
                </w:p>
              </w:tc>
              <w:tc>
                <w:tcPr>
                  <w:tcW w:w="2215" w:type="pct"/>
                  <w:tcMar>
                    <w:left w:w="0" w:type="dxa"/>
                    <w:right w:w="0" w:type="dxa"/>
                  </w:tcMar>
                  <w:vAlign w:val="center"/>
                </w:tcPr>
                <w:p>
                  <w:pPr>
                    <w:pStyle w:val="105"/>
                    <w:adjustRightInd w:val="0"/>
                    <w:snapToGrid w:val="0"/>
                    <w:spacing w:line="290" w:lineRule="exact"/>
                    <w:rPr>
                      <w:rFonts w:ascii="Times New Roman" w:hAnsi="Times New Roman"/>
                      <w:bCs/>
                      <w:iCs/>
                      <w:color w:val="auto"/>
                      <w:szCs w:val="21"/>
                    </w:rPr>
                  </w:pPr>
                  <w:r>
                    <w:rPr>
                      <w:rFonts w:ascii="Times New Roman" w:hAnsi="Times New Roman"/>
                      <w:bCs/>
                      <w:iCs/>
                      <w:color w:val="auto"/>
                      <w:szCs w:val="21"/>
                    </w:rPr>
                    <w:t>石油、天然气开发单位应当采取保护性措施，防止油井套管破损、气井泄漏，污染地下水体；运输石油、天然气以及酸液、碱液、钻井液和其他有毒有害物品，应当采取防范措施，防止渗漏、泄</w:t>
                  </w:r>
                  <w:r>
                    <w:rPr>
                      <w:rFonts w:hint="eastAsia" w:ascii="Times New Roman" w:hAnsi="Times New Roman"/>
                      <w:bCs/>
                      <w:iCs/>
                      <w:color w:val="auto"/>
                      <w:szCs w:val="21"/>
                    </w:rPr>
                    <w:t>漏</w:t>
                  </w:r>
                  <w:r>
                    <w:rPr>
                      <w:rFonts w:ascii="Times New Roman" w:hAnsi="Times New Roman"/>
                      <w:bCs/>
                      <w:iCs/>
                      <w:color w:val="auto"/>
                      <w:szCs w:val="21"/>
                    </w:rPr>
                    <w:t>、溢流和散落</w:t>
                  </w:r>
                </w:p>
              </w:tc>
              <w:tc>
                <w:tcPr>
                  <w:tcW w:w="1987"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选用质量可靠的设备、仪表、阀门等；定期对井场和管线的设备、阀门等进行检查、检修，以防止“跑、冒、漏”现象的发生</w:t>
                  </w:r>
                </w:p>
              </w:tc>
              <w:tc>
                <w:tcPr>
                  <w:tcW w:w="44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6</w:t>
                  </w:r>
                </w:p>
              </w:tc>
              <w:tc>
                <w:tcPr>
                  <w:tcW w:w="2215" w:type="pct"/>
                  <w:tcMar>
                    <w:left w:w="0" w:type="dxa"/>
                    <w:right w:w="0" w:type="dxa"/>
                  </w:tcMar>
                  <w:vAlign w:val="center"/>
                </w:tcPr>
                <w:p>
                  <w:pPr>
                    <w:pStyle w:val="105"/>
                    <w:adjustRightInd w:val="0"/>
                    <w:snapToGrid w:val="0"/>
                    <w:spacing w:line="290" w:lineRule="exact"/>
                    <w:rPr>
                      <w:rFonts w:ascii="Times New Roman" w:hAnsi="Times New Roman"/>
                      <w:bCs/>
                      <w:iCs/>
                      <w:color w:val="auto"/>
                      <w:szCs w:val="21"/>
                    </w:rPr>
                  </w:pPr>
                  <w:r>
                    <w:rPr>
                      <w:rFonts w:ascii="Times New Roman" w:hAnsi="Times New Roman"/>
                      <w:bCs/>
                      <w:iCs/>
                      <w:color w:val="auto"/>
                      <w:szCs w:val="21"/>
                    </w:rPr>
                    <w:t>煤炭、石油、天然气开发单位应当加强危险废物的管理。危险废物的收集、贮存、运输、处置，必须符合国家和自治区有关规定；不具备处置、利用条件的，应当送交有资质的单位处置</w:t>
                  </w:r>
                </w:p>
              </w:tc>
              <w:tc>
                <w:tcPr>
                  <w:tcW w:w="1987"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2"/>
                      <w:lang w:bidi="ar"/>
                    </w:rPr>
                    <w:t>项目事故状态下受浸染的土壤均交由相应危险废物处置资质的单位回收处理</w:t>
                  </w:r>
                  <w:r>
                    <w:rPr>
                      <w:rStyle w:val="42"/>
                      <w:rFonts w:hint="eastAsia" w:ascii="Calibri" w:hAnsi="Calibri"/>
                      <w:color w:val="auto"/>
                      <w:szCs w:val="24"/>
                    </w:rPr>
                    <w:t>；</w:t>
                  </w:r>
                  <w:r>
                    <w:rPr>
                      <w:rFonts w:hint="eastAsia" w:ascii="Times New Roman" w:hAnsi="Times New Roman"/>
                      <w:color w:val="auto"/>
                      <w:szCs w:val="22"/>
                      <w:lang w:bidi="ar"/>
                    </w:rPr>
                    <w:t>本项目产生的油泥砂、废机油、废油桶等危险废物的</w:t>
                  </w:r>
                  <w:r>
                    <w:rPr>
                      <w:rFonts w:ascii="Times New Roman" w:hAnsi="Times New Roman"/>
                      <w:bCs/>
                      <w:iCs/>
                      <w:color w:val="auto"/>
                      <w:szCs w:val="21"/>
                    </w:rPr>
                    <w:t>收集、贮存、运输、处置，</w:t>
                  </w:r>
                  <w:r>
                    <w:rPr>
                      <w:rFonts w:hint="eastAsia" w:ascii="Times New Roman" w:hAnsi="Times New Roman"/>
                      <w:bCs/>
                      <w:iCs/>
                      <w:color w:val="auto"/>
                      <w:szCs w:val="21"/>
                    </w:rPr>
                    <w:t>按照</w:t>
                  </w:r>
                  <w:r>
                    <w:rPr>
                      <w:rFonts w:ascii="Times New Roman" w:hAnsi="Times New Roman"/>
                      <w:bCs/>
                      <w:iCs/>
                      <w:color w:val="auto"/>
                      <w:szCs w:val="21"/>
                    </w:rPr>
                    <w:t>国家和自治区有关规定</w:t>
                  </w:r>
                  <w:r>
                    <w:rPr>
                      <w:rFonts w:hint="eastAsia" w:ascii="Times New Roman" w:hAnsi="Times New Roman"/>
                      <w:bCs/>
                      <w:iCs/>
                      <w:color w:val="auto"/>
                      <w:szCs w:val="21"/>
                    </w:rPr>
                    <w:t>进行</w:t>
                  </w:r>
                  <w:r>
                    <w:rPr>
                      <w:rFonts w:ascii="Times New Roman" w:hAnsi="Times New Roman"/>
                      <w:bCs/>
                      <w:iCs/>
                      <w:color w:val="auto"/>
                      <w:szCs w:val="21"/>
                    </w:rPr>
                    <w:t>处置、利用</w:t>
                  </w:r>
                  <w:r>
                    <w:rPr>
                      <w:rFonts w:hint="eastAsia" w:ascii="Times New Roman" w:hAnsi="Times New Roman"/>
                      <w:bCs/>
                      <w:iCs/>
                      <w:color w:val="auto"/>
                      <w:szCs w:val="21"/>
                    </w:rPr>
                    <w:t>，不具备处置利用条件的</w:t>
                  </w:r>
                  <w:r>
                    <w:rPr>
                      <w:rFonts w:ascii="Times New Roman" w:hAnsi="Times New Roman"/>
                      <w:bCs/>
                      <w:iCs/>
                      <w:color w:val="auto"/>
                      <w:szCs w:val="21"/>
                    </w:rPr>
                    <w:t>送交有资质的单位处置</w:t>
                  </w:r>
                </w:p>
              </w:tc>
              <w:tc>
                <w:tcPr>
                  <w:tcW w:w="44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tc>
            </w:tr>
          </w:tbl>
          <w:p>
            <w:pPr>
              <w:adjustRightInd w:val="0"/>
              <w:snapToGrid w:val="0"/>
              <w:jc w:val="center"/>
              <w:rPr>
                <w:rFonts w:ascii="Times New Roman" w:hAnsi="Times New Roman"/>
                <w:b/>
                <w:color w:val="auto"/>
                <w:kern w:val="0"/>
                <w:szCs w:val="21"/>
              </w:rPr>
            </w:pPr>
          </w:p>
          <w:p>
            <w:pPr>
              <w:adjustRightInd w:val="0"/>
              <w:snapToGrid w:val="0"/>
              <w:spacing w:before="120" w:beforeLines="50"/>
              <w:jc w:val="center"/>
              <w:rPr>
                <w:rFonts w:ascii="Times New Roman" w:hAnsi="Times New Roman"/>
                <w:b/>
                <w:color w:val="auto"/>
                <w:kern w:val="0"/>
                <w:szCs w:val="21"/>
              </w:rPr>
            </w:pPr>
            <w:r>
              <w:rPr>
                <w:rFonts w:hint="eastAsia" w:ascii="Times New Roman" w:hAnsi="Times New Roman"/>
                <w:b/>
                <w:color w:val="auto"/>
                <w:kern w:val="0"/>
                <w:szCs w:val="21"/>
              </w:rPr>
              <w:t>续</w:t>
            </w:r>
            <w:r>
              <w:rPr>
                <w:rFonts w:ascii="Times New Roman" w:hAnsi="Times New Roman"/>
                <w:b/>
                <w:color w:val="auto"/>
                <w:kern w:val="0"/>
                <w:szCs w:val="21"/>
              </w:rPr>
              <w:t>表1-3  与《新疆维吾尔自治区煤炭石油天然气开发环境保护条例》相符性分析</w:t>
            </w:r>
          </w:p>
          <w:tbl>
            <w:tblPr>
              <w:tblStyle w:val="3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3540"/>
              <w:gridCol w:w="3176"/>
              <w:gridCol w:w="7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35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7</w:t>
                  </w:r>
                </w:p>
              </w:tc>
              <w:tc>
                <w:tcPr>
                  <w:tcW w:w="2215" w:type="pct"/>
                  <w:tcMar>
                    <w:left w:w="0" w:type="dxa"/>
                    <w:right w:w="0" w:type="dxa"/>
                  </w:tcMar>
                  <w:vAlign w:val="center"/>
                </w:tcPr>
                <w:p>
                  <w:pPr>
                    <w:pStyle w:val="105"/>
                    <w:adjustRightInd w:val="0"/>
                    <w:snapToGrid w:val="0"/>
                    <w:spacing w:line="290" w:lineRule="exact"/>
                    <w:rPr>
                      <w:rFonts w:ascii="Times New Roman" w:hAnsi="Times New Roman"/>
                      <w:color w:val="auto"/>
                      <w:szCs w:val="22"/>
                      <w:lang w:bidi="ar"/>
                    </w:rPr>
                  </w:pPr>
                  <w:r>
                    <w:rPr>
                      <w:rFonts w:ascii="Times New Roman" w:hAnsi="Times New Roman"/>
                      <w:color w:val="auto"/>
                      <w:szCs w:val="22"/>
                      <w:lang w:bidi="ar"/>
                    </w:rPr>
                    <w:t>煤炭、石油、天然气开发过程中产生的伴生气、有毒有害气体或者可燃性气体应当进行回收利用；不具备回收利用条件的，应当经过充分燃烧或者采取其他防治措施，达到国家或者自治区规定的排放标准后排放</w:t>
                  </w:r>
                </w:p>
              </w:tc>
              <w:tc>
                <w:tcPr>
                  <w:tcW w:w="1987" w:type="pct"/>
                  <w:tcMar>
                    <w:left w:w="0" w:type="dxa"/>
                    <w:right w:w="0" w:type="dxa"/>
                  </w:tcMar>
                  <w:vAlign w:val="center"/>
                </w:tcPr>
                <w:p>
                  <w:pPr>
                    <w:pStyle w:val="105"/>
                    <w:adjustRightInd w:val="0"/>
                    <w:snapToGrid w:val="0"/>
                    <w:spacing w:line="290" w:lineRule="exact"/>
                    <w:rPr>
                      <w:rFonts w:ascii="Times New Roman" w:hAnsi="Times New Roman"/>
                      <w:color w:val="auto"/>
                      <w:szCs w:val="22"/>
                      <w:lang w:bidi="ar"/>
                    </w:rPr>
                  </w:pPr>
                  <w:r>
                    <w:rPr>
                      <w:rFonts w:ascii="Times New Roman" w:hAnsi="Times New Roman"/>
                      <w:color w:val="auto"/>
                      <w:szCs w:val="21"/>
                      <w:lang w:bidi="ar"/>
                    </w:rPr>
                    <w:t>本项目开发过程中不产生伴生气</w:t>
                  </w:r>
                  <w:r>
                    <w:rPr>
                      <w:rFonts w:ascii="Times New Roman" w:hAnsi="Times New Roman"/>
                      <w:color w:val="auto"/>
                      <w:szCs w:val="22"/>
                      <w:lang w:bidi="ar"/>
                    </w:rPr>
                    <w:t xml:space="preserve"> </w:t>
                  </w:r>
                </w:p>
              </w:tc>
              <w:tc>
                <w:tcPr>
                  <w:tcW w:w="44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8</w:t>
                  </w:r>
                </w:p>
              </w:tc>
              <w:tc>
                <w:tcPr>
                  <w:tcW w:w="2215" w:type="pct"/>
                  <w:tcMar>
                    <w:left w:w="0" w:type="dxa"/>
                    <w:right w:w="0" w:type="dxa"/>
                  </w:tcMar>
                  <w:vAlign w:val="center"/>
                </w:tcPr>
                <w:p>
                  <w:pPr>
                    <w:pStyle w:val="105"/>
                    <w:adjustRightInd w:val="0"/>
                    <w:snapToGrid w:val="0"/>
                    <w:spacing w:line="290" w:lineRule="exact"/>
                    <w:jc w:val="both"/>
                    <w:rPr>
                      <w:rFonts w:ascii="Times New Roman" w:hAnsi="Times New Roman"/>
                      <w:color w:val="auto"/>
                      <w:szCs w:val="22"/>
                      <w:lang w:bidi="ar"/>
                    </w:rPr>
                  </w:pPr>
                  <w:r>
                    <w:rPr>
                      <w:rFonts w:ascii="Times New Roman" w:hAnsi="Times New Roman"/>
                      <w:color w:val="auto"/>
                      <w:szCs w:val="22"/>
                      <w:lang w:bidi="ar"/>
                    </w:rPr>
                    <w:t>煤炭、石油、天然气开发单位实施下列活动的，应当恢复地表形态和植被：</w:t>
                  </w:r>
                </w:p>
                <w:p>
                  <w:pPr>
                    <w:pStyle w:val="105"/>
                    <w:adjustRightInd w:val="0"/>
                    <w:snapToGrid w:val="0"/>
                    <w:spacing w:line="290" w:lineRule="exact"/>
                    <w:jc w:val="both"/>
                    <w:rPr>
                      <w:rFonts w:ascii="Times New Roman" w:hAnsi="Times New Roman"/>
                      <w:color w:val="auto"/>
                      <w:szCs w:val="22"/>
                      <w:lang w:bidi="ar"/>
                    </w:rPr>
                  </w:pPr>
                  <w:r>
                    <w:rPr>
                      <w:rFonts w:ascii="Times New Roman" w:hAnsi="Times New Roman"/>
                      <w:color w:val="auto"/>
                      <w:szCs w:val="22"/>
                      <w:lang w:bidi="ar"/>
                    </w:rPr>
                    <w:t>（一）建设工程临时占地破坏腐殖质层、剥离土石的；</w:t>
                  </w:r>
                </w:p>
                <w:p>
                  <w:pPr>
                    <w:pStyle w:val="105"/>
                    <w:adjustRightInd w:val="0"/>
                    <w:snapToGrid w:val="0"/>
                    <w:spacing w:line="290" w:lineRule="exact"/>
                    <w:jc w:val="both"/>
                    <w:rPr>
                      <w:rFonts w:ascii="Times New Roman" w:hAnsi="Times New Roman"/>
                      <w:color w:val="auto"/>
                      <w:szCs w:val="22"/>
                      <w:lang w:bidi="ar"/>
                    </w:rPr>
                  </w:pPr>
                  <w:r>
                    <w:rPr>
                      <w:rFonts w:ascii="Times New Roman" w:hAnsi="Times New Roman"/>
                      <w:color w:val="auto"/>
                      <w:szCs w:val="22"/>
                      <w:lang w:bidi="ar"/>
                    </w:rPr>
                    <w:t>（二）震裂、压占等造成土地破坏的；</w:t>
                  </w:r>
                </w:p>
                <w:p>
                  <w:pPr>
                    <w:pStyle w:val="105"/>
                    <w:adjustRightInd w:val="0"/>
                    <w:snapToGrid w:val="0"/>
                    <w:spacing w:line="290" w:lineRule="exact"/>
                    <w:jc w:val="both"/>
                    <w:rPr>
                      <w:rFonts w:ascii="Times New Roman" w:hAnsi="Times New Roman"/>
                      <w:color w:val="auto"/>
                      <w:szCs w:val="22"/>
                      <w:lang w:bidi="ar"/>
                    </w:rPr>
                  </w:pPr>
                  <w:r>
                    <w:rPr>
                      <w:rFonts w:ascii="Times New Roman" w:hAnsi="Times New Roman"/>
                      <w:color w:val="auto"/>
                      <w:szCs w:val="22"/>
                      <w:lang w:bidi="ar"/>
                    </w:rPr>
                    <w:t>（三）占用土地作为临时道路的；</w:t>
                  </w:r>
                </w:p>
                <w:p>
                  <w:pPr>
                    <w:pStyle w:val="105"/>
                    <w:adjustRightInd w:val="0"/>
                    <w:snapToGrid w:val="0"/>
                    <w:spacing w:line="290" w:lineRule="exact"/>
                    <w:rPr>
                      <w:rFonts w:ascii="Times New Roman" w:hAnsi="Times New Roman"/>
                      <w:color w:val="auto"/>
                      <w:szCs w:val="22"/>
                      <w:lang w:bidi="ar"/>
                    </w:rPr>
                  </w:pPr>
                  <w:r>
                    <w:rPr>
                      <w:rFonts w:ascii="Times New Roman" w:hAnsi="Times New Roman"/>
                      <w:color w:val="auto"/>
                      <w:szCs w:val="22"/>
                      <w:lang w:bidi="ar"/>
                    </w:rPr>
                    <w:t>（四）油气井、站、中转站、联合站等地面装置设施关闭或者废弃的</w:t>
                  </w:r>
                </w:p>
              </w:tc>
              <w:tc>
                <w:tcPr>
                  <w:tcW w:w="1987" w:type="pct"/>
                  <w:tcMar>
                    <w:left w:w="0" w:type="dxa"/>
                    <w:right w:w="0" w:type="dxa"/>
                  </w:tcMar>
                  <w:vAlign w:val="center"/>
                </w:tcPr>
                <w:p>
                  <w:pPr>
                    <w:pStyle w:val="105"/>
                    <w:adjustRightInd w:val="0"/>
                    <w:snapToGrid w:val="0"/>
                    <w:spacing w:line="290" w:lineRule="exact"/>
                    <w:rPr>
                      <w:rFonts w:ascii="Times New Roman" w:hAnsi="Times New Roman"/>
                      <w:color w:val="auto"/>
                      <w:szCs w:val="22"/>
                      <w:lang w:bidi="ar"/>
                    </w:rPr>
                  </w:pPr>
                  <w:r>
                    <w:rPr>
                      <w:rFonts w:hint="eastAsia"/>
                      <w:color w:val="auto"/>
                      <w:szCs w:val="21"/>
                      <w:lang w:bidi="ar"/>
                    </w:rPr>
                    <w:t>项目管线施工时土方分层堆放、分层回填，临时占地均进行场地平整清理，临时占用耕地复垦。井场均采取了地面硬化的措施，闭井期井场内的水泥平台或砂砾石铺垫被清理，平整后恢复为耕地</w:t>
                  </w:r>
                </w:p>
              </w:tc>
              <w:tc>
                <w:tcPr>
                  <w:tcW w:w="44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9</w:t>
                  </w:r>
                </w:p>
              </w:tc>
              <w:tc>
                <w:tcPr>
                  <w:tcW w:w="2215" w:type="pct"/>
                  <w:tcMar>
                    <w:left w:w="0" w:type="dxa"/>
                    <w:right w:w="0" w:type="dxa"/>
                  </w:tcMar>
                  <w:vAlign w:val="center"/>
                </w:tcPr>
                <w:p>
                  <w:pPr>
                    <w:pStyle w:val="105"/>
                    <w:adjustRightInd w:val="0"/>
                    <w:snapToGrid w:val="0"/>
                    <w:spacing w:line="290" w:lineRule="exact"/>
                    <w:rPr>
                      <w:rFonts w:ascii="Times New Roman" w:hAnsi="Times New Roman"/>
                      <w:color w:val="auto"/>
                      <w:szCs w:val="22"/>
                      <w:lang w:bidi="ar"/>
                    </w:rPr>
                  </w:pPr>
                  <w:r>
                    <w:rPr>
                      <w:rFonts w:ascii="Helvetica" w:hAnsi="Helvetica"/>
                      <w:color w:val="auto"/>
                      <w:szCs w:val="21"/>
                      <w:shd w:val="clear" w:color="auto" w:fill="FFFFFF"/>
                    </w:rPr>
                    <w:t>煤炭、石油、天然气开发单位应当制定突发环境事件应急预案，报环境保护主管部门和有关部门备案。发生突发环境事件的，应当立即启动应急预案，采取应急措施，防止环境污染事故发生</w:t>
                  </w:r>
                </w:p>
              </w:tc>
              <w:tc>
                <w:tcPr>
                  <w:tcW w:w="1987" w:type="pct"/>
                  <w:tcMar>
                    <w:left w:w="0" w:type="dxa"/>
                    <w:right w:w="0" w:type="dxa"/>
                  </w:tcMar>
                  <w:vAlign w:val="center"/>
                </w:tcPr>
                <w:p>
                  <w:pPr>
                    <w:pStyle w:val="105"/>
                    <w:adjustRightInd w:val="0"/>
                    <w:snapToGrid w:val="0"/>
                    <w:spacing w:line="290" w:lineRule="exact"/>
                    <w:rPr>
                      <w:rFonts w:ascii="Times New Roman" w:hAnsi="Times New Roman"/>
                      <w:color w:val="auto"/>
                      <w:szCs w:val="22"/>
                      <w:lang w:bidi="ar"/>
                    </w:rPr>
                  </w:pPr>
                  <w:r>
                    <w:rPr>
                      <w:rFonts w:hint="eastAsia" w:ascii="Times New Roman" w:hAnsi="Times New Roman"/>
                      <w:color w:val="auto"/>
                      <w:szCs w:val="22"/>
                      <w:lang w:bidi="ar"/>
                    </w:rPr>
                    <w:t>本项目建设单位对钻采工程设置有突发环境事件应急预案，并定期进行演练。在井场周边设置有事故监测点，实时监测危险因子</w:t>
                  </w:r>
                </w:p>
              </w:tc>
              <w:tc>
                <w:tcPr>
                  <w:tcW w:w="443" w:type="pct"/>
                  <w:tcMar>
                    <w:left w:w="0" w:type="dxa"/>
                    <w:right w:w="0" w:type="dxa"/>
                  </w:tcMar>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tc>
            </w:tr>
          </w:tbl>
          <w:p>
            <w:pPr>
              <w:adjustRightInd w:val="0"/>
              <w:snapToGrid w:val="0"/>
              <w:spacing w:before="120" w:beforeLines="50" w:line="360" w:lineRule="auto"/>
              <w:ind w:firstLine="482" w:firstLineChars="200"/>
              <w:rPr>
                <w:color w:val="auto"/>
              </w:rPr>
            </w:pPr>
            <w:r>
              <w:rPr>
                <w:rFonts w:hint="eastAsia" w:ascii="Times New Roman" w:hAnsi="Times New Roman"/>
                <w:b/>
                <w:color w:val="auto"/>
                <w:sz w:val="24"/>
              </w:rPr>
              <w:t>3.</w:t>
            </w:r>
            <w:r>
              <w:rPr>
                <w:rFonts w:ascii="Times New Roman" w:hAnsi="Times New Roman"/>
                <w:b/>
                <w:color w:val="auto"/>
                <w:sz w:val="24"/>
              </w:rPr>
              <w:t>与《关于进一步加强石油天然气行业环境影响评价管理的通知》</w:t>
            </w:r>
            <w:r>
              <w:rPr>
                <w:rFonts w:hint="eastAsia" w:ascii="Times New Roman" w:hAnsi="Times New Roman"/>
                <w:b/>
                <w:color w:val="auto"/>
                <w:sz w:val="24"/>
              </w:rPr>
              <w:t>（环办环评函[2</w:t>
            </w:r>
            <w:r>
              <w:rPr>
                <w:rFonts w:ascii="Times New Roman" w:hAnsi="Times New Roman"/>
                <w:b/>
                <w:color w:val="auto"/>
                <w:sz w:val="24"/>
              </w:rPr>
              <w:t>019]910</w:t>
            </w:r>
            <w:r>
              <w:rPr>
                <w:rFonts w:hint="eastAsia" w:ascii="Times New Roman" w:hAnsi="Times New Roman"/>
                <w:b/>
                <w:color w:val="auto"/>
                <w:sz w:val="24"/>
              </w:rPr>
              <w:t>号）</w:t>
            </w:r>
            <w:r>
              <w:rPr>
                <w:rFonts w:ascii="Times New Roman" w:hAnsi="Times New Roman"/>
                <w:b/>
                <w:color w:val="auto"/>
                <w:sz w:val="24"/>
              </w:rPr>
              <w:t>相符性分析</w:t>
            </w:r>
          </w:p>
          <w:p>
            <w:pPr>
              <w:adjustRightInd w:val="0"/>
              <w:snapToGrid w:val="0"/>
              <w:jc w:val="center"/>
              <w:rPr>
                <w:rFonts w:ascii="Times New Roman" w:hAnsi="Times New Roman"/>
                <w:b/>
                <w:color w:val="auto"/>
                <w:kern w:val="0"/>
                <w:szCs w:val="21"/>
              </w:rPr>
            </w:pPr>
            <w:r>
              <w:rPr>
                <w:rFonts w:ascii="Times New Roman" w:hAnsi="Times New Roman"/>
                <w:b/>
                <w:color w:val="auto"/>
                <w:kern w:val="0"/>
                <w:szCs w:val="21"/>
              </w:rPr>
              <w:t>表1-4  与《关于进一步加强石油天然气行业环境影响评价管理的通知》相符性分析</w:t>
            </w:r>
            <w:r>
              <w:rPr>
                <w:rFonts w:hint="eastAsia" w:ascii="Times New Roman" w:hAnsi="Times New Roman"/>
                <w:b/>
                <w:color w:val="auto"/>
                <w:kern w:val="0"/>
                <w:szCs w:val="21"/>
              </w:rPr>
              <w:t xml:space="preserve"> </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68" w:type="dxa"/>
                <w:bottom w:w="0" w:type="dxa"/>
                <w:right w:w="68" w:type="dxa"/>
              </w:tblCellMar>
            </w:tblPr>
            <w:tblGrid>
              <w:gridCol w:w="526"/>
              <w:gridCol w:w="3085"/>
              <w:gridCol w:w="3699"/>
              <w:gridCol w:w="68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340" w:hRule="atLeast"/>
                <w:jc w:val="center"/>
              </w:trPr>
              <w:tc>
                <w:tcPr>
                  <w:tcW w:w="329"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序号</w:t>
                  </w:r>
                </w:p>
              </w:tc>
              <w:tc>
                <w:tcPr>
                  <w:tcW w:w="1930"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《通知》的相关规定</w:t>
                  </w:r>
                </w:p>
              </w:tc>
              <w:tc>
                <w:tcPr>
                  <w:tcW w:w="2314"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本项目实施过程中采取的措施</w:t>
                  </w:r>
                </w:p>
              </w:tc>
              <w:tc>
                <w:tcPr>
                  <w:tcW w:w="426"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相符性</w:t>
                  </w:r>
                </w:p>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分析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29"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1</w:t>
                  </w:r>
                </w:p>
              </w:tc>
              <w:tc>
                <w:tcPr>
                  <w:tcW w:w="1930" w:type="pct"/>
                  <w:shd w:val="clear" w:color="auto" w:fill="auto"/>
                  <w:vAlign w:val="center"/>
                </w:tcPr>
                <w:p>
                  <w:pPr>
                    <w:widowControl w:val="0"/>
                    <w:autoSpaceDE w:val="0"/>
                    <w:autoSpaceDN w:val="0"/>
                    <w:adjustRightInd w:val="0"/>
                    <w:jc w:val="center"/>
                    <w:rPr>
                      <w:rFonts w:ascii="宋体" w:cs="宋体"/>
                      <w:color w:val="auto"/>
                      <w:kern w:val="0"/>
                      <w:szCs w:val="21"/>
                    </w:rPr>
                  </w:pPr>
                  <w:r>
                    <w:rPr>
                      <w:rFonts w:hint="eastAsia" w:ascii="宋体" w:cs="宋体"/>
                      <w:color w:val="auto"/>
                      <w:kern w:val="0"/>
                      <w:szCs w:val="21"/>
                    </w:rPr>
                    <w:t>项目环评应当深入评价项目建设、运营带来的环境影响和环境风险，提出有效的生态环境保护和环境风险防范措施。</w:t>
                  </w:r>
                </w:p>
              </w:tc>
              <w:tc>
                <w:tcPr>
                  <w:tcW w:w="2314" w:type="pct"/>
                  <w:shd w:val="clear" w:color="auto" w:fill="auto"/>
                  <w:vAlign w:val="center"/>
                </w:tcPr>
                <w:p>
                  <w:pPr>
                    <w:widowControl w:val="0"/>
                    <w:autoSpaceDE w:val="0"/>
                    <w:autoSpaceDN w:val="0"/>
                    <w:adjustRightInd w:val="0"/>
                    <w:jc w:val="center"/>
                    <w:rPr>
                      <w:rFonts w:ascii="宋体" w:cs="宋体"/>
                      <w:color w:val="auto"/>
                      <w:kern w:val="0"/>
                      <w:szCs w:val="21"/>
                    </w:rPr>
                  </w:pPr>
                  <w:r>
                    <w:rPr>
                      <w:rFonts w:hint="eastAsia" w:ascii="宋体" w:cs="宋体"/>
                      <w:color w:val="auto"/>
                      <w:kern w:val="0"/>
                      <w:szCs w:val="21"/>
                    </w:rPr>
                    <w:t>项目环境影响及风险评价详见后文</w:t>
                  </w:r>
                  <w:r>
                    <w:rPr>
                      <w:rFonts w:hint="eastAsia" w:ascii="TimesNewRomanPSMT" w:eastAsia="TimesNewRomanPSMT" w:cs="TimesNewRomanPSMT"/>
                      <w:color w:val="auto"/>
                      <w:kern w:val="0"/>
                      <w:szCs w:val="21"/>
                    </w:rPr>
                    <w:t>“</w:t>
                  </w:r>
                  <w:r>
                    <w:rPr>
                      <w:rFonts w:hint="eastAsia" w:ascii="宋体" w:cs="宋体"/>
                      <w:color w:val="auto"/>
                      <w:kern w:val="0"/>
                      <w:szCs w:val="21"/>
                    </w:rPr>
                    <w:t>环</w:t>
                  </w:r>
                  <w:r>
                    <w:rPr>
                      <w:rFonts w:hint="eastAsia" w:cs="宋体"/>
                      <w:color w:val="auto"/>
                      <w:szCs w:val="21"/>
                    </w:rPr>
                    <w:t>境影响分析</w:t>
                  </w:r>
                  <w:r>
                    <w:rPr>
                      <w:rFonts w:hint="eastAsia" w:ascii="TimesNewRomanPSMT" w:eastAsia="TimesNewRomanPSMT" w:cs="TimesNewRomanPSMT"/>
                      <w:color w:val="auto"/>
                      <w:szCs w:val="21"/>
                    </w:rPr>
                    <w:t>”</w:t>
                  </w:r>
                  <w:r>
                    <w:rPr>
                      <w:rFonts w:hint="eastAsia" w:cs="宋体"/>
                      <w:color w:val="auto"/>
                      <w:szCs w:val="21"/>
                    </w:rPr>
                    <w:t>章节与环境风险评价。</w:t>
                  </w:r>
                </w:p>
              </w:tc>
              <w:tc>
                <w:tcPr>
                  <w:tcW w:w="426"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hint="eastAsia" w:cs="宋体"/>
                      <w:color w:val="auto"/>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29"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2</w:t>
                  </w:r>
                </w:p>
              </w:tc>
              <w:tc>
                <w:tcPr>
                  <w:tcW w:w="1930" w:type="pct"/>
                  <w:shd w:val="clear" w:color="auto" w:fill="auto"/>
                  <w:vAlign w:val="center"/>
                </w:tcPr>
                <w:p>
                  <w:pPr>
                    <w:widowControl w:val="0"/>
                    <w:autoSpaceDE w:val="0"/>
                    <w:autoSpaceDN w:val="0"/>
                    <w:adjustRightInd w:val="0"/>
                    <w:jc w:val="center"/>
                    <w:rPr>
                      <w:rFonts w:ascii="宋体" w:cs="宋体"/>
                      <w:color w:val="auto"/>
                      <w:kern w:val="0"/>
                      <w:szCs w:val="21"/>
                    </w:rPr>
                  </w:pPr>
                  <w:r>
                    <w:rPr>
                      <w:rFonts w:hint="eastAsia" w:ascii="宋体" w:cs="宋体"/>
                      <w:color w:val="auto"/>
                      <w:kern w:val="0"/>
                      <w:szCs w:val="21"/>
                    </w:rPr>
                    <w:t>依托其他防治设施的或者委托第三方处置的，应当论证其可行性和有效性。</w:t>
                  </w:r>
                </w:p>
              </w:tc>
              <w:tc>
                <w:tcPr>
                  <w:tcW w:w="2314" w:type="pct"/>
                  <w:shd w:val="clear" w:color="auto" w:fill="auto"/>
                  <w:vAlign w:val="center"/>
                </w:tcPr>
                <w:p>
                  <w:pPr>
                    <w:widowControl w:val="0"/>
                    <w:autoSpaceDE w:val="0"/>
                    <w:autoSpaceDN w:val="0"/>
                    <w:adjustRightInd w:val="0"/>
                    <w:jc w:val="center"/>
                    <w:rPr>
                      <w:rFonts w:ascii="宋体" w:cs="宋体"/>
                      <w:color w:val="auto"/>
                      <w:kern w:val="0"/>
                      <w:szCs w:val="21"/>
                    </w:rPr>
                  </w:pPr>
                  <w:r>
                    <w:rPr>
                      <w:rFonts w:hint="eastAsia" w:ascii="宋体" w:cs="宋体"/>
                      <w:color w:val="auto"/>
                      <w:kern w:val="0"/>
                      <w:szCs w:val="21"/>
                    </w:rPr>
                    <w:t>详见本项目依托工程及其可行性分析。</w:t>
                  </w:r>
                </w:p>
              </w:tc>
              <w:tc>
                <w:tcPr>
                  <w:tcW w:w="426"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hint="eastAsia" w:cs="宋体"/>
                      <w:color w:val="auto"/>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29"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hint="eastAsia" w:ascii="Times New Roman" w:hAnsi="Times New Roman"/>
                      <w:color w:val="auto"/>
                      <w:szCs w:val="21"/>
                      <w:lang w:bidi="ar"/>
                    </w:rPr>
                    <w:t>3</w:t>
                  </w:r>
                </w:p>
              </w:tc>
              <w:tc>
                <w:tcPr>
                  <w:tcW w:w="1930" w:type="pct"/>
                  <w:shd w:val="clear" w:color="auto" w:fill="auto"/>
                  <w:vAlign w:val="center"/>
                </w:tcPr>
                <w:p>
                  <w:pPr>
                    <w:widowControl w:val="0"/>
                    <w:autoSpaceDE w:val="0"/>
                    <w:autoSpaceDN w:val="0"/>
                    <w:adjustRightInd w:val="0"/>
                    <w:jc w:val="center"/>
                    <w:rPr>
                      <w:rFonts w:ascii="宋体" w:cs="宋体"/>
                      <w:color w:val="auto"/>
                      <w:kern w:val="0"/>
                      <w:szCs w:val="21"/>
                    </w:rPr>
                  </w:pPr>
                  <w:r>
                    <w:rPr>
                      <w:rFonts w:hint="eastAsia" w:ascii="宋体" w:cs="宋体"/>
                      <w:color w:val="auto"/>
                      <w:kern w:val="0"/>
                      <w:szCs w:val="21"/>
                    </w:rPr>
                    <w:t>油气开采产生的废弃油基泥浆、含油钻屑及其他固体废物，应当遵循减量化、资源化、无害化原则，按照国家和地方有关固体废物的管理规定进行处置。</w:t>
                  </w:r>
                </w:p>
              </w:tc>
              <w:tc>
                <w:tcPr>
                  <w:tcW w:w="2314" w:type="pct"/>
                  <w:shd w:val="clear" w:color="auto" w:fill="auto"/>
                  <w:vAlign w:val="bottom"/>
                </w:tcPr>
                <w:p>
                  <w:pPr>
                    <w:pStyle w:val="48"/>
                    <w:spacing w:line="240" w:lineRule="auto"/>
                    <w:ind w:firstLine="0" w:firstLineChars="0"/>
                    <w:jc w:val="center"/>
                    <w:rPr>
                      <w:rFonts w:cs="宋体"/>
                      <w:color w:val="auto"/>
                      <w:kern w:val="0"/>
                      <w:szCs w:val="21"/>
                    </w:rPr>
                  </w:pPr>
                  <w:r>
                    <w:rPr>
                      <w:rFonts w:hint="eastAsia" w:hAnsi="Calibri" w:cs="宋体"/>
                      <w:color w:val="auto"/>
                      <w:kern w:val="0"/>
                      <w:sz w:val="21"/>
                      <w:szCs w:val="21"/>
                    </w:rPr>
                    <w:t>本项目主要为地面工程建设项目，现有钻井工程对使用的水基泥浆进行循环使用，泥浆钻井岩屑属于无害岩屑，一般固废，泥浆和岩屑全部委托山东奥友环保工程有限责任公司进行不落地作业，由罐体收集后运离井场进行专业处理。</w:t>
                  </w:r>
                </w:p>
              </w:tc>
              <w:tc>
                <w:tcPr>
                  <w:tcW w:w="426"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hint="eastAsia" w:cs="宋体"/>
                      <w:color w:val="auto"/>
                      <w:szCs w:val="21"/>
                    </w:rPr>
                    <w:t>符合</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120" w:beforeLines="50"/>
              <w:rPr>
                <w:color w:val="auto"/>
              </w:rPr>
            </w:pPr>
            <w:r>
              <w:rPr>
                <w:rFonts w:hint="eastAsia" w:ascii="Times New Roman" w:hAnsi="Times New Roman"/>
                <w:b/>
                <w:color w:val="auto"/>
                <w:kern w:val="0"/>
                <w:szCs w:val="21"/>
              </w:rPr>
              <w:t>续</w:t>
            </w:r>
            <w:r>
              <w:rPr>
                <w:rFonts w:ascii="Times New Roman" w:hAnsi="Times New Roman"/>
                <w:b/>
                <w:color w:val="auto"/>
                <w:kern w:val="0"/>
                <w:szCs w:val="21"/>
              </w:rPr>
              <w:t>表1-4  与《关于进一步加强石油天然气行业环境影响评价管理的通知》相符性分析</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68" w:type="dxa"/>
                <w:bottom w:w="0" w:type="dxa"/>
                <w:right w:w="68" w:type="dxa"/>
              </w:tblCellMar>
            </w:tblPr>
            <w:tblGrid>
              <w:gridCol w:w="526"/>
              <w:gridCol w:w="3085"/>
              <w:gridCol w:w="3699"/>
              <w:gridCol w:w="68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29"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hint="eastAsia" w:ascii="Times New Roman" w:hAnsi="Times New Roman"/>
                      <w:color w:val="auto"/>
                      <w:szCs w:val="21"/>
                      <w:lang w:bidi="ar"/>
                    </w:rPr>
                    <w:t>4</w:t>
                  </w:r>
                </w:p>
              </w:tc>
              <w:tc>
                <w:tcPr>
                  <w:tcW w:w="1930"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在相关行业污染控制标准发布前，回注的开采废水应当经处理并符合《碎屑岩油藏注水水质指标及分析方法》（SY/T5329</w:t>
                  </w:r>
                  <w:r>
                    <w:rPr>
                      <w:rFonts w:hint="eastAsia" w:ascii="Times New Roman" w:hAnsi="Times New Roman"/>
                      <w:color w:val="auto"/>
                      <w:szCs w:val="21"/>
                      <w:lang w:bidi="ar"/>
                    </w:rPr>
                    <w:t>-2012</w:t>
                  </w:r>
                  <w:r>
                    <w:rPr>
                      <w:rFonts w:ascii="Times New Roman" w:hAnsi="Times New Roman"/>
                      <w:color w:val="auto"/>
                      <w:szCs w:val="21"/>
                      <w:lang w:bidi="ar"/>
                    </w:rPr>
                    <w:t>）等相关标准要求后回注，同步采取切实可行措施防治污染</w:t>
                  </w:r>
                </w:p>
              </w:tc>
              <w:tc>
                <w:tcPr>
                  <w:tcW w:w="2314"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开采废水依托春光联合站采出水处理系统处理，回注的开采废水符合《碎屑岩油藏注水水质指标及分析方法》（SY/T5329</w:t>
                  </w:r>
                  <w:r>
                    <w:rPr>
                      <w:rFonts w:hint="eastAsia" w:ascii="Times New Roman" w:hAnsi="Times New Roman"/>
                      <w:color w:val="auto"/>
                      <w:szCs w:val="21"/>
                      <w:lang w:bidi="ar"/>
                    </w:rPr>
                    <w:t>-2012</w:t>
                  </w:r>
                  <w:r>
                    <w:rPr>
                      <w:rFonts w:ascii="Times New Roman" w:hAnsi="Times New Roman"/>
                      <w:color w:val="auto"/>
                      <w:szCs w:val="21"/>
                      <w:lang w:bidi="ar"/>
                    </w:rPr>
                    <w:t>）等相关标准要求</w:t>
                  </w:r>
                  <w:r>
                    <w:rPr>
                      <w:rFonts w:hint="eastAsia" w:ascii="Times New Roman" w:hAnsi="Times New Roman"/>
                      <w:color w:val="auto"/>
                      <w:szCs w:val="21"/>
                      <w:lang w:bidi="ar"/>
                    </w:rPr>
                    <w:t>。</w:t>
                  </w:r>
                </w:p>
              </w:tc>
              <w:tc>
                <w:tcPr>
                  <w:tcW w:w="426"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29"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hint="eastAsia" w:ascii="Times New Roman" w:hAnsi="Times New Roman"/>
                      <w:color w:val="auto"/>
                      <w:szCs w:val="21"/>
                      <w:lang w:bidi="ar"/>
                    </w:rPr>
                    <w:t>5</w:t>
                  </w:r>
                </w:p>
              </w:tc>
              <w:tc>
                <w:tcPr>
                  <w:tcW w:w="1930"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建设项目环评文件中应当包含钻井液、压裂液中重金属等有毒有害物质的相关信息，涉及商业秘密、技术秘密等情形的除外</w:t>
                  </w:r>
                </w:p>
              </w:tc>
              <w:tc>
                <w:tcPr>
                  <w:tcW w:w="2314"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本项目采用水基钻井液，一开井段钻井液主要以携带岩屑、稳定井壁为主，采用膨润土聚合物钻井液体系。二开井段：勘探井采用两性离子聚合物钻井液体系；开发井采用两性离子聚合物钻井液体系或聚合物润滑防塌钻井液体系。</w:t>
                  </w:r>
                </w:p>
              </w:tc>
              <w:tc>
                <w:tcPr>
                  <w:tcW w:w="426"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29"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hint="eastAsia" w:ascii="Times New Roman" w:hAnsi="Times New Roman"/>
                      <w:color w:val="auto"/>
                      <w:szCs w:val="21"/>
                      <w:lang w:bidi="ar"/>
                    </w:rPr>
                    <w:t>6</w:t>
                  </w:r>
                </w:p>
              </w:tc>
              <w:tc>
                <w:tcPr>
                  <w:tcW w:w="1930" w:type="pct"/>
                  <w:shd w:val="clear" w:color="auto" w:fill="auto"/>
                  <w:vAlign w:val="center"/>
                </w:tcPr>
                <w:p>
                  <w:pPr>
                    <w:widowControl w:val="0"/>
                    <w:autoSpaceDE w:val="0"/>
                    <w:autoSpaceDN w:val="0"/>
                    <w:adjustRightInd w:val="0"/>
                    <w:jc w:val="center"/>
                    <w:rPr>
                      <w:rFonts w:ascii="宋体" w:cs="宋体"/>
                      <w:color w:val="auto"/>
                      <w:kern w:val="0"/>
                      <w:szCs w:val="21"/>
                    </w:rPr>
                  </w:pPr>
                  <w:r>
                    <w:rPr>
                      <w:rFonts w:hint="eastAsia" w:ascii="宋体" w:cs="宋体"/>
                      <w:color w:val="auto"/>
                      <w:kern w:val="0"/>
                      <w:szCs w:val="21"/>
                    </w:rPr>
                    <w:t>施工期应当尽量减少施工占地、缩短施工时间、选择合理施工方式、落实环境敏感区管控要求以及其他生态环境保护措施，降低生态环境影响。</w:t>
                  </w:r>
                </w:p>
              </w:tc>
              <w:tc>
                <w:tcPr>
                  <w:tcW w:w="2314" w:type="pct"/>
                  <w:shd w:val="clear" w:color="auto" w:fill="auto"/>
                  <w:vAlign w:val="center"/>
                </w:tcPr>
                <w:p>
                  <w:pPr>
                    <w:widowControl w:val="0"/>
                    <w:autoSpaceDE w:val="0"/>
                    <w:autoSpaceDN w:val="0"/>
                    <w:adjustRightInd w:val="0"/>
                    <w:jc w:val="center"/>
                    <w:rPr>
                      <w:rFonts w:ascii="宋体" w:cs="宋体"/>
                      <w:color w:val="auto"/>
                      <w:kern w:val="0"/>
                      <w:szCs w:val="21"/>
                    </w:rPr>
                  </w:pPr>
                  <w:r>
                    <w:rPr>
                      <w:rFonts w:hint="eastAsia" w:ascii="宋体" w:cs="宋体"/>
                      <w:color w:val="auto"/>
                      <w:kern w:val="0"/>
                      <w:szCs w:val="21"/>
                    </w:rPr>
                    <w:t>施工期严格控制占地面积，施工单位在占地范围内施工，严格控制和管理运输车辆及重型机械施工作业范围。具体详见环境保护措施章节。</w:t>
                  </w:r>
                </w:p>
              </w:tc>
              <w:tc>
                <w:tcPr>
                  <w:tcW w:w="426" w:type="pct"/>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8" w:type="dxa"/>
                  <w:bottom w:w="0" w:type="dxa"/>
                  <w:right w:w="68" w:type="dxa"/>
                </w:tblCellMar>
              </w:tblPrEx>
              <w:trPr>
                <w:trHeight w:val="284" w:hRule="atLeast"/>
                <w:jc w:val="center"/>
              </w:trPr>
              <w:tc>
                <w:tcPr>
                  <w:tcW w:w="329" w:type="pct"/>
                  <w:tcBorders>
                    <w:bottom w:val="single" w:color="auto" w:sz="6" w:space="0"/>
                  </w:tcBorders>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7</w:t>
                  </w:r>
                </w:p>
              </w:tc>
              <w:tc>
                <w:tcPr>
                  <w:tcW w:w="1930" w:type="pct"/>
                  <w:tcBorders>
                    <w:bottom w:val="single" w:color="auto" w:sz="6" w:space="0"/>
                  </w:tcBorders>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油气企业应当切实落实生态环境保护主体责任，进一步健全生态环境保护管理体系和制度，充分发挥企业内部生态环境保护部门作用，健全健康、安全与环境（HSE）管理体系，加强督促检查，推动所属油气田落实规划、建设、运营、退役等环节生态环境保护措施</w:t>
                  </w:r>
                </w:p>
              </w:tc>
              <w:tc>
                <w:tcPr>
                  <w:tcW w:w="2314" w:type="pct"/>
                  <w:tcBorders>
                    <w:bottom w:val="single" w:color="auto" w:sz="6" w:space="0"/>
                  </w:tcBorders>
                  <w:shd w:val="clear" w:color="auto" w:fill="auto"/>
                  <w:vAlign w:val="center"/>
                </w:tcPr>
                <w:p>
                  <w:pPr>
                    <w:widowControl w:val="0"/>
                    <w:autoSpaceDE w:val="0"/>
                    <w:autoSpaceDN w:val="0"/>
                    <w:adjustRightInd w:val="0"/>
                    <w:jc w:val="center"/>
                    <w:rPr>
                      <w:rFonts w:ascii="宋体" w:cs="宋体"/>
                      <w:color w:val="auto"/>
                      <w:kern w:val="0"/>
                      <w:szCs w:val="21"/>
                    </w:rPr>
                  </w:pPr>
                  <w:r>
                    <w:rPr>
                      <w:rFonts w:hint="eastAsia" w:ascii="宋体" w:cs="宋体"/>
                      <w:color w:val="auto"/>
                      <w:kern w:val="0"/>
                      <w:szCs w:val="21"/>
                    </w:rPr>
                    <w:t>建设单位设置安全环保科室及人员，建</w:t>
                  </w:r>
                  <w:r>
                    <w:rPr>
                      <w:rFonts w:ascii="Times New Roman" w:hAnsi="Times New Roman"/>
                      <w:color w:val="auto"/>
                      <w:kern w:val="0"/>
                      <w:szCs w:val="21"/>
                    </w:rPr>
                    <w:t>有</w:t>
                  </w:r>
                  <w:r>
                    <w:rPr>
                      <w:rFonts w:ascii="Times New Roman" w:hAnsi="Times New Roman" w:eastAsia="TimesNewRomanPSMT"/>
                      <w:color w:val="auto"/>
                      <w:kern w:val="0"/>
                      <w:szCs w:val="21"/>
                    </w:rPr>
                    <w:t>HSE</w:t>
                  </w:r>
                  <w:r>
                    <w:rPr>
                      <w:rFonts w:ascii="Times New Roman" w:hAnsi="Times New Roman"/>
                      <w:color w:val="auto"/>
                      <w:kern w:val="0"/>
                      <w:szCs w:val="21"/>
                    </w:rPr>
                    <w:t>管</w:t>
                  </w:r>
                  <w:r>
                    <w:rPr>
                      <w:rFonts w:hint="eastAsia" w:ascii="宋体" w:cs="宋体"/>
                      <w:color w:val="auto"/>
                      <w:kern w:val="0"/>
                      <w:szCs w:val="21"/>
                    </w:rPr>
                    <w:t>理体系，监督落实建设、运营及闭井期各项生态环境保护措施。</w:t>
                  </w:r>
                </w:p>
              </w:tc>
              <w:tc>
                <w:tcPr>
                  <w:tcW w:w="426" w:type="pct"/>
                  <w:tcBorders>
                    <w:bottom w:val="single" w:color="auto" w:sz="6" w:space="0"/>
                  </w:tcBorders>
                  <w:shd w:val="clear" w:color="auto" w:fill="auto"/>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符合</w:t>
                  </w:r>
                </w:p>
                <w:p>
                  <w:pPr>
                    <w:pStyle w:val="105"/>
                    <w:adjustRightInd w:val="0"/>
                    <w:snapToGrid w:val="0"/>
                    <w:spacing w:line="290" w:lineRule="exact"/>
                    <w:rPr>
                      <w:rFonts w:ascii="Times New Roman" w:hAnsi="Times New Roman"/>
                      <w:color w:val="auto"/>
                      <w:szCs w:val="21"/>
                      <w:lang w:bidi="ar"/>
                    </w:rPr>
                  </w:pPr>
                </w:p>
              </w:tc>
            </w:tr>
          </w:tbl>
          <w:p>
            <w:pPr>
              <w:pStyle w:val="105"/>
              <w:numPr>
                <w:ilvl w:val="0"/>
                <w:numId w:val="2"/>
              </w:numPr>
              <w:spacing w:before="120" w:beforeLines="50" w:line="360" w:lineRule="auto"/>
              <w:ind w:firstLine="482" w:firstLineChars="200"/>
              <w:jc w:val="both"/>
              <w:rPr>
                <w:rFonts w:ascii="Times New Roman" w:hAnsi="Times New Roman"/>
                <w:b/>
                <w:color w:val="auto"/>
                <w:sz w:val="24"/>
                <w:szCs w:val="24"/>
                <w:lang w:bidi="ar"/>
              </w:rPr>
            </w:pPr>
            <w:r>
              <w:rPr>
                <w:rFonts w:hint="eastAsia" w:ascii="Times New Roman" w:hAnsi="Times New Roman"/>
                <w:b/>
                <w:color w:val="auto"/>
                <w:sz w:val="24"/>
                <w:szCs w:val="24"/>
                <w:lang w:bidi="ar"/>
              </w:rPr>
              <w:t>与《加强沙区建设项目环境影响评价工作的通知》相符性分析</w:t>
            </w:r>
          </w:p>
          <w:p>
            <w:pPr>
              <w:pStyle w:val="105"/>
              <w:spacing w:line="360" w:lineRule="auto"/>
              <w:ind w:firstLine="480" w:firstLineChars="200"/>
              <w:jc w:val="both"/>
              <w:rPr>
                <w:rFonts w:ascii="Times New Roman" w:hAnsi="Times New Roman" w:eastAsia="黑体"/>
                <w:snapToGrid w:val="0"/>
                <w:color w:val="auto"/>
                <w:sz w:val="30"/>
                <w:szCs w:val="30"/>
              </w:rPr>
            </w:pPr>
            <w:r>
              <w:rPr>
                <w:rFonts w:hint="eastAsia" w:ascii="Times New Roman" w:hAnsi="Times New Roman"/>
                <w:color w:val="auto"/>
                <w:sz w:val="24"/>
                <w:szCs w:val="24"/>
                <w:lang w:bidi="ar"/>
              </w:rPr>
              <w:t>根据《关</w:t>
            </w:r>
            <w:r>
              <w:rPr>
                <w:rFonts w:ascii="Times New Roman" w:hAnsi="Times New Roman"/>
                <w:color w:val="auto"/>
                <w:sz w:val="24"/>
                <w:szCs w:val="24"/>
                <w:lang w:bidi="ar"/>
              </w:rPr>
              <w:t>于加强沙区建设项目环境影响评价工作的通知》（新环环评发</w:t>
            </w:r>
            <w:r>
              <w:rPr>
                <w:rFonts w:hint="eastAsia" w:cs="宋体"/>
                <w:color w:val="auto"/>
                <w:sz w:val="24"/>
                <w:szCs w:val="24"/>
                <w:lang w:bidi="ar"/>
              </w:rPr>
              <w:t>﹝</w:t>
            </w:r>
            <w:r>
              <w:rPr>
                <w:rFonts w:ascii="Times New Roman" w:hAnsi="Times New Roman"/>
                <w:color w:val="auto"/>
                <w:sz w:val="24"/>
                <w:szCs w:val="24"/>
                <w:lang w:bidi="ar"/>
              </w:rPr>
              <w:t>2020</w:t>
            </w:r>
            <w:r>
              <w:rPr>
                <w:rFonts w:hint="eastAsia" w:cs="宋体"/>
                <w:color w:val="auto"/>
                <w:sz w:val="24"/>
                <w:szCs w:val="24"/>
                <w:lang w:bidi="ar"/>
              </w:rPr>
              <w:t>﹞</w:t>
            </w:r>
            <w:r>
              <w:rPr>
                <w:rFonts w:ascii="Times New Roman" w:hAnsi="Times New Roman"/>
                <w:color w:val="auto"/>
                <w:sz w:val="24"/>
                <w:szCs w:val="24"/>
                <w:lang w:bidi="ar"/>
              </w:rPr>
              <w:t>138号），本项目是石油开采项目，位于</w:t>
            </w:r>
            <w:r>
              <w:rPr>
                <w:rFonts w:hint="eastAsia" w:ascii="Times New Roman" w:hAnsi="Times New Roman"/>
                <w:color w:val="auto"/>
                <w:sz w:val="24"/>
                <w:szCs w:val="24"/>
                <w:lang w:bidi="ar"/>
              </w:rPr>
              <w:t>新疆生产建设兵团第七师123团境内</w:t>
            </w:r>
            <w:r>
              <w:rPr>
                <w:rFonts w:ascii="Times New Roman" w:hAnsi="Times New Roman"/>
                <w:color w:val="auto"/>
                <w:sz w:val="24"/>
                <w:szCs w:val="24"/>
                <w:lang w:bidi="ar"/>
              </w:rPr>
              <w:t>，</w:t>
            </w:r>
            <w:r>
              <w:rPr>
                <w:rFonts w:hint="eastAsia" w:ascii="Times New Roman" w:hAnsi="Times New Roman"/>
                <w:color w:val="auto"/>
                <w:sz w:val="24"/>
                <w:szCs w:val="24"/>
                <w:lang w:bidi="ar"/>
              </w:rPr>
              <w:t>不</w:t>
            </w:r>
            <w:r>
              <w:rPr>
                <w:rFonts w:ascii="Times New Roman" w:hAnsi="Times New Roman"/>
                <w:color w:val="auto"/>
                <w:sz w:val="24"/>
                <w:szCs w:val="24"/>
                <w:lang w:bidi="ar"/>
              </w:rPr>
              <w:t>在沙区范围内。本报告中提出了防止水土流失的生态保护措施，符合通知</w:t>
            </w:r>
            <w:r>
              <w:rPr>
                <w:rFonts w:hint="eastAsia" w:ascii="Times New Roman" w:hAnsi="Times New Roman"/>
                <w:color w:val="auto"/>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9" w:hRule="atLeast"/>
        </w:trPr>
        <w:tc>
          <w:tcPr>
            <w:tcW w:w="350" w:type="pct"/>
            <w:vAlign w:val="center"/>
          </w:tcPr>
          <w:p>
            <w:pPr>
              <w:pStyle w:val="33"/>
              <w:jc w:val="center"/>
              <w:rPr>
                <w:rFonts w:cs="宋体"/>
                <w:snapToGrid w:val="0"/>
                <w:color w:val="auto"/>
              </w:rPr>
            </w:pPr>
            <w:r>
              <w:rPr>
                <w:rFonts w:hint="eastAsia" w:cs="宋体"/>
                <w:snapToGrid w:val="0"/>
                <w:color w:val="auto"/>
              </w:rPr>
              <w:t>其他符合性分析</w:t>
            </w:r>
          </w:p>
        </w:tc>
        <w:tc>
          <w:tcPr>
            <w:tcW w:w="4649" w:type="pct"/>
          </w:tcPr>
          <w:p>
            <w:pPr>
              <w:pStyle w:val="105"/>
              <w:numPr>
                <w:ilvl w:val="0"/>
                <w:numId w:val="2"/>
              </w:numPr>
              <w:spacing w:line="360" w:lineRule="auto"/>
              <w:ind w:firstLine="482" w:firstLineChars="200"/>
              <w:jc w:val="both"/>
              <w:rPr>
                <w:rFonts w:ascii="Times New Roman" w:hAnsi="Times New Roman"/>
                <w:b/>
                <w:color w:val="auto"/>
                <w:sz w:val="24"/>
                <w:szCs w:val="24"/>
                <w:lang w:bidi="ar"/>
              </w:rPr>
            </w:pPr>
            <w:r>
              <w:rPr>
                <w:rFonts w:hint="eastAsia" w:ascii="Times New Roman" w:hAnsi="Times New Roman"/>
                <w:b/>
                <w:color w:val="auto"/>
                <w:sz w:val="24"/>
                <w:szCs w:val="24"/>
                <w:lang w:bidi="ar"/>
              </w:rPr>
              <w:t>与《陆上石油天然气开采业绿色矿山建设规范》(DZ/T0317-2018)</w:t>
            </w:r>
            <w:r>
              <w:rPr>
                <w:rFonts w:ascii="Times New Roman" w:hAnsi="Times New Roman"/>
                <w:b/>
                <w:color w:val="auto"/>
                <w:sz w:val="24"/>
                <w:szCs w:val="24"/>
                <w:lang w:bidi="ar"/>
              </w:rPr>
              <w:t>相符性分析</w:t>
            </w:r>
          </w:p>
          <w:p>
            <w:pPr>
              <w:pStyle w:val="105"/>
              <w:spacing w:line="240" w:lineRule="auto"/>
              <w:rPr>
                <w:rFonts w:ascii="Times New Roman" w:hAnsi="Times New Roman"/>
                <w:b/>
                <w:color w:val="auto"/>
                <w:sz w:val="24"/>
                <w:szCs w:val="24"/>
                <w:lang w:bidi="ar"/>
              </w:rPr>
            </w:pPr>
            <w:r>
              <w:rPr>
                <w:rFonts w:ascii="Times New Roman" w:hAnsi="Times New Roman"/>
                <w:b/>
                <w:color w:val="auto"/>
                <w:szCs w:val="21"/>
              </w:rPr>
              <w:t>表1-</w:t>
            </w:r>
            <w:r>
              <w:rPr>
                <w:rFonts w:hint="eastAsia" w:ascii="Times New Roman" w:hAnsi="Times New Roman"/>
                <w:b/>
                <w:color w:val="auto"/>
                <w:szCs w:val="21"/>
              </w:rPr>
              <w:t>5</w:t>
            </w:r>
            <w:r>
              <w:rPr>
                <w:rFonts w:ascii="Times New Roman" w:hAnsi="Times New Roman"/>
                <w:b/>
                <w:color w:val="auto"/>
                <w:szCs w:val="21"/>
              </w:rPr>
              <w:t xml:space="preserve">  与《</w:t>
            </w:r>
            <w:r>
              <w:rPr>
                <w:rFonts w:hint="eastAsia" w:ascii="Times New Roman" w:hAnsi="Times New Roman"/>
                <w:b/>
                <w:color w:val="auto"/>
                <w:szCs w:val="21"/>
              </w:rPr>
              <w:t>陆上石油天然气开采业绿色矿山建设规范》(DZ/T0317-2018)</w:t>
            </w:r>
            <w:r>
              <w:rPr>
                <w:rFonts w:ascii="Times New Roman" w:hAnsi="Times New Roman"/>
                <w:b/>
                <w:color w:val="auto"/>
                <w:szCs w:val="21"/>
              </w:rPr>
              <w:t>相符性分析</w:t>
            </w:r>
          </w:p>
          <w:tbl>
            <w:tblPr>
              <w:tblStyle w:val="38"/>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985"/>
              <w:gridCol w:w="3355"/>
              <w:gridCol w:w="8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4" w:type="dxa"/>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序号</w:t>
                  </w:r>
                </w:p>
              </w:tc>
              <w:tc>
                <w:tcPr>
                  <w:tcW w:w="2985" w:type="dxa"/>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w:t>
                  </w:r>
                  <w:r>
                    <w:rPr>
                      <w:rFonts w:hint="eastAsia" w:ascii="Times New Roman" w:hAnsi="Times New Roman"/>
                      <w:color w:val="auto"/>
                      <w:szCs w:val="21"/>
                      <w:lang w:bidi="ar"/>
                    </w:rPr>
                    <w:t>规范</w:t>
                  </w:r>
                  <w:r>
                    <w:rPr>
                      <w:rFonts w:ascii="Times New Roman" w:hAnsi="Times New Roman"/>
                      <w:color w:val="auto"/>
                      <w:szCs w:val="21"/>
                      <w:lang w:bidi="ar"/>
                    </w:rPr>
                    <w:t>》的相关规定</w:t>
                  </w:r>
                </w:p>
              </w:tc>
              <w:tc>
                <w:tcPr>
                  <w:tcW w:w="3355" w:type="dxa"/>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本项目实施过程中采取的措施</w:t>
                  </w:r>
                </w:p>
              </w:tc>
              <w:tc>
                <w:tcPr>
                  <w:tcW w:w="821" w:type="dxa"/>
                  <w:vAlign w:val="center"/>
                </w:tcPr>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相符性</w:t>
                  </w:r>
                </w:p>
                <w:p>
                  <w:pPr>
                    <w:pStyle w:val="105"/>
                    <w:adjustRightInd w:val="0"/>
                    <w:snapToGrid w:val="0"/>
                    <w:spacing w:line="290" w:lineRule="exact"/>
                    <w:rPr>
                      <w:rFonts w:ascii="Times New Roman" w:hAnsi="Times New Roman"/>
                      <w:color w:val="auto"/>
                      <w:szCs w:val="21"/>
                      <w:lang w:bidi="ar"/>
                    </w:rPr>
                  </w:pPr>
                  <w:r>
                    <w:rPr>
                      <w:rFonts w:ascii="Times New Roman" w:hAnsi="Times New Roman"/>
                      <w:color w:val="auto"/>
                      <w:szCs w:val="21"/>
                      <w:lang w:bidi="ar"/>
                    </w:rPr>
                    <w:t>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widowControl w:val="0"/>
                    <w:spacing w:line="280" w:lineRule="exact"/>
                    <w:jc w:val="center"/>
                    <w:rPr>
                      <w:rFonts w:ascii="Times New Roman" w:hAnsi="Times New Roman"/>
                      <w:color w:val="auto"/>
                      <w:szCs w:val="21"/>
                    </w:rPr>
                  </w:pPr>
                  <w:r>
                    <w:rPr>
                      <w:rFonts w:ascii="Times New Roman" w:hAnsi="Times New Roman"/>
                      <w:color w:val="auto"/>
                      <w:szCs w:val="21"/>
                    </w:rPr>
                    <w:t>1</w:t>
                  </w:r>
                </w:p>
              </w:tc>
              <w:tc>
                <w:tcPr>
                  <w:tcW w:w="2985" w:type="dxa"/>
                  <w:vAlign w:val="center"/>
                </w:tcPr>
                <w:p>
                  <w:pPr>
                    <w:widowControl w:val="0"/>
                    <w:spacing w:line="280" w:lineRule="exact"/>
                    <w:rPr>
                      <w:color w:val="auto"/>
                      <w:szCs w:val="21"/>
                    </w:rPr>
                  </w:pPr>
                  <w:r>
                    <w:rPr>
                      <w:color w:val="auto"/>
                      <w:szCs w:val="21"/>
                    </w:rPr>
                    <w:t>因矿制宜选择开采工艺和装备，符合清洁生产要求。应贯彻“边开采，边治理，边恢复”的原则，及时治理恢复矿区地质环境，复垦矿区压占和损毁土地</w:t>
                  </w:r>
                </w:p>
              </w:tc>
              <w:tc>
                <w:tcPr>
                  <w:tcW w:w="3355" w:type="dxa"/>
                  <w:vAlign w:val="center"/>
                </w:tcPr>
                <w:p>
                  <w:pPr>
                    <w:widowControl w:val="0"/>
                    <w:spacing w:line="280" w:lineRule="exact"/>
                    <w:rPr>
                      <w:color w:val="auto"/>
                      <w:szCs w:val="21"/>
                    </w:rPr>
                  </w:pPr>
                  <w:r>
                    <w:rPr>
                      <w:color w:val="auto"/>
                      <w:szCs w:val="21"/>
                    </w:rPr>
                    <w:t>项目钻采方案的设计技术先进、实用成熟，符合清洁生产要求；项目钻井完成后，按要求恢复井场周边及管线临时占地，符合“边开采，边治理，边恢复”的原则</w:t>
                  </w:r>
                </w:p>
              </w:tc>
              <w:tc>
                <w:tcPr>
                  <w:tcW w:w="821" w:type="dxa"/>
                  <w:vAlign w:val="center"/>
                </w:tcPr>
                <w:p>
                  <w:pPr>
                    <w:widowControl w:val="0"/>
                    <w:spacing w:line="280" w:lineRule="exact"/>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widowControl w:val="0"/>
                    <w:spacing w:line="280" w:lineRule="exact"/>
                    <w:jc w:val="center"/>
                    <w:rPr>
                      <w:rFonts w:ascii="Times New Roman" w:hAnsi="Times New Roman"/>
                      <w:color w:val="auto"/>
                      <w:szCs w:val="21"/>
                    </w:rPr>
                  </w:pPr>
                  <w:r>
                    <w:rPr>
                      <w:rFonts w:ascii="Times New Roman" w:hAnsi="Times New Roman"/>
                      <w:color w:val="auto"/>
                      <w:szCs w:val="21"/>
                    </w:rPr>
                    <w:t>2</w:t>
                  </w:r>
                </w:p>
              </w:tc>
              <w:tc>
                <w:tcPr>
                  <w:tcW w:w="2985" w:type="dxa"/>
                  <w:vAlign w:val="center"/>
                </w:tcPr>
                <w:p>
                  <w:pPr>
                    <w:widowControl w:val="0"/>
                    <w:spacing w:line="280" w:lineRule="exact"/>
                    <w:rPr>
                      <w:color w:val="auto"/>
                      <w:szCs w:val="21"/>
                    </w:rPr>
                  </w:pPr>
                  <w:r>
                    <w:rPr>
                      <w:color w:val="auto"/>
                      <w:szCs w:val="21"/>
                    </w:rPr>
                    <w:t>应遵循矿区油气资源赋存状况、生态环境特征等条件，科学合理地确定开发方案，选择与油气藏类型相适应的先进开采技术和工艺，推广使用成熟、先进的技术装备，严禁使用国家明文规定的限制和淘汰的技术工艺及装备</w:t>
                  </w:r>
                </w:p>
              </w:tc>
              <w:tc>
                <w:tcPr>
                  <w:tcW w:w="3355" w:type="dxa"/>
                  <w:vAlign w:val="center"/>
                </w:tcPr>
                <w:p>
                  <w:pPr>
                    <w:widowControl w:val="0"/>
                    <w:spacing w:line="280" w:lineRule="exact"/>
                    <w:rPr>
                      <w:color w:val="auto"/>
                      <w:szCs w:val="21"/>
                    </w:rPr>
                  </w:pPr>
                  <w:r>
                    <w:rPr>
                      <w:color w:val="auto"/>
                      <w:szCs w:val="21"/>
                    </w:rPr>
                    <w:t>本项目开发方案设计考虑了</w:t>
                  </w:r>
                  <w:r>
                    <w:rPr>
                      <w:rFonts w:hint="eastAsia"/>
                      <w:color w:val="auto"/>
                      <w:szCs w:val="21"/>
                    </w:rPr>
                    <w:t>春光</w:t>
                  </w:r>
                  <w:r>
                    <w:rPr>
                      <w:color w:val="auto"/>
                      <w:szCs w:val="21"/>
                    </w:rPr>
                    <w:t>油田油气资源赋存状况、生态环境特征等条件，所选用的开采技术和工艺均属于成熟、先进的技术装备</w:t>
                  </w:r>
                </w:p>
              </w:tc>
              <w:tc>
                <w:tcPr>
                  <w:tcW w:w="821" w:type="dxa"/>
                  <w:vAlign w:val="center"/>
                </w:tcPr>
                <w:p>
                  <w:pPr>
                    <w:widowControl w:val="0"/>
                    <w:spacing w:line="280" w:lineRule="exact"/>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widowControl w:val="0"/>
                    <w:spacing w:line="280" w:lineRule="exact"/>
                    <w:jc w:val="center"/>
                    <w:rPr>
                      <w:rFonts w:ascii="Times New Roman" w:hAnsi="Times New Roman"/>
                      <w:color w:val="auto"/>
                      <w:szCs w:val="21"/>
                    </w:rPr>
                  </w:pPr>
                  <w:r>
                    <w:rPr>
                      <w:rFonts w:ascii="Times New Roman" w:hAnsi="Times New Roman"/>
                      <w:color w:val="auto"/>
                      <w:szCs w:val="21"/>
                    </w:rPr>
                    <w:t>3</w:t>
                  </w:r>
                </w:p>
              </w:tc>
              <w:tc>
                <w:tcPr>
                  <w:tcW w:w="2985" w:type="dxa"/>
                  <w:vAlign w:val="center"/>
                </w:tcPr>
                <w:p>
                  <w:pPr>
                    <w:widowControl w:val="0"/>
                    <w:spacing w:line="280" w:lineRule="exact"/>
                    <w:rPr>
                      <w:color w:val="auto"/>
                      <w:szCs w:val="21"/>
                    </w:rPr>
                  </w:pPr>
                  <w:r>
                    <w:rPr>
                      <w:color w:val="auto"/>
                      <w:szCs w:val="21"/>
                    </w:rPr>
                    <w:t>集约节约利用土地资源，土地利用符合用地指标政策。合理确定站址、场址、管网、路网建设占地规模。应实施绿色钻井技术体系，科学选择钻井方式、环境友好型钻井液及井控措施，配备完善的固控系统，及时妥善处置钻井泥浆</w:t>
                  </w:r>
                </w:p>
              </w:tc>
              <w:tc>
                <w:tcPr>
                  <w:tcW w:w="3355" w:type="dxa"/>
                  <w:vAlign w:val="center"/>
                </w:tcPr>
                <w:p>
                  <w:pPr>
                    <w:widowControl w:val="0"/>
                    <w:spacing w:line="280" w:lineRule="exact"/>
                    <w:rPr>
                      <w:color w:val="auto"/>
                      <w:szCs w:val="21"/>
                    </w:rPr>
                  </w:pPr>
                  <w:r>
                    <w:rPr>
                      <w:color w:val="auto"/>
                      <w:szCs w:val="21"/>
                    </w:rPr>
                    <w:t>项目各井场、道路、管线永久占地和临时占地规模均从土地资源节约方面考虑，尽可能缩小占地面积和作业带宽度。项目钻井过程中，配备先进完善的固控设备，采用</w:t>
                  </w:r>
                  <w:r>
                    <w:rPr>
                      <w:rFonts w:hint="eastAsia"/>
                      <w:color w:val="auto"/>
                      <w:szCs w:val="21"/>
                    </w:rPr>
                    <w:t>水基</w:t>
                  </w:r>
                  <w:r>
                    <w:rPr>
                      <w:color w:val="auto"/>
                      <w:szCs w:val="21"/>
                    </w:rPr>
                    <w:t>钻井液，设置井控装置。泥浆分离岩屑后重复使用，钻井完成后，用于下一口井场。</w:t>
                  </w:r>
                </w:p>
              </w:tc>
              <w:tc>
                <w:tcPr>
                  <w:tcW w:w="821" w:type="dxa"/>
                  <w:vAlign w:val="center"/>
                </w:tcPr>
                <w:p>
                  <w:pPr>
                    <w:widowControl w:val="0"/>
                    <w:spacing w:line="280" w:lineRule="exact"/>
                    <w:rPr>
                      <w:color w:val="auto"/>
                      <w:szCs w:val="21"/>
                    </w:rPr>
                  </w:pPr>
                  <w:r>
                    <w:rPr>
                      <w:color w:val="auto"/>
                      <w:szCs w:val="21"/>
                    </w:rPr>
                    <w:t>符合</w:t>
                  </w:r>
                </w:p>
              </w:tc>
            </w:tr>
          </w:tbl>
          <w:p>
            <w:pPr>
              <w:pStyle w:val="105"/>
              <w:spacing w:before="120" w:beforeLines="50" w:line="360" w:lineRule="auto"/>
              <w:ind w:firstLine="482" w:firstLineChars="200"/>
              <w:jc w:val="both"/>
              <w:rPr>
                <w:rFonts w:ascii="Times New Roman" w:hAnsi="Times New Roman"/>
                <w:b/>
                <w:color w:val="auto"/>
                <w:sz w:val="24"/>
                <w:szCs w:val="24"/>
                <w:lang w:bidi="ar"/>
              </w:rPr>
            </w:pPr>
            <w:r>
              <w:rPr>
                <w:rFonts w:hint="eastAsia" w:ascii="Times New Roman" w:hAnsi="Times New Roman"/>
                <w:b/>
                <w:color w:val="auto"/>
                <w:sz w:val="24"/>
                <w:szCs w:val="24"/>
                <w:lang w:bidi="ar"/>
              </w:rPr>
              <w:t>6.与《新疆生态环境保护“十四五”规划》</w:t>
            </w:r>
            <w:r>
              <w:rPr>
                <w:rFonts w:ascii="Times New Roman" w:hAnsi="Times New Roman"/>
                <w:b/>
                <w:color w:val="auto"/>
                <w:sz w:val="24"/>
                <w:szCs w:val="24"/>
                <w:lang w:bidi="ar"/>
              </w:rPr>
              <w:t>相符性分析</w:t>
            </w:r>
          </w:p>
          <w:p>
            <w:pPr>
              <w:widowControl w:val="0"/>
              <w:autoSpaceDE w:val="0"/>
              <w:autoSpaceDN w:val="0"/>
              <w:adjustRightInd w:val="0"/>
              <w:snapToGrid w:val="0"/>
              <w:spacing w:line="360" w:lineRule="auto"/>
              <w:ind w:firstLine="480" w:firstLineChars="200"/>
              <w:jc w:val="both"/>
              <w:rPr>
                <w:rFonts w:ascii="Times New Roman" w:hAnsi="Times New Roman"/>
                <w:color w:val="auto"/>
                <w:kern w:val="0"/>
                <w:sz w:val="24"/>
                <w:lang w:bidi="ar"/>
              </w:rPr>
            </w:pPr>
            <w:r>
              <w:rPr>
                <w:rFonts w:hint="eastAsia" w:ascii="Times New Roman" w:hAnsi="Times New Roman"/>
                <w:color w:val="auto"/>
                <w:kern w:val="0"/>
                <w:sz w:val="24"/>
                <w:lang w:bidi="ar"/>
              </w:rPr>
              <w:t>“十四五”时期，生态文明建设实现新改善，美丽新疆建设取得明显进展，生态环境保护主要目标：</w:t>
            </w:r>
          </w:p>
          <w:p>
            <w:pPr>
              <w:widowControl w:val="0"/>
              <w:autoSpaceDE w:val="0"/>
              <w:autoSpaceDN w:val="0"/>
              <w:adjustRightInd w:val="0"/>
              <w:snapToGrid w:val="0"/>
              <w:spacing w:line="360" w:lineRule="auto"/>
              <w:ind w:firstLine="480" w:firstLineChars="200"/>
              <w:jc w:val="both"/>
              <w:rPr>
                <w:rFonts w:ascii="Times New Roman" w:hAnsi="Times New Roman"/>
                <w:color w:val="auto"/>
                <w:kern w:val="0"/>
                <w:sz w:val="24"/>
                <w:lang w:bidi="ar"/>
              </w:rPr>
            </w:pPr>
            <w:r>
              <w:rPr>
                <w:rFonts w:hint="eastAsia" w:ascii="Times New Roman" w:hAnsi="Times New Roman"/>
                <w:color w:val="auto"/>
                <w:kern w:val="0"/>
                <w:sz w:val="24"/>
                <w:lang w:bidi="ar"/>
              </w:rPr>
              <w:t>——生产生活方式绿色转型成效显著。国土空间开发保护格局得到优化，能源开发利用效率大幅提升，能耗和水资源消耗、建设用地、碳排放强度得到有效控制，简约适度、绿色低碳的生活方式加快形成。</w:t>
            </w:r>
          </w:p>
          <w:p>
            <w:pPr>
              <w:widowControl w:val="0"/>
              <w:autoSpaceDE w:val="0"/>
              <w:autoSpaceDN w:val="0"/>
              <w:adjustRightInd w:val="0"/>
              <w:snapToGrid w:val="0"/>
              <w:spacing w:line="360" w:lineRule="auto"/>
              <w:ind w:firstLine="480" w:firstLineChars="200"/>
              <w:jc w:val="both"/>
              <w:rPr>
                <w:rFonts w:ascii="Times New Roman" w:hAnsi="Times New Roman"/>
                <w:color w:val="auto"/>
                <w:kern w:val="0"/>
                <w:sz w:val="24"/>
                <w:lang w:bidi="ar"/>
              </w:rPr>
            </w:pPr>
            <w:r>
              <w:rPr>
                <w:rFonts w:hint="eastAsia" w:ascii="Times New Roman" w:hAnsi="Times New Roman"/>
                <w:color w:val="auto"/>
                <w:kern w:val="0"/>
                <w:sz w:val="24"/>
                <w:lang w:bidi="ar"/>
              </w:rPr>
              <w:t>——生态环境质量持续改善。主要污染物排放总量持续减少，空气质量稳步改善，重污染天数明显减少，水环境质量保持总体优良，水资源合理开发利用，巩固城市黑臭水体治理成效，城乡人居环境明显改善。</w:t>
            </w:r>
          </w:p>
          <w:p>
            <w:pPr>
              <w:widowControl w:val="0"/>
              <w:autoSpaceDE w:val="0"/>
              <w:autoSpaceDN w:val="0"/>
              <w:adjustRightInd w:val="0"/>
              <w:snapToGrid w:val="0"/>
              <w:spacing w:line="360" w:lineRule="auto"/>
              <w:ind w:firstLine="480" w:firstLineChars="200"/>
              <w:jc w:val="both"/>
              <w:rPr>
                <w:rFonts w:ascii="Times New Roman" w:hAnsi="Times New Roman"/>
                <w:color w:val="auto"/>
                <w:kern w:val="0"/>
                <w:sz w:val="24"/>
                <w:lang w:bidi="ar"/>
              </w:rPr>
            </w:pPr>
            <w:r>
              <w:rPr>
                <w:rFonts w:hint="eastAsia" w:ascii="Times New Roman" w:hAnsi="Times New Roman"/>
                <w:color w:val="auto"/>
                <w:kern w:val="0"/>
                <w:sz w:val="24"/>
                <w:lang w:bidi="ar"/>
              </w:rPr>
              <w:t>——生态系统质量稳步提升。生态安全屏障更加牢固，生物多样性得到有效保护，生物安全管理水平显著提高，生态系统服务功能不断增强。</w:t>
            </w:r>
          </w:p>
          <w:p>
            <w:pPr>
              <w:widowControl w:val="0"/>
              <w:autoSpaceDE w:val="0"/>
              <w:autoSpaceDN w:val="0"/>
              <w:adjustRightInd w:val="0"/>
              <w:snapToGrid w:val="0"/>
              <w:spacing w:line="360" w:lineRule="auto"/>
              <w:ind w:firstLine="480" w:firstLineChars="200"/>
              <w:jc w:val="both"/>
              <w:rPr>
                <w:rFonts w:ascii="Times New Roman" w:hAnsi="Times New Roman"/>
                <w:color w:val="auto"/>
                <w:kern w:val="0"/>
                <w:sz w:val="24"/>
                <w:lang w:bidi="ar"/>
              </w:rPr>
            </w:pPr>
            <w:r>
              <w:rPr>
                <w:rFonts w:hint="eastAsia" w:ascii="Times New Roman" w:hAnsi="Times New Roman"/>
                <w:color w:val="auto"/>
                <w:kern w:val="0"/>
                <w:sz w:val="24"/>
                <w:lang w:bidi="ar"/>
              </w:rPr>
              <w:t>——环境安全得到有效保障。土壤污染风险管控和安全利用水平巩固提升，固体废物与化学物质环境风险防控能力明显增强，核安全监管持续加强，环境风险得到有效管控。</w:t>
            </w:r>
          </w:p>
          <w:p>
            <w:pPr>
              <w:pStyle w:val="105"/>
              <w:spacing w:line="360" w:lineRule="auto"/>
              <w:ind w:firstLine="480" w:firstLineChars="200"/>
              <w:jc w:val="both"/>
              <w:rPr>
                <w:rFonts w:ascii="Times New Roman" w:hAnsi="Times New Roman"/>
                <w:color w:val="auto"/>
                <w:sz w:val="24"/>
                <w:szCs w:val="24"/>
                <w:lang w:bidi="ar"/>
              </w:rPr>
            </w:pPr>
            <w:r>
              <w:rPr>
                <w:rFonts w:hint="eastAsia" w:ascii="Times New Roman" w:hAnsi="Times New Roman"/>
                <w:color w:val="auto"/>
                <w:sz w:val="24"/>
                <w:szCs w:val="24"/>
                <w:lang w:bidi="ar"/>
              </w:rPr>
              <w:t>——现代环境治理体系进一步健全。生态文明制度改革深入推进，生态环境治理能力突出短板加快补齐，生态环境治理效能得到新提升。</w:t>
            </w:r>
          </w:p>
          <w:p>
            <w:pPr>
              <w:pStyle w:val="105"/>
              <w:spacing w:line="360" w:lineRule="auto"/>
              <w:ind w:firstLine="480" w:firstLineChars="200"/>
              <w:jc w:val="both"/>
              <w:rPr>
                <w:rFonts w:ascii="Times New Roman" w:hAnsi="Times New Roman"/>
                <w:b/>
                <w:color w:val="auto"/>
                <w:sz w:val="24"/>
                <w:szCs w:val="24"/>
                <w:lang w:bidi="ar"/>
              </w:rPr>
            </w:pPr>
            <w:r>
              <w:rPr>
                <w:rFonts w:hint="eastAsia" w:ascii="Times New Roman" w:hAnsi="Times New Roman"/>
                <w:color w:val="auto"/>
                <w:sz w:val="24"/>
                <w:szCs w:val="24"/>
                <w:lang w:bidi="ar"/>
              </w:rPr>
              <w:t>本项目钻井作业均根据环境保护法律、法规及规章政策的要求制定了相应的环境保护措施和污染防治措施，钻井过程的各类污染物按照环境管理部门的要求及集团公司的要求进行处理，做到污染物达标排放，避免重大环境污染事故，严格执行中石油环境保护及生态保护管理制度，完成国家及自治区要求的节能减排考核指标，符合规划要求。</w:t>
            </w:r>
          </w:p>
          <w:p>
            <w:pPr>
              <w:pStyle w:val="33"/>
              <w:jc w:val="both"/>
              <w:rPr>
                <w:rFonts w:ascii="Times New Roman" w:hAnsi="Times New Roman" w:eastAsia="黑体"/>
                <w:snapToGrid w:val="0"/>
                <w:color w:val="auto"/>
                <w:sz w:val="30"/>
                <w:szCs w:val="30"/>
              </w:rPr>
            </w:pPr>
          </w:p>
        </w:tc>
      </w:tr>
    </w:tbl>
    <w:p>
      <w:pPr>
        <w:pStyle w:val="33"/>
        <w:spacing w:before="0" w:beforeAutospacing="0" w:after="0" w:afterAutospacing="0"/>
        <w:ind w:firstLine="244"/>
        <w:jc w:val="center"/>
        <w:outlineLvl w:val="0"/>
        <w:rPr>
          <w:rFonts w:ascii="Times New Roman" w:hAnsi="Times New Roman" w:eastAsia="黑体"/>
          <w:snapToGrid w:val="0"/>
          <w:sz w:val="30"/>
          <w:szCs w:val="30"/>
        </w:rPr>
      </w:pPr>
    </w:p>
    <w:p>
      <w:pPr>
        <w:pStyle w:val="33"/>
        <w:spacing w:before="0" w:beforeAutospacing="0" w:after="0" w:afterAutospacing="0"/>
        <w:ind w:firstLine="24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二、建设内容</w:t>
      </w:r>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9"/>
        <w:gridCol w:w="84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489" w:type="dxa"/>
            <w:vAlign w:val="center"/>
          </w:tcPr>
          <w:p>
            <w:pPr>
              <w:adjustRightInd w:val="0"/>
              <w:snapToGrid w:val="0"/>
              <w:jc w:val="center"/>
              <w:rPr>
                <w:rFonts w:ascii="Times New Roman" w:hAnsi="Times New Roman"/>
                <w:color w:val="auto"/>
                <w:kern w:val="0"/>
                <w:sz w:val="24"/>
              </w:rPr>
            </w:pPr>
            <w:r>
              <w:rPr>
                <w:rFonts w:ascii="Times New Roman" w:hAnsi="Times New Roman"/>
                <w:color w:val="auto"/>
                <w:kern w:val="0"/>
                <w:sz w:val="24"/>
              </w:rPr>
              <w:t>地理位置</w:t>
            </w:r>
          </w:p>
        </w:tc>
        <w:tc>
          <w:tcPr>
            <w:tcW w:w="8459" w:type="dxa"/>
            <w:vAlign w:val="center"/>
          </w:tcPr>
          <w:p>
            <w:pPr>
              <w:adjustRightInd w:val="0"/>
              <w:snapToGrid w:val="0"/>
              <w:spacing w:line="480" w:lineRule="exact"/>
              <w:ind w:firstLine="480" w:firstLineChars="200"/>
              <w:jc w:val="both"/>
              <w:rPr>
                <w:rFonts w:ascii="Times New Roman" w:hAnsi="Times New Roman"/>
                <w:color w:val="auto"/>
                <w:sz w:val="24"/>
              </w:rPr>
            </w:pPr>
            <w:r>
              <w:rPr>
                <w:rFonts w:ascii="Times New Roman" w:hAnsi="Times New Roman"/>
                <w:color w:val="auto"/>
                <w:sz w:val="24"/>
              </w:rPr>
              <w:t>本项目</w:t>
            </w:r>
            <w:r>
              <w:rPr>
                <w:rFonts w:ascii="Times New Roman" w:hAnsi="Times New Roman"/>
                <w:color w:val="auto"/>
                <w:kern w:val="0"/>
                <w:sz w:val="24"/>
              </w:rPr>
              <w:t>位于新疆生产建设兵团第七师123团，行政区划隶属于第七师，春2井区各井口经纬度坐标见表2-3，</w:t>
            </w:r>
            <w:r>
              <w:rPr>
                <w:rFonts w:hint="eastAsia" w:ascii="Times New Roman" w:hAnsi="Times New Roman"/>
                <w:color w:val="auto"/>
                <w:kern w:val="0"/>
                <w:sz w:val="24"/>
              </w:rPr>
              <w:t>本项目现场踏勘照片见附表1，本项目</w:t>
            </w:r>
            <w:r>
              <w:rPr>
                <w:rFonts w:ascii="Times New Roman" w:hAnsi="Times New Roman"/>
                <w:color w:val="auto"/>
                <w:sz w:val="24"/>
              </w:rPr>
              <w:t>地理位置</w:t>
            </w:r>
            <w:r>
              <w:rPr>
                <w:rFonts w:hint="eastAsia" w:ascii="Times New Roman" w:hAnsi="Times New Roman"/>
                <w:color w:val="auto"/>
                <w:sz w:val="24"/>
              </w:rPr>
              <w:t>示意图</w:t>
            </w:r>
            <w:r>
              <w:rPr>
                <w:rFonts w:ascii="Times New Roman" w:hAnsi="Times New Roman"/>
                <w:color w:val="auto"/>
                <w:sz w:val="24"/>
              </w:rPr>
              <w:t>见附图2，本项目与春光联合站位置关系</w:t>
            </w:r>
            <w:r>
              <w:rPr>
                <w:rFonts w:hint="eastAsia" w:ascii="Times New Roman" w:hAnsi="Times New Roman"/>
                <w:color w:val="auto"/>
                <w:sz w:val="24"/>
              </w:rPr>
              <w:t>示意</w:t>
            </w:r>
            <w:r>
              <w:rPr>
                <w:rFonts w:ascii="Times New Roman" w:hAnsi="Times New Roman"/>
                <w:color w:val="auto"/>
                <w:sz w:val="24"/>
              </w:rPr>
              <w:t xml:space="preserve">图见附图3。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89" w:type="dxa"/>
            <w:vAlign w:val="center"/>
          </w:tcPr>
          <w:p>
            <w:pPr>
              <w:adjustRightInd w:val="0"/>
              <w:snapToGrid w:val="0"/>
              <w:jc w:val="center"/>
              <w:rPr>
                <w:rFonts w:ascii="Times New Roman" w:hAnsi="Times New Roman"/>
                <w:color w:val="auto"/>
                <w:kern w:val="0"/>
                <w:sz w:val="24"/>
              </w:rPr>
            </w:pPr>
            <w:r>
              <w:rPr>
                <w:rFonts w:ascii="Times New Roman" w:hAnsi="Times New Roman"/>
                <w:color w:val="auto"/>
                <w:kern w:val="0"/>
                <w:sz w:val="24"/>
              </w:rPr>
              <w:t>项目组成及规模</w:t>
            </w:r>
          </w:p>
        </w:tc>
        <w:tc>
          <w:tcPr>
            <w:tcW w:w="8459" w:type="dxa"/>
            <w:vAlign w:val="center"/>
          </w:tcPr>
          <w:p>
            <w:pPr>
              <w:pStyle w:val="48"/>
              <w:adjustRightInd w:val="0"/>
              <w:snapToGrid w:val="0"/>
              <w:spacing w:line="360" w:lineRule="auto"/>
              <w:ind w:firstLine="482"/>
              <w:jc w:val="both"/>
              <w:rPr>
                <w:rFonts w:ascii="Times New Roman" w:hAnsi="Times New Roman"/>
                <w:b/>
                <w:bCs/>
                <w:color w:val="auto"/>
              </w:rPr>
            </w:pPr>
            <w:r>
              <w:rPr>
                <w:rFonts w:ascii="Times New Roman" w:hAnsi="Times New Roman"/>
                <w:b/>
                <w:bCs/>
                <w:color w:val="auto"/>
              </w:rPr>
              <w:t>1.工程规模及开发方式</w:t>
            </w:r>
          </w:p>
          <w:p>
            <w:pPr>
              <w:pStyle w:val="8"/>
              <w:adjustRightInd w:val="0"/>
              <w:snapToGrid w:val="0"/>
              <w:spacing w:line="360" w:lineRule="auto"/>
              <w:ind w:firstLine="480" w:firstLineChars="200"/>
              <w:jc w:val="both"/>
              <w:rPr>
                <w:rFonts w:ascii="Times New Roman" w:hAnsi="Times New Roman"/>
                <w:color w:val="auto"/>
                <w:kern w:val="20"/>
                <w:sz w:val="24"/>
                <w:szCs w:val="24"/>
                <w:lang w:val="zh-CN"/>
              </w:rPr>
            </w:pPr>
            <w:r>
              <w:rPr>
                <w:rFonts w:ascii="Times New Roman" w:hAnsi="Times New Roman"/>
                <w:snapToGrid w:val="0"/>
                <w:color w:val="auto"/>
                <w:sz w:val="24"/>
                <w:szCs w:val="24"/>
              </w:rPr>
              <w:t>本次拟部署15口采油井，均采用抽油机采油。项目新建产能3.15×10</w:t>
            </w:r>
            <w:r>
              <w:rPr>
                <w:rFonts w:ascii="Times New Roman" w:hAnsi="Times New Roman"/>
                <w:snapToGrid w:val="0"/>
                <w:color w:val="auto"/>
                <w:sz w:val="24"/>
                <w:szCs w:val="24"/>
                <w:vertAlign w:val="superscript"/>
              </w:rPr>
              <w:t>4</w:t>
            </w:r>
            <w:r>
              <w:rPr>
                <w:rFonts w:ascii="Times New Roman" w:hAnsi="Times New Roman"/>
                <w:snapToGrid w:val="0"/>
                <w:color w:val="auto"/>
                <w:sz w:val="24"/>
                <w:szCs w:val="24"/>
              </w:rPr>
              <w:t>t/a</w:t>
            </w:r>
            <w:r>
              <w:rPr>
                <w:rFonts w:ascii="Times New Roman" w:hAnsi="Times New Roman"/>
                <w:color w:val="auto"/>
                <w:sz w:val="24"/>
                <w:szCs w:val="24"/>
              </w:rPr>
              <w:t>，产能预测见表2-1</w:t>
            </w:r>
            <w:r>
              <w:rPr>
                <w:rFonts w:ascii="Times New Roman" w:hAnsi="Times New Roman"/>
                <w:color w:val="auto"/>
                <w:kern w:val="20"/>
                <w:sz w:val="24"/>
                <w:szCs w:val="24"/>
                <w:lang w:val="zh-CN"/>
              </w:rPr>
              <w:t>。</w:t>
            </w:r>
          </w:p>
          <w:p>
            <w:pPr>
              <w:pStyle w:val="74"/>
              <w:adjustRightInd w:val="0"/>
              <w:snapToGrid w:val="0"/>
              <w:spacing w:line="240" w:lineRule="auto"/>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表2-1  产能预测表（10年）</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51"/>
              <w:gridCol w:w="953"/>
              <w:gridCol w:w="895"/>
              <w:gridCol w:w="725"/>
              <w:gridCol w:w="874"/>
              <w:gridCol w:w="874"/>
              <w:gridCol w:w="866"/>
              <w:gridCol w:w="755"/>
              <w:gridCol w:w="958"/>
              <w:gridCol w:w="89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2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年度</w:t>
                  </w:r>
                </w:p>
              </w:tc>
              <w:tc>
                <w:tcPr>
                  <w:tcW w:w="57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井数</w:t>
                  </w:r>
                </w:p>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 xml:space="preserve">（口） </w:t>
                  </w:r>
                </w:p>
              </w:tc>
              <w:tc>
                <w:tcPr>
                  <w:tcW w:w="54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生产时间(d)</w:t>
                  </w:r>
                </w:p>
              </w:tc>
              <w:tc>
                <w:tcPr>
                  <w:tcW w:w="44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日产油(t)</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日产液(t)</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综合含水(%)</w:t>
                  </w:r>
                </w:p>
              </w:tc>
              <w:tc>
                <w:tcPr>
                  <w:tcW w:w="525"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年产液(t)</w:t>
                  </w:r>
                </w:p>
              </w:tc>
              <w:tc>
                <w:tcPr>
                  <w:tcW w:w="45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年产油(t)</w:t>
                  </w:r>
                </w:p>
              </w:tc>
              <w:tc>
                <w:tcPr>
                  <w:tcW w:w="58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累产油  (t)</w:t>
                  </w:r>
                </w:p>
              </w:tc>
              <w:tc>
                <w:tcPr>
                  <w:tcW w:w="54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单井日产油(t)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w:t>
                  </w:r>
                </w:p>
              </w:tc>
              <w:tc>
                <w:tcPr>
                  <w:tcW w:w="57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15</w:t>
                  </w:r>
                </w:p>
              </w:tc>
              <w:tc>
                <w:tcPr>
                  <w:tcW w:w="54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300</w:t>
                  </w:r>
                </w:p>
              </w:tc>
              <w:tc>
                <w:tcPr>
                  <w:tcW w:w="44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105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105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0.0 </w:t>
                  </w:r>
                </w:p>
              </w:tc>
              <w:tc>
                <w:tcPr>
                  <w:tcW w:w="525"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31500 </w:t>
                  </w:r>
                </w:p>
              </w:tc>
              <w:tc>
                <w:tcPr>
                  <w:tcW w:w="45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31500 </w:t>
                  </w:r>
                </w:p>
              </w:tc>
              <w:tc>
                <w:tcPr>
                  <w:tcW w:w="58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31500 </w:t>
                  </w:r>
                </w:p>
              </w:tc>
              <w:tc>
                <w:tcPr>
                  <w:tcW w:w="54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7.0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2</w:t>
                  </w:r>
                </w:p>
              </w:tc>
              <w:tc>
                <w:tcPr>
                  <w:tcW w:w="57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15</w:t>
                  </w:r>
                </w:p>
              </w:tc>
              <w:tc>
                <w:tcPr>
                  <w:tcW w:w="54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300</w:t>
                  </w:r>
                </w:p>
              </w:tc>
              <w:tc>
                <w:tcPr>
                  <w:tcW w:w="44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84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114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26.0 </w:t>
                  </w:r>
                </w:p>
              </w:tc>
              <w:tc>
                <w:tcPr>
                  <w:tcW w:w="525"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34054 </w:t>
                  </w:r>
                </w:p>
              </w:tc>
              <w:tc>
                <w:tcPr>
                  <w:tcW w:w="45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25200 </w:t>
                  </w:r>
                </w:p>
              </w:tc>
              <w:tc>
                <w:tcPr>
                  <w:tcW w:w="58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56700 </w:t>
                  </w:r>
                </w:p>
              </w:tc>
              <w:tc>
                <w:tcPr>
                  <w:tcW w:w="54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5.6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3</w:t>
                  </w:r>
                </w:p>
              </w:tc>
              <w:tc>
                <w:tcPr>
                  <w:tcW w:w="57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15</w:t>
                  </w:r>
                </w:p>
              </w:tc>
              <w:tc>
                <w:tcPr>
                  <w:tcW w:w="54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300</w:t>
                  </w:r>
                </w:p>
              </w:tc>
              <w:tc>
                <w:tcPr>
                  <w:tcW w:w="44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59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120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51.0 </w:t>
                  </w:r>
                </w:p>
              </w:tc>
              <w:tc>
                <w:tcPr>
                  <w:tcW w:w="525"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36000 </w:t>
                  </w:r>
                </w:p>
              </w:tc>
              <w:tc>
                <w:tcPr>
                  <w:tcW w:w="45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17640 </w:t>
                  </w:r>
                </w:p>
              </w:tc>
              <w:tc>
                <w:tcPr>
                  <w:tcW w:w="58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74340 </w:t>
                  </w:r>
                </w:p>
              </w:tc>
              <w:tc>
                <w:tcPr>
                  <w:tcW w:w="54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3.9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4</w:t>
                  </w:r>
                </w:p>
              </w:tc>
              <w:tc>
                <w:tcPr>
                  <w:tcW w:w="57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15</w:t>
                  </w:r>
                </w:p>
              </w:tc>
              <w:tc>
                <w:tcPr>
                  <w:tcW w:w="54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300</w:t>
                  </w:r>
                </w:p>
              </w:tc>
              <w:tc>
                <w:tcPr>
                  <w:tcW w:w="44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44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126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65.0 </w:t>
                  </w:r>
                </w:p>
              </w:tc>
              <w:tc>
                <w:tcPr>
                  <w:tcW w:w="525"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37800 </w:t>
                  </w:r>
                </w:p>
              </w:tc>
              <w:tc>
                <w:tcPr>
                  <w:tcW w:w="45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13230 </w:t>
                  </w:r>
                </w:p>
              </w:tc>
              <w:tc>
                <w:tcPr>
                  <w:tcW w:w="58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87570 </w:t>
                  </w:r>
                </w:p>
              </w:tc>
              <w:tc>
                <w:tcPr>
                  <w:tcW w:w="54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2.9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5</w:t>
                  </w:r>
                </w:p>
              </w:tc>
              <w:tc>
                <w:tcPr>
                  <w:tcW w:w="57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15</w:t>
                  </w:r>
                </w:p>
              </w:tc>
              <w:tc>
                <w:tcPr>
                  <w:tcW w:w="54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300</w:t>
                  </w:r>
                </w:p>
              </w:tc>
              <w:tc>
                <w:tcPr>
                  <w:tcW w:w="44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33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123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73.0 </w:t>
                  </w:r>
                </w:p>
              </w:tc>
              <w:tc>
                <w:tcPr>
                  <w:tcW w:w="525"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36750 </w:t>
                  </w:r>
                </w:p>
              </w:tc>
              <w:tc>
                <w:tcPr>
                  <w:tcW w:w="45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9923 </w:t>
                  </w:r>
                </w:p>
              </w:tc>
              <w:tc>
                <w:tcPr>
                  <w:tcW w:w="58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97493 </w:t>
                  </w:r>
                </w:p>
              </w:tc>
              <w:tc>
                <w:tcPr>
                  <w:tcW w:w="54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2.2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6</w:t>
                  </w:r>
                </w:p>
              </w:tc>
              <w:tc>
                <w:tcPr>
                  <w:tcW w:w="57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15</w:t>
                  </w:r>
                </w:p>
              </w:tc>
              <w:tc>
                <w:tcPr>
                  <w:tcW w:w="54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300</w:t>
                  </w:r>
                </w:p>
              </w:tc>
              <w:tc>
                <w:tcPr>
                  <w:tcW w:w="44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25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118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79.0 </w:t>
                  </w:r>
                </w:p>
              </w:tc>
              <w:tc>
                <w:tcPr>
                  <w:tcW w:w="525"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35438 </w:t>
                  </w:r>
                </w:p>
              </w:tc>
              <w:tc>
                <w:tcPr>
                  <w:tcW w:w="45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7442 </w:t>
                  </w:r>
                </w:p>
              </w:tc>
              <w:tc>
                <w:tcPr>
                  <w:tcW w:w="58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104934 </w:t>
                  </w:r>
                </w:p>
              </w:tc>
              <w:tc>
                <w:tcPr>
                  <w:tcW w:w="54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1.7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7</w:t>
                  </w:r>
                </w:p>
              </w:tc>
              <w:tc>
                <w:tcPr>
                  <w:tcW w:w="57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15</w:t>
                  </w:r>
                </w:p>
              </w:tc>
              <w:tc>
                <w:tcPr>
                  <w:tcW w:w="54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300</w:t>
                  </w:r>
                </w:p>
              </w:tc>
              <w:tc>
                <w:tcPr>
                  <w:tcW w:w="44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20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110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82.0 </w:t>
                  </w:r>
                </w:p>
              </w:tc>
              <w:tc>
                <w:tcPr>
                  <w:tcW w:w="525"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33075 </w:t>
                  </w:r>
                </w:p>
              </w:tc>
              <w:tc>
                <w:tcPr>
                  <w:tcW w:w="45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5954 </w:t>
                  </w:r>
                </w:p>
              </w:tc>
              <w:tc>
                <w:tcPr>
                  <w:tcW w:w="58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110888 </w:t>
                  </w:r>
                </w:p>
              </w:tc>
              <w:tc>
                <w:tcPr>
                  <w:tcW w:w="54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1.3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8</w:t>
                  </w:r>
                </w:p>
              </w:tc>
              <w:tc>
                <w:tcPr>
                  <w:tcW w:w="57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15</w:t>
                  </w:r>
                </w:p>
              </w:tc>
              <w:tc>
                <w:tcPr>
                  <w:tcW w:w="54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300</w:t>
                  </w:r>
                </w:p>
              </w:tc>
              <w:tc>
                <w:tcPr>
                  <w:tcW w:w="44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16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106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85.0 </w:t>
                  </w:r>
                </w:p>
              </w:tc>
              <w:tc>
                <w:tcPr>
                  <w:tcW w:w="525"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31752 </w:t>
                  </w:r>
                </w:p>
              </w:tc>
              <w:tc>
                <w:tcPr>
                  <w:tcW w:w="45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4763 </w:t>
                  </w:r>
                </w:p>
              </w:tc>
              <w:tc>
                <w:tcPr>
                  <w:tcW w:w="58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115651 </w:t>
                  </w:r>
                </w:p>
              </w:tc>
              <w:tc>
                <w:tcPr>
                  <w:tcW w:w="54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1.1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9</w:t>
                  </w:r>
                </w:p>
              </w:tc>
              <w:tc>
                <w:tcPr>
                  <w:tcW w:w="57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15</w:t>
                  </w:r>
                </w:p>
              </w:tc>
              <w:tc>
                <w:tcPr>
                  <w:tcW w:w="54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300</w:t>
                  </w:r>
                </w:p>
              </w:tc>
              <w:tc>
                <w:tcPr>
                  <w:tcW w:w="44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13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106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88.0 </w:t>
                  </w:r>
                </w:p>
              </w:tc>
              <w:tc>
                <w:tcPr>
                  <w:tcW w:w="525"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31752 </w:t>
                  </w:r>
                </w:p>
              </w:tc>
              <w:tc>
                <w:tcPr>
                  <w:tcW w:w="45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3810 </w:t>
                  </w:r>
                </w:p>
              </w:tc>
              <w:tc>
                <w:tcPr>
                  <w:tcW w:w="58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119461 </w:t>
                  </w:r>
                </w:p>
              </w:tc>
              <w:tc>
                <w:tcPr>
                  <w:tcW w:w="54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0.8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274"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10</w:t>
                  </w:r>
                </w:p>
              </w:tc>
              <w:tc>
                <w:tcPr>
                  <w:tcW w:w="57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15</w:t>
                  </w:r>
                </w:p>
              </w:tc>
              <w:tc>
                <w:tcPr>
                  <w:tcW w:w="543"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300</w:t>
                  </w:r>
                </w:p>
              </w:tc>
              <w:tc>
                <w:tcPr>
                  <w:tcW w:w="44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10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102 </w:t>
                  </w:r>
                </w:p>
              </w:tc>
              <w:tc>
                <w:tcPr>
                  <w:tcW w:w="530"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90.0 </w:t>
                  </w:r>
                </w:p>
              </w:tc>
              <w:tc>
                <w:tcPr>
                  <w:tcW w:w="525"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30482 </w:t>
                  </w:r>
                </w:p>
              </w:tc>
              <w:tc>
                <w:tcPr>
                  <w:tcW w:w="458"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3048 </w:t>
                  </w:r>
                </w:p>
              </w:tc>
              <w:tc>
                <w:tcPr>
                  <w:tcW w:w="58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122509 </w:t>
                  </w:r>
                </w:p>
              </w:tc>
              <w:tc>
                <w:tcPr>
                  <w:tcW w:w="541" w:type="pct"/>
                  <w:shd w:val="clear" w:color="auto" w:fill="auto"/>
                  <w:vAlign w:val="center"/>
                </w:tcPr>
                <w:p>
                  <w:pPr>
                    <w:kinsoku w:val="0"/>
                    <w:overflowPunct w:val="0"/>
                    <w:autoSpaceDE w:val="0"/>
                    <w:autoSpaceDN w:val="0"/>
                    <w:adjustRightInd w:val="0"/>
                    <w:snapToGrid w:val="0"/>
                    <w:spacing w:line="240" w:lineRule="exact"/>
                    <w:jc w:val="center"/>
                    <w:rPr>
                      <w:rFonts w:ascii="Times New Roman" w:hAnsi="Times New Roman"/>
                      <w:color w:val="auto"/>
                      <w:kern w:val="0"/>
                      <w:sz w:val="20"/>
                      <w:szCs w:val="21"/>
                    </w:rPr>
                  </w:pPr>
                  <w:r>
                    <w:rPr>
                      <w:rFonts w:ascii="Times New Roman" w:hAnsi="Times New Roman"/>
                      <w:color w:val="auto"/>
                      <w:kern w:val="0"/>
                      <w:sz w:val="20"/>
                      <w:szCs w:val="18"/>
                    </w:rPr>
                    <w:t xml:space="preserve">0.7 </w:t>
                  </w:r>
                </w:p>
              </w:tc>
            </w:tr>
          </w:tbl>
          <w:p>
            <w:pPr>
              <w:pStyle w:val="48"/>
              <w:adjustRightInd w:val="0"/>
              <w:snapToGrid w:val="0"/>
              <w:spacing w:before="120" w:beforeLines="50" w:line="360" w:lineRule="auto"/>
              <w:ind w:firstLine="482"/>
              <w:jc w:val="both"/>
              <w:rPr>
                <w:rFonts w:ascii="Times New Roman" w:hAnsi="Times New Roman"/>
                <w:b/>
                <w:bCs/>
                <w:color w:val="auto"/>
              </w:rPr>
            </w:pPr>
            <w:r>
              <w:rPr>
                <w:rFonts w:ascii="Times New Roman" w:hAnsi="Times New Roman"/>
                <w:b/>
                <w:bCs/>
                <w:color w:val="auto"/>
              </w:rPr>
              <w:t>2．油藏物性</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春2区块</w:t>
            </w:r>
            <w:r>
              <w:rPr>
                <w:rFonts w:ascii="Times New Roman" w:hAnsi="Times New Roman"/>
                <w:bCs/>
                <w:color w:val="auto"/>
                <w:sz w:val="24"/>
              </w:rPr>
              <w:t>N</w:t>
            </w:r>
            <w:r>
              <w:rPr>
                <w:rFonts w:ascii="Times New Roman" w:hAnsi="Times New Roman"/>
                <w:bCs/>
                <w:color w:val="auto"/>
                <w:sz w:val="24"/>
                <w:vertAlign w:val="subscript"/>
              </w:rPr>
              <w:t>1</w:t>
            </w:r>
            <w:r>
              <w:rPr>
                <w:rFonts w:ascii="Times New Roman" w:hAnsi="Times New Roman"/>
                <w:bCs/>
                <w:color w:val="auto"/>
                <w:sz w:val="24"/>
              </w:rPr>
              <w:t>S</w:t>
            </w:r>
            <w:r>
              <w:rPr>
                <w:rFonts w:ascii="Times New Roman" w:hAnsi="Times New Roman"/>
                <w:bCs/>
                <w:color w:val="auto"/>
                <w:sz w:val="24"/>
                <w:vertAlign w:val="subscript"/>
              </w:rPr>
              <w:t>1</w:t>
            </w:r>
            <w:r>
              <w:rPr>
                <w:rFonts w:ascii="Times New Roman" w:hAnsi="Times New Roman"/>
                <w:bCs/>
                <w:color w:val="auto"/>
                <w:sz w:val="24"/>
              </w:rPr>
              <w:t>Ⅱ2</w:t>
            </w:r>
            <w:r>
              <w:rPr>
                <w:rFonts w:ascii="Times New Roman" w:hAnsi="Times New Roman"/>
                <w:color w:val="auto"/>
                <w:sz w:val="24"/>
              </w:rPr>
              <w:t>层油藏地层温度下原油粘度485mPa·s，原油密度为0.9477g/cm</w:t>
            </w:r>
            <w:r>
              <w:rPr>
                <w:rFonts w:ascii="Times New Roman" w:hAnsi="Times New Roman"/>
                <w:color w:val="auto"/>
                <w:sz w:val="24"/>
                <w:vertAlign w:val="superscript"/>
              </w:rPr>
              <w:t>3</w:t>
            </w:r>
            <w:r>
              <w:rPr>
                <w:rFonts w:ascii="Times New Roman" w:hAnsi="Times New Roman"/>
                <w:color w:val="auto"/>
                <w:sz w:val="24"/>
              </w:rPr>
              <w:t>，属于普通稠油。春光油田春2区块油层温度42.4-42.9℃，属正常温度系统。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春2-6区块</w:t>
            </w:r>
            <w:r>
              <w:rPr>
                <w:rFonts w:ascii="Times New Roman" w:hAnsi="Times New Roman"/>
                <w:bCs/>
                <w:color w:val="auto"/>
                <w:sz w:val="24"/>
              </w:rPr>
              <w:t>N</w:t>
            </w:r>
            <w:r>
              <w:rPr>
                <w:rFonts w:ascii="Times New Roman" w:hAnsi="Times New Roman"/>
                <w:bCs/>
                <w:color w:val="auto"/>
                <w:sz w:val="24"/>
                <w:vertAlign w:val="subscript"/>
              </w:rPr>
              <w:t>1</w:t>
            </w:r>
            <w:r>
              <w:rPr>
                <w:rFonts w:ascii="Times New Roman" w:hAnsi="Times New Roman"/>
                <w:bCs/>
                <w:color w:val="auto"/>
                <w:sz w:val="24"/>
              </w:rPr>
              <w:t>S</w:t>
            </w:r>
            <w:r>
              <w:rPr>
                <w:rFonts w:ascii="Times New Roman" w:hAnsi="Times New Roman"/>
                <w:bCs/>
                <w:color w:val="auto"/>
                <w:sz w:val="24"/>
                <w:vertAlign w:val="subscript"/>
              </w:rPr>
              <w:t>1</w:t>
            </w:r>
            <w:r>
              <w:rPr>
                <w:rFonts w:ascii="Times New Roman" w:hAnsi="Times New Roman"/>
                <w:bCs/>
                <w:color w:val="auto"/>
                <w:sz w:val="24"/>
              </w:rPr>
              <w:t>Ⅱ2</w:t>
            </w:r>
            <w:r>
              <w:rPr>
                <w:rFonts w:ascii="Times New Roman" w:hAnsi="Times New Roman"/>
                <w:color w:val="auto"/>
                <w:sz w:val="24"/>
              </w:rPr>
              <w:t>层油藏地层温度下原油粘度998mPa·s，原油密度为0.9649g/cm</w:t>
            </w:r>
            <w:r>
              <w:rPr>
                <w:rFonts w:ascii="Times New Roman" w:hAnsi="Times New Roman"/>
                <w:color w:val="auto"/>
                <w:sz w:val="24"/>
                <w:vertAlign w:val="superscript"/>
              </w:rPr>
              <w:t>3</w:t>
            </w:r>
            <w:r>
              <w:rPr>
                <w:rFonts w:ascii="Times New Roman" w:hAnsi="Times New Roman"/>
                <w:color w:val="auto"/>
                <w:sz w:val="24"/>
              </w:rPr>
              <w:t>，属于普通稠油。春光油田春2-6区块油层温度45.2-45.8℃，属正常温度系统。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春99区块</w:t>
            </w:r>
            <w:r>
              <w:rPr>
                <w:rFonts w:ascii="Times New Roman" w:hAnsi="Times New Roman"/>
                <w:bCs/>
                <w:color w:val="auto"/>
                <w:sz w:val="24"/>
              </w:rPr>
              <w:t>N</w:t>
            </w:r>
            <w:r>
              <w:rPr>
                <w:rFonts w:ascii="Times New Roman" w:hAnsi="Times New Roman"/>
                <w:bCs/>
                <w:color w:val="auto"/>
                <w:sz w:val="24"/>
                <w:vertAlign w:val="subscript"/>
              </w:rPr>
              <w:t>1</w:t>
            </w:r>
            <w:r>
              <w:rPr>
                <w:rFonts w:ascii="Times New Roman" w:hAnsi="Times New Roman"/>
                <w:bCs/>
                <w:color w:val="auto"/>
                <w:sz w:val="24"/>
              </w:rPr>
              <w:t>S</w:t>
            </w:r>
            <w:r>
              <w:rPr>
                <w:rFonts w:ascii="Times New Roman" w:hAnsi="Times New Roman"/>
                <w:bCs/>
                <w:color w:val="auto"/>
                <w:sz w:val="24"/>
                <w:vertAlign w:val="subscript"/>
              </w:rPr>
              <w:t>1</w:t>
            </w:r>
            <w:r>
              <w:rPr>
                <w:rFonts w:ascii="Times New Roman" w:hAnsi="Times New Roman"/>
                <w:bCs/>
                <w:color w:val="auto"/>
                <w:sz w:val="24"/>
              </w:rPr>
              <w:t>Ⅰ3小层</w:t>
            </w:r>
            <w:r>
              <w:rPr>
                <w:rFonts w:ascii="Times New Roman" w:hAnsi="Times New Roman"/>
                <w:color w:val="auto"/>
                <w:sz w:val="24"/>
              </w:rPr>
              <w:t>油藏地层温度下原油粘度352mPa·s，原油密度为0.9473g/cm</w:t>
            </w:r>
            <w:r>
              <w:rPr>
                <w:rFonts w:ascii="Times New Roman" w:hAnsi="Times New Roman"/>
                <w:color w:val="auto"/>
                <w:sz w:val="24"/>
                <w:vertAlign w:val="superscript"/>
              </w:rPr>
              <w:t>3</w:t>
            </w:r>
            <w:r>
              <w:rPr>
                <w:rFonts w:ascii="Times New Roman" w:hAnsi="Times New Roman"/>
                <w:color w:val="auto"/>
                <w:sz w:val="24"/>
              </w:rPr>
              <w:t>，属于普通稠油。春光油田春99区块油层温度43.5-43.8℃，属正常温度系统。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排19-1区块</w:t>
            </w:r>
            <w:r>
              <w:rPr>
                <w:rFonts w:ascii="Times New Roman" w:hAnsi="Times New Roman"/>
                <w:bCs/>
                <w:color w:val="auto"/>
                <w:sz w:val="24"/>
              </w:rPr>
              <w:t>N</w:t>
            </w:r>
            <w:r>
              <w:rPr>
                <w:rFonts w:ascii="Times New Roman" w:hAnsi="Times New Roman"/>
                <w:bCs/>
                <w:color w:val="auto"/>
                <w:sz w:val="24"/>
                <w:vertAlign w:val="subscript"/>
              </w:rPr>
              <w:t>1</w:t>
            </w:r>
            <w:r>
              <w:rPr>
                <w:rFonts w:ascii="Times New Roman" w:hAnsi="Times New Roman"/>
                <w:bCs/>
                <w:color w:val="auto"/>
                <w:sz w:val="24"/>
              </w:rPr>
              <w:t>S</w:t>
            </w:r>
            <w:r>
              <w:rPr>
                <w:rFonts w:ascii="Times New Roman" w:hAnsi="Times New Roman"/>
                <w:bCs/>
                <w:color w:val="auto"/>
                <w:sz w:val="24"/>
                <w:vertAlign w:val="subscript"/>
              </w:rPr>
              <w:t>1</w:t>
            </w:r>
            <w:r>
              <w:rPr>
                <w:rFonts w:ascii="Times New Roman" w:hAnsi="Times New Roman"/>
                <w:bCs/>
                <w:color w:val="auto"/>
                <w:sz w:val="24"/>
              </w:rPr>
              <w:t>Ⅳ1</w:t>
            </w:r>
            <w:r>
              <w:rPr>
                <w:rFonts w:ascii="Times New Roman" w:hAnsi="Times New Roman"/>
                <w:color w:val="auto"/>
                <w:sz w:val="24"/>
              </w:rPr>
              <w:t>小层油藏地层温度下原油粘度823.8mPa·s，原油密度为0.9658g/cm</w:t>
            </w:r>
            <w:r>
              <w:rPr>
                <w:rFonts w:ascii="Times New Roman" w:hAnsi="Times New Roman"/>
                <w:color w:val="auto"/>
                <w:sz w:val="24"/>
                <w:vertAlign w:val="superscript"/>
              </w:rPr>
              <w:t>3</w:t>
            </w:r>
            <w:r>
              <w:rPr>
                <w:rFonts w:ascii="Times New Roman" w:hAnsi="Times New Roman"/>
                <w:color w:val="auto"/>
                <w:sz w:val="24"/>
              </w:rPr>
              <w:t>，属于普通稠油。春光油田排19-1区块油层温度40.2-40.6℃，属正常温度系统。</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春光油田春2井区油藏不产伴生气，地层水型为CaCl</w:t>
            </w:r>
            <w:r>
              <w:rPr>
                <w:rFonts w:ascii="Times New Roman" w:hAnsi="Times New Roman"/>
                <w:color w:val="auto"/>
                <w:vertAlign w:val="subscript"/>
              </w:rPr>
              <w:t>2</w:t>
            </w:r>
            <w:r>
              <w:rPr>
                <w:rFonts w:ascii="Times New Roman" w:hAnsi="Times New Roman"/>
                <w:color w:val="auto"/>
              </w:rPr>
              <w:t>水型，Cl</w:t>
            </w:r>
            <w:r>
              <w:rPr>
                <w:rFonts w:ascii="Times New Roman" w:hAnsi="Times New Roman"/>
                <w:color w:val="auto"/>
                <w:vertAlign w:val="superscript"/>
              </w:rPr>
              <w:noBreakHyphen/>
            </w:r>
            <w:r>
              <w:rPr>
                <w:rFonts w:ascii="Times New Roman" w:hAnsi="Times New Roman"/>
                <w:color w:val="auto"/>
              </w:rPr>
              <w:t>含量为51418mg/L，总矿化度86676mg/L，pH值7.9。</w:t>
            </w:r>
          </w:p>
          <w:p>
            <w:pPr>
              <w:pStyle w:val="48"/>
              <w:adjustRightInd w:val="0"/>
              <w:snapToGrid w:val="0"/>
              <w:spacing w:line="360" w:lineRule="auto"/>
              <w:ind w:firstLine="482"/>
              <w:jc w:val="both"/>
              <w:rPr>
                <w:rFonts w:ascii="Times New Roman" w:hAnsi="Times New Roman"/>
                <w:b/>
                <w:bCs/>
                <w:color w:val="auto"/>
              </w:rPr>
            </w:pPr>
            <w:r>
              <w:rPr>
                <w:rFonts w:ascii="Times New Roman" w:hAnsi="Times New Roman"/>
                <w:b/>
                <w:bCs/>
                <w:color w:val="auto"/>
              </w:rPr>
              <w:t>3. 项目组成</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项目包括六部分建设内容：</w:t>
            </w:r>
          </w:p>
          <w:p>
            <w:pPr>
              <w:pStyle w:val="48"/>
              <w:numPr>
                <w:ilvl w:val="0"/>
                <w:numId w:val="3"/>
              </w:numPr>
              <w:adjustRightInd w:val="0"/>
              <w:snapToGrid w:val="0"/>
              <w:spacing w:line="360" w:lineRule="auto"/>
              <w:ind w:firstLine="480"/>
              <w:jc w:val="both"/>
              <w:rPr>
                <w:rFonts w:ascii="Times New Roman" w:hAnsi="Times New Roman"/>
                <w:color w:val="auto"/>
              </w:rPr>
            </w:pPr>
            <w:r>
              <w:rPr>
                <w:rFonts w:ascii="Times New Roman" w:hAnsi="Times New Roman"/>
                <w:color w:val="auto"/>
              </w:rPr>
              <w:t>主体工程：</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①钻前工程：包括井场、道路、放喷管线等设施的建设，各井场均不新建生活营地。</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snapToGrid w:val="0"/>
                <w:color w:val="auto"/>
              </w:rPr>
              <w:t>②钻井工程：新钻采油井15口；井身结构示意图见附图4，合计钻井进尺1.49×10</w:t>
            </w:r>
            <w:r>
              <w:rPr>
                <w:rFonts w:ascii="Times New Roman" w:hAnsi="Times New Roman"/>
                <w:snapToGrid w:val="0"/>
                <w:color w:val="auto"/>
                <w:vertAlign w:val="superscript"/>
              </w:rPr>
              <w:t>4</w:t>
            </w:r>
            <w:r>
              <w:rPr>
                <w:rFonts w:ascii="Times New Roman" w:hAnsi="Times New Roman"/>
                <w:snapToGrid w:val="0"/>
                <w:color w:val="auto"/>
              </w:rPr>
              <w:t>m。</w:t>
            </w:r>
          </w:p>
          <w:p>
            <w:pPr>
              <w:adjustRightInd w:val="0"/>
              <w:spacing w:line="360" w:lineRule="auto"/>
              <w:ind w:firstLine="480" w:firstLineChars="200"/>
              <w:jc w:val="both"/>
              <w:rPr>
                <w:rFonts w:ascii="Times New Roman" w:hAnsi="Times New Roman"/>
                <w:snapToGrid w:val="0"/>
                <w:color w:val="auto"/>
                <w:sz w:val="24"/>
              </w:rPr>
            </w:pPr>
            <w:r>
              <w:rPr>
                <w:rFonts w:ascii="Times New Roman" w:hAnsi="Times New Roman"/>
                <w:snapToGrid w:val="0"/>
                <w:color w:val="auto"/>
                <w:sz w:val="24"/>
              </w:rPr>
              <w:t>③集油工程：新建采油井15口，配置15套抽油机及基础、采油树及井口装置；采用单井拉油，原</w:t>
            </w:r>
            <w:r>
              <w:rPr>
                <w:rFonts w:ascii="Times New Roman" w:hAnsi="Times New Roman"/>
                <w:color w:val="auto"/>
                <w:sz w:val="24"/>
              </w:rPr>
              <w:t>油进该井的高架罐生产，采用油井示功图计量+</w:t>
            </w:r>
            <w:r>
              <w:rPr>
                <w:rFonts w:ascii="Times New Roman" w:hAnsi="Times New Roman"/>
                <w:color w:val="auto"/>
                <w:sz w:val="24"/>
                <w:lang w:val="zh-CN"/>
              </w:rPr>
              <w:t>撬装</w:t>
            </w:r>
            <w:r>
              <w:rPr>
                <w:rFonts w:ascii="Times New Roman" w:hAnsi="Times New Roman"/>
                <w:color w:val="auto"/>
                <w:sz w:val="24"/>
              </w:rPr>
              <w:t>标定车量油、单管集输串接模式，</w:t>
            </w:r>
            <w:r>
              <w:rPr>
                <w:rFonts w:ascii="Times New Roman" w:hAnsi="Times New Roman"/>
                <w:snapToGrid w:val="0"/>
                <w:color w:val="auto"/>
                <w:sz w:val="24"/>
              </w:rPr>
              <w:t>新建单井集输管线1.5km（利旧油管Ф73×5.51，黄夹克泡沫保温、内衬陶瓷）。</w:t>
            </w:r>
          </w:p>
          <w:p>
            <w:pPr>
              <w:numPr>
                <w:ilvl w:val="0"/>
                <w:numId w:val="3"/>
              </w:numPr>
              <w:adjustRightInd w:val="0"/>
              <w:spacing w:line="360" w:lineRule="auto"/>
              <w:ind w:firstLine="480" w:firstLineChars="200"/>
              <w:jc w:val="both"/>
              <w:rPr>
                <w:rFonts w:ascii="Times New Roman" w:hAnsi="Times New Roman"/>
                <w:snapToGrid w:val="0"/>
                <w:color w:val="auto"/>
                <w:sz w:val="24"/>
              </w:rPr>
            </w:pPr>
            <w:r>
              <w:rPr>
                <w:rFonts w:ascii="Times New Roman" w:hAnsi="Times New Roman"/>
                <w:snapToGrid w:val="0"/>
                <w:color w:val="auto"/>
                <w:sz w:val="24"/>
              </w:rPr>
              <w:t>辅助工程</w:t>
            </w:r>
          </w:p>
          <w:p>
            <w:pPr>
              <w:adjustRightInd w:val="0"/>
              <w:spacing w:line="360" w:lineRule="auto"/>
              <w:ind w:left="420" w:leftChars="200"/>
              <w:jc w:val="both"/>
              <w:rPr>
                <w:rFonts w:ascii="Times New Roman" w:hAnsi="Times New Roman"/>
                <w:snapToGrid w:val="0"/>
                <w:color w:val="auto"/>
                <w:sz w:val="24"/>
              </w:rPr>
            </w:pPr>
            <w:r>
              <w:rPr>
                <w:rFonts w:ascii="Times New Roman" w:hAnsi="Times New Roman"/>
                <w:color w:val="auto"/>
                <w:kern w:val="0"/>
                <w:sz w:val="24"/>
              </w:rPr>
              <w:t>包括钳工房、录井房、配电房、发电房等。</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（3）公用工程</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建设给排水、供配电、道路、消防、通信等配套工程。</w:t>
            </w:r>
          </w:p>
          <w:p>
            <w:pPr>
              <w:pStyle w:val="48"/>
              <w:adjustRightInd w:val="0"/>
              <w:snapToGrid w:val="0"/>
              <w:spacing w:line="360" w:lineRule="auto"/>
              <w:ind w:left="420" w:leftChars="200" w:firstLine="0" w:firstLineChars="0"/>
              <w:jc w:val="both"/>
              <w:rPr>
                <w:rFonts w:ascii="Times New Roman" w:hAnsi="Times New Roman"/>
                <w:color w:val="auto"/>
              </w:rPr>
            </w:pPr>
            <w:r>
              <w:rPr>
                <w:rFonts w:ascii="Times New Roman" w:hAnsi="Times New Roman"/>
                <w:color w:val="auto"/>
              </w:rPr>
              <w:t>（4）储运工程</w:t>
            </w:r>
          </w:p>
          <w:p>
            <w:pPr>
              <w:pStyle w:val="48"/>
              <w:adjustRightInd w:val="0"/>
              <w:snapToGrid w:val="0"/>
              <w:spacing w:line="360" w:lineRule="auto"/>
              <w:ind w:firstLine="480"/>
              <w:jc w:val="both"/>
              <w:rPr>
                <w:rFonts w:ascii="Times New Roman" w:hAnsi="Times New Roman"/>
                <w:color w:val="auto"/>
                <w:kern w:val="0"/>
              </w:rPr>
            </w:pPr>
            <w:r>
              <w:rPr>
                <w:rFonts w:ascii="Times New Roman" w:hAnsi="Times New Roman"/>
                <w:color w:val="auto"/>
                <w:kern w:val="0"/>
              </w:rPr>
              <w:t>包含各类罐区（净化罐、套装水罐、岩屑收集罐、油水罐）</w:t>
            </w:r>
            <w:r>
              <w:rPr>
                <w:rFonts w:hint="eastAsia" w:ascii="Times New Roman" w:hAnsi="Times New Roman"/>
                <w:color w:val="auto"/>
                <w:kern w:val="0"/>
              </w:rPr>
              <w:t>、</w:t>
            </w:r>
            <w:r>
              <w:rPr>
                <w:rFonts w:ascii="Times New Roman" w:hAnsi="Times New Roman"/>
                <w:color w:val="auto"/>
                <w:kern w:val="0"/>
              </w:rPr>
              <w:t>柴油</w:t>
            </w:r>
            <w:r>
              <w:rPr>
                <w:rFonts w:hint="eastAsia" w:ascii="Times New Roman" w:hAnsi="Times New Roman"/>
                <w:color w:val="auto"/>
                <w:kern w:val="0"/>
              </w:rPr>
              <w:t>桶</w:t>
            </w:r>
            <w:r>
              <w:rPr>
                <w:rFonts w:ascii="Times New Roman" w:hAnsi="Times New Roman"/>
                <w:color w:val="auto"/>
                <w:kern w:val="0"/>
              </w:rPr>
              <w:t>、钻井液不落地一体化设备等。</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每口井井场道路长约200m，按3.5m宽泥结碎石路考虑，征地6.0m宽，井场道路征地1200m</w:t>
            </w:r>
            <w:r>
              <w:rPr>
                <w:rFonts w:ascii="Times New Roman" w:hAnsi="Times New Roman"/>
                <w:color w:val="auto"/>
                <w:sz w:val="24"/>
                <w:vertAlign w:val="superscript"/>
              </w:rPr>
              <w:t>2</w:t>
            </w:r>
            <w:r>
              <w:rPr>
                <w:rFonts w:ascii="Times New Roman" w:hAnsi="Times New Roman"/>
                <w:color w:val="auto"/>
                <w:sz w:val="24"/>
              </w:rPr>
              <w:t>；井场道路铺筑700m</w:t>
            </w:r>
            <w:r>
              <w:rPr>
                <w:rFonts w:ascii="Times New Roman" w:hAnsi="Times New Roman"/>
                <w:color w:val="auto"/>
                <w:sz w:val="24"/>
                <w:vertAlign w:val="superscript"/>
              </w:rPr>
              <w:t>2</w:t>
            </w:r>
            <w:r>
              <w:rPr>
                <w:rFonts w:ascii="Times New Roman" w:hAnsi="Times New Roman"/>
                <w:color w:val="auto"/>
                <w:sz w:val="24"/>
              </w:rPr>
              <w:t>，进高架罐单井井场内铺筑1250m</w:t>
            </w:r>
            <w:r>
              <w:rPr>
                <w:rFonts w:ascii="Times New Roman" w:hAnsi="Times New Roman"/>
                <w:color w:val="auto"/>
                <w:sz w:val="24"/>
                <w:vertAlign w:val="superscript"/>
              </w:rPr>
              <w:t>2</w:t>
            </w:r>
            <w:r>
              <w:rPr>
                <w:rFonts w:ascii="Times New Roman" w:hAnsi="Times New Roman"/>
                <w:color w:val="auto"/>
                <w:sz w:val="24"/>
              </w:rPr>
              <w:t>。每口井场四周设置围栏，设置6.0m宽大门1座。每口井场增加1套井号及警示牌。</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（5）环保工程</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本项目施工期材料及临时土方采用防尘布覆盖，逸散性材料运输用苫布遮盖；钻井期钻井岩屑采用不落地技术处置。运营期井区无废水外排，集输采用密闭技术工艺，采用低噪声设备并对高噪声设备采取基础减振和隔声等降噪措施；修井及井下作业过程铺设防渗膜。</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w:t>
            </w:r>
            <w:r>
              <w:rPr>
                <w:rFonts w:hint="eastAsia" w:ascii="Times New Roman" w:hAnsi="Times New Roman"/>
                <w:color w:val="auto"/>
              </w:rPr>
              <w:t>6</w:t>
            </w:r>
            <w:r>
              <w:rPr>
                <w:rFonts w:ascii="Times New Roman" w:hAnsi="Times New Roman"/>
                <w:color w:val="auto"/>
              </w:rPr>
              <w:t>）依托工程</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本项目采出物由罐车拉运至春光联合站，井下作业废水和采出液均依托春光联合站处理系统处理。项目组成一览表见表2-2。</w:t>
            </w:r>
          </w:p>
          <w:p>
            <w:pPr>
              <w:pStyle w:val="48"/>
              <w:adjustRightInd w:val="0"/>
              <w:snapToGrid w:val="0"/>
              <w:spacing w:line="240" w:lineRule="auto"/>
              <w:ind w:firstLine="422"/>
              <w:jc w:val="center"/>
              <w:rPr>
                <w:rFonts w:ascii="Times New Roman" w:hAnsi="Times New Roman"/>
                <w:b/>
                <w:bCs/>
                <w:color w:val="auto"/>
              </w:rPr>
            </w:pPr>
            <w:r>
              <w:rPr>
                <w:rFonts w:ascii="Times New Roman" w:hAnsi="Times New Roman"/>
                <w:b/>
                <w:bCs/>
                <w:color w:val="auto"/>
                <w:sz w:val="21"/>
                <w:szCs w:val="21"/>
              </w:rPr>
              <w:t>表2-2 项目组成一览表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71"/>
              <w:gridCol w:w="621"/>
              <w:gridCol w:w="570"/>
              <w:gridCol w:w="1507"/>
              <w:gridCol w:w="828"/>
              <w:gridCol w:w="38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164" w:type="pct"/>
                  <w:gridSpan w:val="4"/>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工程类别</w:t>
                  </w:r>
                </w:p>
              </w:tc>
              <w:tc>
                <w:tcPr>
                  <w:tcW w:w="2835"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规模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主体</w:t>
                  </w:r>
                </w:p>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工程</w:t>
                  </w:r>
                </w:p>
              </w:tc>
              <w:tc>
                <w:tcPr>
                  <w:tcW w:w="1635" w:type="pct"/>
                  <w:gridSpan w:val="3"/>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钻前工程</w:t>
                  </w:r>
                </w:p>
              </w:tc>
              <w:tc>
                <w:tcPr>
                  <w:tcW w:w="2835"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szCs w:val="21"/>
                    </w:rPr>
                    <w:t>新建井场、放喷管线、探临道路等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722"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钻井工程</w:t>
                  </w:r>
                </w:p>
              </w:tc>
              <w:tc>
                <w:tcPr>
                  <w:tcW w:w="913"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采油井</w:t>
                  </w:r>
                </w:p>
              </w:tc>
              <w:tc>
                <w:tcPr>
                  <w:tcW w:w="502" w:type="pct"/>
                  <w:shd w:val="clear" w:color="auto" w:fill="auto"/>
                  <w:vAlign w:val="center"/>
                </w:tcPr>
                <w:p>
                  <w:pPr>
                    <w:overflowPunct w:val="0"/>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15口</w:t>
                  </w:r>
                </w:p>
              </w:tc>
              <w:tc>
                <w:tcPr>
                  <w:tcW w:w="2332" w:type="pct"/>
                  <w:shd w:val="clear" w:color="auto" w:fill="auto"/>
                  <w:vAlign w:val="center"/>
                </w:tcPr>
                <w:p>
                  <w:pPr>
                    <w:pStyle w:val="8"/>
                    <w:adjustRightInd w:val="0"/>
                    <w:snapToGrid w:val="0"/>
                    <w:spacing w:line="300" w:lineRule="exact"/>
                    <w:ind w:firstLine="0"/>
                    <w:jc w:val="center"/>
                    <w:rPr>
                      <w:rFonts w:ascii="Times New Roman" w:hAnsi="Times New Roman"/>
                      <w:color w:val="auto"/>
                      <w:szCs w:val="21"/>
                    </w:rPr>
                  </w:pPr>
                  <w:r>
                    <w:rPr>
                      <w:rFonts w:ascii="Times New Roman" w:hAnsi="Times New Roman"/>
                      <w:color w:val="auto"/>
                      <w:szCs w:val="21"/>
                    </w:rPr>
                    <w:t>合计钻井进尺为</w:t>
                  </w:r>
                  <w:r>
                    <w:rPr>
                      <w:rFonts w:ascii="Times New Roman" w:hAnsi="Times New Roman"/>
                      <w:snapToGrid w:val="0"/>
                      <w:color w:val="auto"/>
                      <w:szCs w:val="21"/>
                    </w:rPr>
                    <w:t>1.49×10</w:t>
                  </w:r>
                  <w:r>
                    <w:rPr>
                      <w:rFonts w:ascii="Times New Roman" w:hAnsi="Times New Roman"/>
                      <w:snapToGrid w:val="0"/>
                      <w:color w:val="auto"/>
                      <w:szCs w:val="21"/>
                      <w:vertAlign w:val="superscript"/>
                    </w:rPr>
                    <w:t>4</w:t>
                  </w:r>
                  <w:r>
                    <w:rPr>
                      <w:rFonts w:ascii="Times New Roman" w:hAnsi="Times New Roman"/>
                      <w:snapToGrid w:val="0"/>
                      <w:color w:val="auto"/>
                      <w:szCs w:val="21"/>
                    </w:rPr>
                    <w:t>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722" w:type="pct"/>
                  <w:gridSpan w:val="2"/>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地面工程</w:t>
                  </w:r>
                </w:p>
              </w:tc>
              <w:tc>
                <w:tcPr>
                  <w:tcW w:w="913"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井口装置</w:t>
                  </w:r>
                </w:p>
              </w:tc>
              <w:tc>
                <w:tcPr>
                  <w:tcW w:w="502"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15座</w:t>
                  </w:r>
                </w:p>
              </w:tc>
              <w:tc>
                <w:tcPr>
                  <w:tcW w:w="2332"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15座采油井井口装置，春2区块、春2-6区块、排19-1区块采用CYJ8-3-37HB型抽油，春99区块采用CYJ10-4.2-53HB型抽油。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722" w:type="pct"/>
                  <w:gridSpan w:val="2"/>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913"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单井集输管线</w:t>
                  </w:r>
                </w:p>
              </w:tc>
              <w:tc>
                <w:tcPr>
                  <w:tcW w:w="502"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1.5km</w:t>
                  </w:r>
                </w:p>
              </w:tc>
              <w:tc>
                <w:tcPr>
                  <w:tcW w:w="2332"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利用旧油管Φ73×5.51，管线考虑内衬陶瓷；管线均采用黄夹克泡沫塑料保温。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722" w:type="pct"/>
                  <w:gridSpan w:val="2"/>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913"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高架罐</w:t>
                  </w:r>
                </w:p>
              </w:tc>
              <w:tc>
                <w:tcPr>
                  <w:tcW w:w="502"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5座</w:t>
                  </w:r>
                </w:p>
              </w:tc>
              <w:tc>
                <w:tcPr>
                  <w:tcW w:w="2332" w:type="pct"/>
                  <w:shd w:val="clear" w:color="auto" w:fill="auto"/>
                  <w:vAlign w:val="center"/>
                </w:tcPr>
                <w:p>
                  <w:pPr>
                    <w:overflowPunct w:val="0"/>
                    <w:adjustRightInd w:val="0"/>
                    <w:snapToGrid w:val="0"/>
                    <w:spacing w:line="300" w:lineRule="exact"/>
                    <w:jc w:val="center"/>
                    <w:rPr>
                      <w:rFonts w:ascii="Times New Roman" w:hAnsi="Times New Roman"/>
                      <w:color w:val="auto"/>
                      <w:szCs w:val="21"/>
                    </w:rPr>
                  </w:pPr>
                  <w:r>
                    <w:rPr>
                      <w:rFonts w:ascii="Times New Roman" w:hAnsi="Times New Roman"/>
                      <w:color w:val="auto"/>
                      <w:kern w:val="0"/>
                      <w:szCs w:val="21"/>
                    </w:rPr>
                    <w:t>50 m</w:t>
                  </w:r>
                  <w:r>
                    <w:rPr>
                      <w:rFonts w:ascii="Times New Roman" w:hAnsi="Times New Roman"/>
                      <w:color w:val="auto"/>
                      <w:kern w:val="0"/>
                      <w:szCs w:val="21"/>
                      <w:vertAlign w:val="superscript"/>
                    </w:rPr>
                    <w:t>3</w:t>
                  </w:r>
                  <w:r>
                    <w:rPr>
                      <w:rFonts w:ascii="Times New Roman" w:hAnsi="Times New Roman"/>
                      <w:color w:val="auto"/>
                      <w:kern w:val="0"/>
                      <w:szCs w:val="21"/>
                    </w:rPr>
                    <w:t>/座</w:t>
                  </w:r>
                  <w:r>
                    <w:rPr>
                      <w:rFonts w:hint="eastAsia" w:ascii="Times New Roman" w:hAnsi="Times New Roman"/>
                      <w:color w:val="auto"/>
                      <w:kern w:val="0"/>
                      <w:szCs w:val="21"/>
                    </w:rPr>
                    <w:t>，其中：高架罐</w:t>
                  </w:r>
                  <w:r>
                    <w:rPr>
                      <w:rFonts w:ascii="Times New Roman" w:hAnsi="Times New Roman"/>
                      <w:color w:val="auto"/>
                      <w:kern w:val="0"/>
                      <w:szCs w:val="21"/>
                    </w:rPr>
                    <w:t>利旧</w:t>
                  </w:r>
                  <w:r>
                    <w:rPr>
                      <w:rFonts w:hint="eastAsia" w:ascii="Times New Roman" w:hAnsi="Times New Roman"/>
                      <w:color w:val="auto"/>
                      <w:kern w:val="0"/>
                      <w:szCs w:val="21"/>
                    </w:rPr>
                    <w:t>，</w:t>
                  </w:r>
                  <w:r>
                    <w:rPr>
                      <w:rFonts w:ascii="Times New Roman" w:hAnsi="Times New Roman"/>
                      <w:color w:val="auto"/>
                      <w:kern w:val="0"/>
                      <w:szCs w:val="21"/>
                    </w:rPr>
                    <w:t>基础新建</w:t>
                  </w:r>
                  <w:r>
                    <w:rPr>
                      <w:rFonts w:hint="eastAsia" w:ascii="Times New Roman" w:hAnsi="Times New Roman"/>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辅助</w:t>
                  </w:r>
                </w:p>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工程</w:t>
                  </w:r>
                </w:p>
              </w:tc>
              <w:tc>
                <w:tcPr>
                  <w:tcW w:w="4471" w:type="pct"/>
                  <w:gridSpan w:val="5"/>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值班房、钳工房、录井房、配电房、发电房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公用</w:t>
                  </w:r>
                </w:p>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 xml:space="preserve">工程 </w:t>
                  </w:r>
                </w:p>
              </w:tc>
              <w:tc>
                <w:tcPr>
                  <w:tcW w:w="1635" w:type="pct"/>
                  <w:gridSpan w:val="3"/>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给排水</w:t>
                  </w:r>
                </w:p>
              </w:tc>
              <w:tc>
                <w:tcPr>
                  <w:tcW w:w="2835"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给水：施工期用水主要为钻井液配置用水、固井水泥配置用水、管道试压用水，运营期用水主要为井下作业用水，</w:t>
                  </w:r>
                  <w:r>
                    <w:rPr>
                      <w:rFonts w:ascii="Times New Roman" w:hAnsi="Times New Roman"/>
                      <w:color w:val="auto"/>
                      <w:szCs w:val="21"/>
                    </w:rPr>
                    <w:t>采用罐车拉水的方式给各用水点进行供水。</w:t>
                  </w:r>
                </w:p>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排水：施工期排水为管道试压废水，用于洒水降尘，井下作业废水由罐车送至春光联合站采出水处理系统处理。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635" w:type="pct"/>
                  <w:gridSpan w:val="3"/>
                  <w:shd w:val="clear" w:color="auto" w:fill="auto"/>
                  <w:vAlign w:val="center"/>
                </w:tcPr>
                <w:p>
                  <w:pPr>
                    <w:pStyle w:val="48"/>
                    <w:adjustRightInd w:val="0"/>
                    <w:snapToGrid w:val="0"/>
                    <w:spacing w:line="300" w:lineRule="exact"/>
                    <w:ind w:firstLine="0" w:firstLineChars="0"/>
                    <w:jc w:val="center"/>
                    <w:rPr>
                      <w:rFonts w:ascii="Times New Roman" w:hAnsi="Times New Roman"/>
                      <w:color w:val="auto"/>
                      <w:sz w:val="21"/>
                      <w:szCs w:val="21"/>
                    </w:rPr>
                  </w:pPr>
                  <w:r>
                    <w:rPr>
                      <w:rFonts w:ascii="Times New Roman" w:hAnsi="Times New Roman"/>
                      <w:color w:val="auto"/>
                      <w:kern w:val="0"/>
                      <w:sz w:val="21"/>
                      <w:szCs w:val="21"/>
                    </w:rPr>
                    <w:t>供配电</w:t>
                  </w:r>
                </w:p>
              </w:tc>
              <w:tc>
                <w:tcPr>
                  <w:tcW w:w="2835" w:type="pct"/>
                  <w:gridSpan w:val="2"/>
                  <w:shd w:val="clear" w:color="auto" w:fill="auto"/>
                  <w:vAlign w:val="center"/>
                </w:tcPr>
                <w:p>
                  <w:pPr>
                    <w:spacing w:line="276" w:lineRule="auto"/>
                    <w:jc w:val="center"/>
                    <w:rPr>
                      <w:rFonts w:ascii="Times New Roman" w:hAnsi="Times New Roman"/>
                      <w:color w:val="auto"/>
                      <w:kern w:val="0"/>
                      <w:szCs w:val="21"/>
                    </w:rPr>
                  </w:pPr>
                  <w:r>
                    <w:rPr>
                      <w:rFonts w:ascii="Times New Roman" w:hAnsi="Times New Roman"/>
                      <w:color w:val="auto"/>
                      <w:kern w:val="0"/>
                      <w:szCs w:val="21"/>
                    </w:rPr>
                    <w:t>油井供电电源就近从10kV架空线路引接，每座井场新建LGJ-70线路约70m。15个井台每座配套新建1座S13-125/10 10/0.4kV柱上式变压器台；安装室外型动力配电箱1台，为整个井场用电设备配电。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635" w:type="pct"/>
                  <w:gridSpan w:val="3"/>
                  <w:shd w:val="clear" w:color="auto" w:fill="auto"/>
                  <w:vAlign w:val="center"/>
                </w:tcPr>
                <w:p>
                  <w:pPr>
                    <w:pStyle w:val="48"/>
                    <w:adjustRightInd w:val="0"/>
                    <w:snapToGrid w:val="0"/>
                    <w:spacing w:line="300" w:lineRule="exact"/>
                    <w:ind w:firstLine="0" w:firstLineChars="0"/>
                    <w:jc w:val="center"/>
                    <w:rPr>
                      <w:rFonts w:ascii="Times New Roman" w:hAnsi="Times New Roman"/>
                      <w:color w:val="auto"/>
                      <w:kern w:val="0"/>
                      <w:sz w:val="21"/>
                      <w:szCs w:val="21"/>
                    </w:rPr>
                  </w:pPr>
                  <w:r>
                    <w:rPr>
                      <w:rFonts w:ascii="Times New Roman" w:hAnsi="Times New Roman"/>
                      <w:color w:val="auto"/>
                      <w:kern w:val="0"/>
                      <w:sz w:val="21"/>
                      <w:szCs w:val="21"/>
                    </w:rPr>
                    <w:t>通信</w:t>
                  </w:r>
                </w:p>
              </w:tc>
              <w:tc>
                <w:tcPr>
                  <w:tcW w:w="2835" w:type="pct"/>
                  <w:gridSpan w:val="2"/>
                  <w:shd w:val="clear" w:color="auto" w:fill="auto"/>
                  <w:vAlign w:val="center"/>
                </w:tcPr>
                <w:p>
                  <w:pPr>
                    <w:spacing w:line="276" w:lineRule="auto"/>
                    <w:jc w:val="center"/>
                    <w:rPr>
                      <w:rFonts w:ascii="Times New Roman" w:hAnsi="Times New Roman"/>
                      <w:color w:val="auto"/>
                      <w:kern w:val="0"/>
                      <w:szCs w:val="21"/>
                    </w:rPr>
                  </w:pPr>
                  <w:r>
                    <w:rPr>
                      <w:rFonts w:ascii="Times New Roman" w:hAnsi="Times New Roman"/>
                      <w:color w:val="auto"/>
                      <w:kern w:val="0"/>
                      <w:szCs w:val="21"/>
                    </w:rPr>
                    <w:t>本次新建油井的仪表通信内容只考虑井口数据采集和井场视频监控系统。新建油井与信息化实现一体化对接，实现视频监控、对讲、远程启停功能，实现油压、套压、回压、油温、示功图、电参等参数采集，每口井配一套RTU，RTU负责采集油井井口生产数据，并上传至管理区指挥中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635" w:type="pct"/>
                  <w:gridSpan w:val="3"/>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消防</w:t>
                  </w:r>
                </w:p>
              </w:tc>
              <w:tc>
                <w:tcPr>
                  <w:tcW w:w="2835" w:type="pct"/>
                  <w:gridSpan w:val="2"/>
                  <w:shd w:val="clear" w:color="auto" w:fill="auto"/>
                  <w:vAlign w:val="center"/>
                </w:tcPr>
                <w:p>
                  <w:pPr>
                    <w:spacing w:line="276" w:lineRule="auto"/>
                    <w:jc w:val="center"/>
                    <w:rPr>
                      <w:rFonts w:ascii="Times New Roman" w:hAnsi="Times New Roman"/>
                      <w:color w:val="auto"/>
                      <w:kern w:val="0"/>
                      <w:szCs w:val="21"/>
                    </w:rPr>
                  </w:pPr>
                  <w:r>
                    <w:rPr>
                      <w:rFonts w:ascii="Times New Roman" w:hAnsi="Times New Roman"/>
                      <w:color w:val="auto"/>
                      <w:kern w:val="0"/>
                      <w:szCs w:val="21"/>
                    </w:rPr>
                    <w:t>按消防规定配备泡沫灭火器、干粉灭火器、消防铁锹和其它消防器材</w:t>
                  </w:r>
                  <w:r>
                    <w:rPr>
                      <w:rFonts w:hint="eastAsia" w:ascii="Times New Roman" w:hAnsi="Times New Roman"/>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储运</w:t>
                  </w:r>
                </w:p>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工程</w:t>
                  </w:r>
                </w:p>
              </w:tc>
              <w:tc>
                <w:tcPr>
                  <w:tcW w:w="4471" w:type="pct"/>
                  <w:gridSpan w:val="5"/>
                  <w:shd w:val="clear" w:color="auto" w:fill="auto"/>
                  <w:vAlign w:val="center"/>
                </w:tcPr>
                <w:p>
                  <w:pPr>
                    <w:spacing w:line="276" w:lineRule="auto"/>
                    <w:jc w:val="center"/>
                    <w:rPr>
                      <w:rFonts w:ascii="Times New Roman" w:hAnsi="Times New Roman"/>
                      <w:color w:val="auto"/>
                      <w:kern w:val="0"/>
                      <w:szCs w:val="21"/>
                    </w:rPr>
                  </w:pPr>
                  <w:r>
                    <w:rPr>
                      <w:rFonts w:ascii="Times New Roman" w:hAnsi="Times New Roman"/>
                      <w:color w:val="auto"/>
                      <w:kern w:val="0"/>
                      <w:szCs w:val="21"/>
                    </w:rPr>
                    <w:t>罐区（净化罐、套装水罐、岩屑收集罐、油水罐）、柴油</w:t>
                  </w:r>
                  <w:r>
                    <w:rPr>
                      <w:rFonts w:hint="eastAsia" w:ascii="Times New Roman" w:hAnsi="Times New Roman"/>
                      <w:color w:val="auto"/>
                      <w:kern w:val="0"/>
                      <w:szCs w:val="21"/>
                    </w:rPr>
                    <w:t>桶、</w:t>
                  </w:r>
                  <w:r>
                    <w:rPr>
                      <w:rFonts w:ascii="Times New Roman" w:hAnsi="Times New Roman"/>
                      <w:color w:val="auto"/>
                      <w:kern w:val="0"/>
                      <w:szCs w:val="21"/>
                    </w:rPr>
                    <w:t>钻井液不落地一体化设备</w:t>
                  </w:r>
                  <w:r>
                    <w:rPr>
                      <w:rFonts w:hint="eastAsia" w:ascii="Times New Roman" w:hAnsi="Times New Roman"/>
                      <w:color w:val="auto"/>
                      <w:kern w:val="0"/>
                      <w:szCs w:val="21"/>
                    </w:rPr>
                    <w:t>；</w:t>
                  </w:r>
                  <w:r>
                    <w:rPr>
                      <w:rFonts w:ascii="Times New Roman" w:hAnsi="Times New Roman"/>
                      <w:color w:val="auto"/>
                      <w:kern w:val="0"/>
                      <w:szCs w:val="21"/>
                    </w:rPr>
                    <w:t>每口井井场道路长约200m，按3.5m宽泥结碎石路考虑，征地6.0m宽，井场道路征地1200m</w:t>
                  </w:r>
                  <w:r>
                    <w:rPr>
                      <w:rFonts w:ascii="Times New Roman" w:hAnsi="Times New Roman"/>
                      <w:color w:val="auto"/>
                      <w:kern w:val="0"/>
                      <w:szCs w:val="21"/>
                      <w:vertAlign w:val="superscript"/>
                    </w:rPr>
                    <w:t>2</w:t>
                  </w:r>
                  <w:r>
                    <w:rPr>
                      <w:rFonts w:ascii="Times New Roman" w:hAnsi="Times New Roman"/>
                      <w:color w:val="auto"/>
                      <w:kern w:val="0"/>
                      <w:szCs w:val="21"/>
                    </w:rPr>
                    <w:t>；井场道路铺筑700m</w:t>
                  </w:r>
                  <w:r>
                    <w:rPr>
                      <w:rFonts w:ascii="Times New Roman" w:hAnsi="Times New Roman"/>
                      <w:color w:val="auto"/>
                      <w:kern w:val="0"/>
                      <w:szCs w:val="21"/>
                      <w:vertAlign w:val="superscript"/>
                    </w:rPr>
                    <w:t>2</w:t>
                  </w:r>
                  <w:r>
                    <w:rPr>
                      <w:rFonts w:ascii="Times New Roman" w:hAnsi="Times New Roman"/>
                      <w:color w:val="auto"/>
                      <w:kern w:val="0"/>
                      <w:szCs w:val="21"/>
                    </w:rPr>
                    <w:t>，进高架罐单井井场内铺筑1250m</w:t>
                  </w:r>
                  <w:r>
                    <w:rPr>
                      <w:rFonts w:ascii="Times New Roman" w:hAnsi="Times New Roman"/>
                      <w:color w:val="auto"/>
                      <w:kern w:val="0"/>
                      <w:szCs w:val="21"/>
                      <w:vertAlign w:val="superscript"/>
                    </w:rPr>
                    <w:t>2</w:t>
                  </w:r>
                  <w:r>
                    <w:rPr>
                      <w:rFonts w:ascii="Times New Roman" w:hAnsi="Times New Roman"/>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528" w:type="pct"/>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环保</w:t>
                  </w:r>
                </w:p>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 xml:space="preserve">工程 </w:t>
                  </w:r>
                </w:p>
              </w:tc>
              <w:tc>
                <w:tcPr>
                  <w:tcW w:w="376" w:type="pct"/>
                  <w:vMerge w:val="restar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噪声</w:t>
                  </w:r>
                </w:p>
              </w:tc>
              <w:tc>
                <w:tcPr>
                  <w:tcW w:w="1259" w:type="pct"/>
                  <w:gridSpan w:val="2"/>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施工期设备、钻井机械噪声</w:t>
                  </w:r>
                </w:p>
              </w:tc>
              <w:tc>
                <w:tcPr>
                  <w:tcW w:w="2835" w:type="pct"/>
                  <w:gridSpan w:val="2"/>
                  <w:vMerge w:val="restar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lang w:bidi="ar"/>
                    </w:rPr>
                    <w:t>选用低噪声设备，定期维护设备，对设备与其基础间及设备各连接部位间加装减振装置（如弹性钢垫或橡胶衬垫）。</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76"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59" w:type="pct"/>
                  <w:gridSpan w:val="2"/>
                  <w:shd w:val="clear" w:color="auto" w:fill="auto"/>
                  <w:vAlign w:val="center"/>
                </w:tcPr>
                <w:p>
                  <w:pPr>
                    <w:adjustRightInd w:val="0"/>
                    <w:snapToGrid w:val="0"/>
                    <w:spacing w:line="300" w:lineRule="exact"/>
                    <w:jc w:val="both"/>
                    <w:rPr>
                      <w:rFonts w:ascii="Times New Roman" w:hAnsi="Times New Roman"/>
                      <w:color w:val="auto"/>
                      <w:kern w:val="0"/>
                      <w:szCs w:val="21"/>
                    </w:rPr>
                  </w:pPr>
                  <w:r>
                    <w:rPr>
                      <w:rFonts w:ascii="Times New Roman" w:hAnsi="Times New Roman"/>
                      <w:color w:val="auto"/>
                      <w:kern w:val="0"/>
                      <w:szCs w:val="21"/>
                    </w:rPr>
                    <w:t>运营期机械噪声</w:t>
                  </w:r>
                </w:p>
              </w:tc>
              <w:tc>
                <w:tcPr>
                  <w:tcW w:w="2835" w:type="pct"/>
                  <w:gridSpan w:val="2"/>
                  <w:vMerge w:val="continue"/>
                  <w:shd w:val="clear" w:color="auto" w:fill="auto"/>
                  <w:vAlign w:val="center"/>
                </w:tcPr>
                <w:p>
                  <w:pPr>
                    <w:adjustRightInd w:val="0"/>
                    <w:snapToGrid w:val="0"/>
                    <w:spacing w:line="300" w:lineRule="exact"/>
                    <w:jc w:val="center"/>
                    <w:rPr>
                      <w:rFonts w:ascii="Times New Roman" w:hAnsi="Times New Roman"/>
                      <w:color w:val="auto"/>
                      <w:kern w:val="0"/>
                      <w:szCs w:val="21"/>
                      <w:lang w:bidi="ar"/>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废水</w:t>
                  </w:r>
                </w:p>
              </w:tc>
              <w:tc>
                <w:tcPr>
                  <w:tcW w:w="1259" w:type="pct"/>
                  <w:gridSpan w:val="2"/>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生活污水</w:t>
                  </w:r>
                </w:p>
              </w:tc>
              <w:tc>
                <w:tcPr>
                  <w:tcW w:w="2835" w:type="pct"/>
                  <w:gridSpan w:val="2"/>
                  <w:shd w:val="clear" w:color="auto" w:fill="auto"/>
                  <w:vAlign w:val="center"/>
                </w:tcPr>
                <w:p>
                  <w:pPr>
                    <w:adjustRightInd w:val="0"/>
                    <w:snapToGrid w:val="0"/>
                    <w:spacing w:line="300" w:lineRule="exact"/>
                    <w:jc w:val="center"/>
                    <w:rPr>
                      <w:rFonts w:ascii="Times New Roman" w:hAnsi="Times New Roman"/>
                      <w:color w:val="auto"/>
                      <w:spacing w:val="-6"/>
                      <w:kern w:val="0"/>
                      <w:szCs w:val="21"/>
                    </w:rPr>
                  </w:pPr>
                  <w:r>
                    <w:rPr>
                      <w:rFonts w:ascii="Times New Roman" w:hAnsi="Times New Roman"/>
                      <w:color w:val="auto"/>
                      <w:spacing w:val="-6"/>
                      <w:szCs w:val="21"/>
                    </w:rPr>
                    <w:t>施工期不设置施工营地，运营期不设置值班室，均不产生生活污水。</w:t>
                  </w:r>
                </w:p>
              </w:tc>
            </w:tr>
          </w:tbl>
          <w:p>
            <w:pPr>
              <w:pStyle w:val="48"/>
              <w:adjustRightInd w:val="0"/>
              <w:snapToGrid w:val="0"/>
              <w:spacing w:before="120" w:beforeLines="50" w:line="240" w:lineRule="auto"/>
              <w:ind w:firstLine="422"/>
              <w:jc w:val="center"/>
              <w:rPr>
                <w:color w:val="auto"/>
              </w:rPr>
            </w:pPr>
            <w:r>
              <w:rPr>
                <w:rFonts w:hint="eastAsia" w:ascii="Times New Roman" w:hAnsi="Times New Roman"/>
                <w:b/>
                <w:bCs/>
                <w:color w:val="auto"/>
                <w:sz w:val="21"/>
                <w:szCs w:val="21"/>
              </w:rPr>
              <w:t>续</w:t>
            </w:r>
            <w:r>
              <w:rPr>
                <w:rFonts w:ascii="Times New Roman" w:hAnsi="Times New Roman"/>
                <w:b/>
                <w:bCs/>
                <w:color w:val="auto"/>
                <w:sz w:val="21"/>
                <w:szCs w:val="21"/>
              </w:rPr>
              <w:t>表2-2 项目组成一览表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71"/>
              <w:gridCol w:w="620"/>
              <w:gridCol w:w="2077"/>
              <w:gridCol w:w="467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2164" w:type="pct"/>
                  <w:gridSpan w:val="3"/>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工程类别</w:t>
                  </w:r>
                </w:p>
              </w:tc>
              <w:tc>
                <w:tcPr>
                  <w:tcW w:w="2835"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规模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528" w:type="pct"/>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环保</w:t>
                  </w:r>
                </w:p>
                <w:p>
                  <w:pPr>
                    <w:overflowPunct w:val="0"/>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工程</w:t>
                  </w:r>
                </w:p>
              </w:tc>
              <w:tc>
                <w:tcPr>
                  <w:tcW w:w="376"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废水</w:t>
                  </w:r>
                </w:p>
              </w:tc>
              <w:tc>
                <w:tcPr>
                  <w:tcW w:w="1259"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施工期管道试压废水</w:t>
                  </w:r>
                </w:p>
              </w:tc>
              <w:tc>
                <w:tcPr>
                  <w:tcW w:w="2835" w:type="pct"/>
                  <w:shd w:val="clear" w:color="auto" w:fill="auto"/>
                  <w:vAlign w:val="center"/>
                </w:tcPr>
                <w:p>
                  <w:pPr>
                    <w:adjustRightInd w:val="0"/>
                    <w:snapToGrid w:val="0"/>
                    <w:spacing w:line="300" w:lineRule="exact"/>
                    <w:jc w:val="center"/>
                    <w:rPr>
                      <w:rFonts w:ascii="Times New Roman" w:hAnsi="Times New Roman"/>
                      <w:color w:val="auto"/>
                      <w:spacing w:val="-6"/>
                      <w:szCs w:val="21"/>
                    </w:rPr>
                  </w:pPr>
                  <w:r>
                    <w:rPr>
                      <w:rFonts w:ascii="Times New Roman" w:hAnsi="Times New Roman"/>
                      <w:color w:val="auto"/>
                      <w:spacing w:val="-6"/>
                      <w:szCs w:val="21"/>
                    </w:rPr>
                    <w:t>用于洒水降尘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0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vMerge w:val="restar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废气</w:t>
                  </w:r>
                </w:p>
              </w:tc>
              <w:tc>
                <w:tcPr>
                  <w:tcW w:w="1259"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spacing w:val="-11"/>
                      <w:kern w:val="0"/>
                      <w:szCs w:val="21"/>
                    </w:rPr>
                    <w:t>施工期柴油发电机废气</w:t>
                  </w:r>
                </w:p>
              </w:tc>
              <w:tc>
                <w:tcPr>
                  <w:tcW w:w="2835" w:type="pct"/>
                  <w:shd w:val="clear" w:color="auto" w:fill="auto"/>
                  <w:vAlign w:val="center"/>
                </w:tcPr>
                <w:p>
                  <w:pPr>
                    <w:adjustRightInd w:val="0"/>
                    <w:snapToGrid w:val="0"/>
                    <w:spacing w:line="300" w:lineRule="exact"/>
                    <w:jc w:val="center"/>
                    <w:rPr>
                      <w:rFonts w:ascii="Times New Roman" w:hAnsi="Times New Roman"/>
                      <w:color w:val="auto"/>
                      <w:spacing w:val="-6"/>
                      <w:szCs w:val="21"/>
                    </w:rPr>
                  </w:pPr>
                  <w:r>
                    <w:rPr>
                      <w:rFonts w:ascii="Times New Roman" w:hAnsi="Times New Roman"/>
                      <w:color w:val="auto"/>
                      <w:spacing w:val="-6"/>
                      <w:szCs w:val="21"/>
                    </w:rPr>
                    <w:t>废气产生量较少，属无组织排放</w:t>
                  </w:r>
                  <w:r>
                    <w:rPr>
                      <w:rFonts w:hint="eastAsia" w:ascii="Times New Roman" w:hAnsi="Times New Roman"/>
                      <w:color w:val="auto"/>
                      <w:spacing w:val="-6"/>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0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59"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施工期扬尘</w:t>
                  </w:r>
                </w:p>
              </w:tc>
              <w:tc>
                <w:tcPr>
                  <w:tcW w:w="2835" w:type="pct"/>
                  <w:shd w:val="clear" w:color="auto" w:fill="auto"/>
                  <w:vAlign w:val="center"/>
                </w:tcPr>
                <w:p>
                  <w:pPr>
                    <w:adjustRightInd w:val="0"/>
                    <w:snapToGrid w:val="0"/>
                    <w:spacing w:line="300" w:lineRule="exact"/>
                    <w:jc w:val="center"/>
                    <w:rPr>
                      <w:rFonts w:ascii="Times New Roman" w:hAnsi="Times New Roman"/>
                      <w:color w:val="auto"/>
                      <w:spacing w:val="-6"/>
                      <w:szCs w:val="21"/>
                    </w:rPr>
                  </w:pPr>
                  <w:r>
                    <w:rPr>
                      <w:rFonts w:ascii="Times New Roman" w:hAnsi="Times New Roman"/>
                      <w:color w:val="auto"/>
                      <w:spacing w:val="-11"/>
                      <w:szCs w:val="21"/>
                    </w:rPr>
                    <w:t>扬尘产生量较少，属无组织排放，采取场区洒水抑尘措施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0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59"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运营期集输废气</w:t>
                  </w:r>
                </w:p>
              </w:tc>
              <w:tc>
                <w:tcPr>
                  <w:tcW w:w="2835" w:type="pct"/>
                  <w:shd w:val="clear" w:color="auto" w:fill="auto"/>
                  <w:vAlign w:val="center"/>
                </w:tcPr>
                <w:p>
                  <w:pPr>
                    <w:adjustRightInd w:val="0"/>
                    <w:snapToGrid w:val="0"/>
                    <w:spacing w:line="300" w:lineRule="exact"/>
                    <w:jc w:val="center"/>
                    <w:rPr>
                      <w:rFonts w:ascii="Times New Roman" w:hAnsi="Times New Roman"/>
                      <w:color w:val="auto"/>
                      <w:spacing w:val="-6"/>
                      <w:szCs w:val="21"/>
                    </w:rPr>
                  </w:pPr>
                  <w:r>
                    <w:rPr>
                      <w:rFonts w:ascii="Times New Roman" w:hAnsi="Times New Roman"/>
                      <w:color w:val="auto"/>
                      <w:spacing w:val="-6"/>
                      <w:szCs w:val="21"/>
                    </w:rPr>
                    <w:t>本项目开发期不产生伴生气；采用密闭集输工艺，废气产生量少，属无组织排放</w:t>
                  </w:r>
                  <w:r>
                    <w:rPr>
                      <w:rFonts w:hint="eastAsia" w:ascii="Times New Roman" w:hAnsi="Times New Roman"/>
                      <w:color w:val="auto"/>
                      <w:spacing w:val="-6"/>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vMerge w:val="restar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固废</w:t>
                  </w:r>
                </w:p>
              </w:tc>
              <w:tc>
                <w:tcPr>
                  <w:tcW w:w="1259"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施工期钻井岩屑、剩余钻井液</w:t>
                  </w:r>
                </w:p>
              </w:tc>
              <w:tc>
                <w:tcPr>
                  <w:tcW w:w="2835" w:type="pct"/>
                  <w:shd w:val="clear" w:color="auto" w:fill="auto"/>
                  <w:vAlign w:val="center"/>
                </w:tcPr>
                <w:p>
                  <w:pPr>
                    <w:adjustRightInd w:val="0"/>
                    <w:snapToGrid w:val="0"/>
                    <w:spacing w:line="300" w:lineRule="exact"/>
                    <w:jc w:val="both"/>
                    <w:rPr>
                      <w:rFonts w:ascii="Times New Roman" w:hAnsi="Times New Roman"/>
                      <w:color w:val="auto"/>
                      <w:kern w:val="0"/>
                      <w:szCs w:val="21"/>
                    </w:rPr>
                  </w:pPr>
                  <w:r>
                    <w:rPr>
                      <w:rFonts w:ascii="Times New Roman" w:hAnsi="Times New Roman"/>
                      <w:color w:val="auto"/>
                      <w:kern w:val="0"/>
                      <w:szCs w:val="21"/>
                    </w:rPr>
                    <w:t>钻井采用“钻井泥浆不落地”技术，钻井液循环利用，剩余钻井液用于下口井钻井液配置；岩屑暂存于岩屑储罐，委托</w:t>
                  </w:r>
                  <w:r>
                    <w:rPr>
                      <w:rFonts w:ascii="Times New Roman" w:hAnsi="Times New Roman"/>
                      <w:color w:val="auto"/>
                      <w:szCs w:val="21"/>
                    </w:rPr>
                    <w:t>山东奥友环保工程有限责任公司</w:t>
                  </w:r>
                  <w:r>
                    <w:rPr>
                      <w:rFonts w:ascii="Times New Roman" w:hAnsi="Times New Roman"/>
                      <w:color w:val="auto"/>
                      <w:kern w:val="0"/>
                      <w:szCs w:val="21"/>
                    </w:rPr>
                    <w:t>进行无害化处置。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59"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生活垃圾</w:t>
                  </w:r>
                </w:p>
              </w:tc>
              <w:tc>
                <w:tcPr>
                  <w:tcW w:w="2835" w:type="pct"/>
                  <w:shd w:val="clear" w:color="auto" w:fill="auto"/>
                  <w:vAlign w:val="center"/>
                </w:tcPr>
                <w:p>
                  <w:pPr>
                    <w:adjustRightInd w:val="0"/>
                    <w:snapToGrid w:val="0"/>
                    <w:spacing w:line="300" w:lineRule="exact"/>
                    <w:jc w:val="center"/>
                    <w:rPr>
                      <w:rFonts w:ascii="Times New Roman" w:hAnsi="Times New Roman"/>
                      <w:color w:val="auto"/>
                      <w:spacing w:val="-4"/>
                      <w:kern w:val="0"/>
                      <w:szCs w:val="21"/>
                    </w:rPr>
                  </w:pPr>
                  <w:r>
                    <w:rPr>
                      <w:rFonts w:ascii="Times New Roman" w:hAnsi="Times New Roman"/>
                      <w:color w:val="auto"/>
                      <w:spacing w:val="-4"/>
                      <w:szCs w:val="21"/>
                    </w:rPr>
                    <w:t>施工期不设置施工营地，运营期不设置值班室，不产生生活垃圾</w:t>
                  </w:r>
                  <w:r>
                    <w:rPr>
                      <w:rFonts w:hint="eastAsia" w:ascii="Times New Roman" w:hAnsi="Times New Roman"/>
                      <w:color w:val="auto"/>
                      <w:spacing w:val="-4"/>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59"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施工期土方</w:t>
                  </w:r>
                </w:p>
              </w:tc>
              <w:tc>
                <w:tcPr>
                  <w:tcW w:w="2835" w:type="pct"/>
                  <w:shd w:val="clear" w:color="auto" w:fill="auto"/>
                  <w:vAlign w:val="center"/>
                </w:tcPr>
                <w:p>
                  <w:pPr>
                    <w:adjustRightInd w:val="0"/>
                    <w:snapToGrid w:val="0"/>
                    <w:spacing w:line="300" w:lineRule="exact"/>
                    <w:jc w:val="center"/>
                    <w:rPr>
                      <w:rFonts w:ascii="Times New Roman" w:hAnsi="Times New Roman"/>
                      <w:color w:val="auto"/>
                      <w:spacing w:val="-4"/>
                      <w:szCs w:val="21"/>
                    </w:rPr>
                  </w:pPr>
                  <w:r>
                    <w:rPr>
                      <w:rFonts w:ascii="Times New Roman" w:hAnsi="Times New Roman"/>
                      <w:color w:val="auto"/>
                      <w:spacing w:val="-11"/>
                      <w:szCs w:val="21"/>
                    </w:rPr>
                    <w:t>管道施工土方回填在管廊上，压实平整，不集中产生弃土</w:t>
                  </w:r>
                  <w:r>
                    <w:rPr>
                      <w:rFonts w:hint="eastAsia" w:ascii="Times New Roman" w:hAnsi="Times New Roman"/>
                      <w:color w:val="auto"/>
                      <w:spacing w:val="-1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59"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运营期落地油</w:t>
                  </w:r>
                </w:p>
              </w:tc>
              <w:tc>
                <w:tcPr>
                  <w:tcW w:w="2835" w:type="pct"/>
                  <w:shd w:val="clear" w:color="auto" w:fill="auto"/>
                  <w:vAlign w:val="center"/>
                </w:tcPr>
                <w:p>
                  <w:pPr>
                    <w:adjustRightInd w:val="0"/>
                    <w:snapToGrid w:val="0"/>
                    <w:spacing w:line="300" w:lineRule="exact"/>
                    <w:rPr>
                      <w:rFonts w:ascii="Times New Roman" w:hAnsi="Times New Roman"/>
                      <w:color w:val="auto"/>
                      <w:spacing w:val="-4"/>
                      <w:szCs w:val="21"/>
                    </w:rPr>
                  </w:pPr>
                  <w:r>
                    <w:rPr>
                      <w:rFonts w:ascii="Times New Roman" w:hAnsi="Times New Roman"/>
                      <w:color w:val="auto"/>
                      <w:spacing w:val="-4"/>
                      <w:szCs w:val="21"/>
                    </w:rPr>
                    <w:t>本项目井下作业时带罐作业，落地油及时回收</w:t>
                  </w:r>
                  <w:r>
                    <w:rPr>
                      <w:rFonts w:hint="eastAsia" w:ascii="Times New Roman" w:hAnsi="Times New Roman"/>
                      <w:color w:val="auto"/>
                      <w:spacing w:val="-4"/>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59"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运营期油泥</w:t>
                  </w:r>
                </w:p>
              </w:tc>
              <w:tc>
                <w:tcPr>
                  <w:tcW w:w="2835" w:type="pct"/>
                  <w:shd w:val="clear" w:color="auto" w:fill="auto"/>
                  <w:vAlign w:val="center"/>
                </w:tcPr>
                <w:p>
                  <w:pPr>
                    <w:adjustRightInd w:val="0"/>
                    <w:snapToGrid w:val="0"/>
                    <w:spacing w:line="300" w:lineRule="exact"/>
                    <w:rPr>
                      <w:rFonts w:ascii="Times New Roman" w:hAnsi="Times New Roman"/>
                      <w:color w:val="auto"/>
                      <w:spacing w:val="-4"/>
                      <w:szCs w:val="21"/>
                    </w:rPr>
                  </w:pPr>
                  <w:r>
                    <w:rPr>
                      <w:rFonts w:ascii="Times New Roman" w:hAnsi="Times New Roman"/>
                      <w:color w:val="auto"/>
                      <w:spacing w:val="-4"/>
                      <w:szCs w:val="21"/>
                    </w:rPr>
                    <w:t>委托有危废处置资质的单位处理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vMerge w:val="restar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环境</w:t>
                  </w:r>
                </w:p>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风险</w:t>
                  </w:r>
                </w:p>
              </w:tc>
              <w:tc>
                <w:tcPr>
                  <w:tcW w:w="1259"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施工期</w:t>
                  </w:r>
                </w:p>
              </w:tc>
              <w:tc>
                <w:tcPr>
                  <w:tcW w:w="2835" w:type="pct"/>
                  <w:shd w:val="clear" w:color="auto" w:fill="auto"/>
                  <w:vAlign w:val="center"/>
                </w:tcPr>
                <w:p>
                  <w:pPr>
                    <w:widowControl w:val="0"/>
                    <w:autoSpaceDE w:val="0"/>
                    <w:autoSpaceDN w:val="0"/>
                    <w:adjustRightInd w:val="0"/>
                    <w:jc w:val="center"/>
                    <w:rPr>
                      <w:rFonts w:ascii="Times New Roman" w:hAnsi="Times New Roman"/>
                      <w:color w:val="auto"/>
                      <w:kern w:val="0"/>
                      <w:szCs w:val="21"/>
                    </w:rPr>
                  </w:pPr>
                  <w:r>
                    <w:rPr>
                      <w:rFonts w:ascii="Times New Roman" w:hAnsi="Times New Roman"/>
                      <w:color w:val="auto"/>
                      <w:spacing w:val="-4"/>
                      <w:szCs w:val="21"/>
                    </w:rPr>
                    <w:t>配备灭火装置、应急点火系统等；尽量避免井喷事故的发生</w:t>
                  </w:r>
                  <w:r>
                    <w:rPr>
                      <w:rFonts w:hint="eastAsia" w:ascii="Times New Roman" w:hAnsi="Times New Roman"/>
                      <w:color w:val="auto"/>
                      <w:spacing w:val="-4"/>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376" w:type="pct"/>
                  <w:vMerge w:val="continue"/>
                  <w:shd w:val="clear" w:color="auto" w:fill="auto"/>
                  <w:vAlign w:val="center"/>
                </w:tcPr>
                <w:p>
                  <w:pPr>
                    <w:adjustRightInd w:val="0"/>
                    <w:snapToGrid w:val="0"/>
                    <w:spacing w:line="300" w:lineRule="exact"/>
                    <w:jc w:val="center"/>
                    <w:rPr>
                      <w:rFonts w:ascii="Times New Roman" w:hAnsi="Times New Roman"/>
                      <w:color w:val="auto"/>
                      <w:kern w:val="0"/>
                      <w:szCs w:val="21"/>
                    </w:rPr>
                  </w:pPr>
                </w:p>
              </w:tc>
              <w:tc>
                <w:tcPr>
                  <w:tcW w:w="1259"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运营期</w:t>
                  </w:r>
                </w:p>
              </w:tc>
              <w:tc>
                <w:tcPr>
                  <w:tcW w:w="2835" w:type="pct"/>
                  <w:shd w:val="clear" w:color="auto" w:fill="auto"/>
                  <w:vAlign w:val="center"/>
                </w:tcPr>
                <w:p>
                  <w:pPr>
                    <w:adjustRightInd w:val="0"/>
                    <w:snapToGrid w:val="0"/>
                    <w:spacing w:line="300" w:lineRule="exact"/>
                    <w:jc w:val="center"/>
                    <w:rPr>
                      <w:rFonts w:ascii="Times New Roman" w:hAnsi="Times New Roman"/>
                      <w:color w:val="auto"/>
                      <w:spacing w:val="-4"/>
                      <w:szCs w:val="21"/>
                    </w:rPr>
                  </w:pPr>
                  <w:r>
                    <w:rPr>
                      <w:rFonts w:ascii="Times New Roman" w:hAnsi="Times New Roman"/>
                      <w:color w:val="auto"/>
                      <w:spacing w:val="-4"/>
                      <w:szCs w:val="21"/>
                    </w:rPr>
                    <w:t>落实环境风险防范措施，制定环境风险应急预案，定期进行风险防范培训和演练</w:t>
                  </w:r>
                  <w:r>
                    <w:rPr>
                      <w:rFonts w:hint="eastAsia" w:ascii="Times New Roman" w:hAnsi="Times New Roman"/>
                      <w:color w:val="auto"/>
                      <w:spacing w:val="-4"/>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635" w:type="pct"/>
                  <w:gridSpan w:val="2"/>
                  <w:shd w:val="clear" w:color="auto" w:fill="auto"/>
                  <w:vAlign w:val="center"/>
                </w:tcPr>
                <w:p>
                  <w:pPr>
                    <w:adjustRightInd w:val="0"/>
                    <w:snapToGrid w:val="0"/>
                    <w:spacing w:line="300" w:lineRule="exact"/>
                    <w:jc w:val="center"/>
                    <w:rPr>
                      <w:rFonts w:ascii="Times New Roman" w:hAnsi="Times New Roman"/>
                      <w:color w:val="auto"/>
                      <w:szCs w:val="21"/>
                      <w:lang w:bidi="ar"/>
                    </w:rPr>
                  </w:pPr>
                  <w:r>
                    <w:rPr>
                      <w:rFonts w:ascii="Times New Roman" w:hAnsi="Times New Roman"/>
                      <w:color w:val="auto"/>
                      <w:kern w:val="0"/>
                      <w:szCs w:val="21"/>
                    </w:rPr>
                    <w:t>生态恢复</w:t>
                  </w:r>
                </w:p>
              </w:tc>
              <w:tc>
                <w:tcPr>
                  <w:tcW w:w="283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完工后迹地清理并平整压实、临时占地植被和土壤的恢复；</w:t>
                  </w:r>
                  <w:r>
                    <w:rPr>
                      <w:rFonts w:hint="eastAsia" w:ascii="Times New Roman" w:hAnsi="Times New Roman"/>
                      <w:color w:val="auto"/>
                      <w:kern w:val="0"/>
                      <w:szCs w:val="21"/>
                    </w:rPr>
                    <w:t>闭井</w:t>
                  </w:r>
                  <w:r>
                    <w:rPr>
                      <w:rFonts w:ascii="Times New Roman" w:hAnsi="Times New Roman"/>
                      <w:color w:val="auto"/>
                      <w:kern w:val="0"/>
                      <w:szCs w:val="21"/>
                    </w:rPr>
                    <w:t>期，对完成采油的废弃井进行封堵内外井眼，拆除井口装置，清理场地工作，清除各种固体废物，然后根据周边区域的农田生态系统现状对其进行复垦。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restar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依托</w:t>
                  </w:r>
                </w:p>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工程</w:t>
                  </w:r>
                </w:p>
              </w:tc>
              <w:tc>
                <w:tcPr>
                  <w:tcW w:w="1635"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采出液</w:t>
                  </w:r>
                </w:p>
              </w:tc>
              <w:tc>
                <w:tcPr>
                  <w:tcW w:w="2835" w:type="pct"/>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采出液由</w:t>
                  </w:r>
                  <w:r>
                    <w:rPr>
                      <w:rFonts w:ascii="Times New Roman" w:hAnsi="Times New Roman"/>
                      <w:color w:val="auto"/>
                      <w:szCs w:val="21"/>
                    </w:rPr>
                    <w:t>罐车拉运至春光联合站，分离出的原油依托站内</w:t>
                  </w:r>
                  <w:r>
                    <w:rPr>
                      <w:rFonts w:ascii="Times New Roman" w:hAnsi="Times New Roman"/>
                      <w:color w:val="auto"/>
                      <w:kern w:val="0"/>
                      <w:szCs w:val="21"/>
                    </w:rPr>
                    <w:t>原油处理系统，分离出的采出水依托站内采出水处理系统</w:t>
                  </w:r>
                  <w:r>
                    <w:rPr>
                      <w:rFonts w:hint="eastAsia" w:ascii="Times New Roman" w:hAnsi="Times New Roman"/>
                      <w:color w:val="auto"/>
                      <w:kern w:val="0"/>
                      <w:szCs w:val="21"/>
                    </w:rPr>
                    <w:t>。</w:t>
                  </w:r>
                  <w:r>
                    <w:rPr>
                      <w:rFonts w:ascii="Times New Roman" w:hAnsi="Times New Roman"/>
                      <w:color w:val="auto"/>
                      <w:kern w:val="0"/>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635" w:type="pct"/>
                  <w:gridSpan w:val="2"/>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油污（泥）</w:t>
                  </w:r>
                </w:p>
              </w:tc>
              <w:tc>
                <w:tcPr>
                  <w:tcW w:w="2835" w:type="pct"/>
                  <w:shd w:val="clear" w:color="auto" w:fill="auto"/>
                  <w:vAlign w:val="center"/>
                </w:tcPr>
                <w:p>
                  <w:pPr>
                    <w:overflowPunct w:val="0"/>
                    <w:adjustRightInd w:val="0"/>
                    <w:snapToGrid w:val="0"/>
                    <w:spacing w:line="300" w:lineRule="exact"/>
                    <w:jc w:val="center"/>
                    <w:rPr>
                      <w:rFonts w:ascii="Times New Roman" w:hAnsi="Times New Roman"/>
                      <w:color w:val="auto"/>
                      <w:spacing w:val="-2"/>
                      <w:kern w:val="0"/>
                      <w:szCs w:val="21"/>
                    </w:rPr>
                  </w:pPr>
                  <w:r>
                    <w:rPr>
                      <w:rFonts w:ascii="Times New Roman" w:hAnsi="Times New Roman"/>
                      <w:color w:val="auto"/>
                      <w:spacing w:val="-2"/>
                      <w:kern w:val="0"/>
                      <w:szCs w:val="21"/>
                    </w:rPr>
                    <w:t>本项目运营期间产生的落地原油100%回收，回收后的落地原油运至</w:t>
                  </w:r>
                  <w:r>
                    <w:rPr>
                      <w:rFonts w:ascii="Times New Roman" w:hAnsi="Times New Roman"/>
                      <w:color w:val="auto"/>
                      <w:spacing w:val="-2"/>
                      <w:szCs w:val="21"/>
                    </w:rPr>
                    <w:t>春光联合站</w:t>
                  </w:r>
                  <w:r>
                    <w:rPr>
                      <w:rFonts w:ascii="Times New Roman" w:hAnsi="Times New Roman"/>
                      <w:color w:val="auto"/>
                      <w:spacing w:val="-2"/>
                      <w:kern w:val="0"/>
                      <w:szCs w:val="21"/>
                    </w:rPr>
                    <w:t>进行处理；定期</w:t>
                  </w:r>
                  <w:r>
                    <w:rPr>
                      <w:rFonts w:ascii="Times New Roman" w:hAnsi="Times New Roman"/>
                      <w:color w:val="auto"/>
                      <w:spacing w:val="-2"/>
                      <w:szCs w:val="21"/>
                    </w:rPr>
                    <w:t>清理联合站内原油储罐产生的油泥</w:t>
                  </w:r>
                  <w:r>
                    <w:rPr>
                      <w:rFonts w:ascii="Times New Roman" w:hAnsi="Times New Roman"/>
                      <w:color w:val="auto"/>
                      <w:spacing w:val="-2"/>
                      <w:kern w:val="0"/>
                      <w:szCs w:val="21"/>
                    </w:rPr>
                    <w:t>由新疆锦恒利废矿物油处置有限公司进行回收处理。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635" w:type="pct"/>
                  <w:gridSpan w:val="2"/>
                  <w:shd w:val="clear" w:color="auto" w:fill="auto"/>
                  <w:vAlign w:val="center"/>
                </w:tcPr>
                <w:p>
                  <w:pPr>
                    <w:pStyle w:val="105"/>
                    <w:adjustRightInd w:val="0"/>
                    <w:snapToGrid w:val="0"/>
                    <w:spacing w:line="300" w:lineRule="exact"/>
                    <w:rPr>
                      <w:rFonts w:ascii="Times New Roman" w:hAnsi="Times New Roman"/>
                      <w:color w:val="auto"/>
                      <w:szCs w:val="21"/>
                      <w:highlight w:val="yellow"/>
                    </w:rPr>
                  </w:pPr>
                  <w:r>
                    <w:rPr>
                      <w:rFonts w:ascii="Times New Roman" w:hAnsi="Times New Roman"/>
                      <w:color w:val="auto"/>
                      <w:szCs w:val="21"/>
                    </w:rPr>
                    <w:t>井下作业废水</w:t>
                  </w:r>
                </w:p>
              </w:tc>
              <w:tc>
                <w:tcPr>
                  <w:tcW w:w="2835" w:type="pct"/>
                  <w:shd w:val="clear" w:color="auto" w:fill="auto"/>
                  <w:vAlign w:val="center"/>
                </w:tcPr>
                <w:p>
                  <w:pPr>
                    <w:pStyle w:val="105"/>
                    <w:adjustRightInd w:val="0"/>
                    <w:snapToGrid w:val="0"/>
                    <w:spacing w:line="300" w:lineRule="exact"/>
                    <w:rPr>
                      <w:rFonts w:ascii="Times New Roman" w:hAnsi="Times New Roman"/>
                      <w:color w:val="auto"/>
                      <w:szCs w:val="21"/>
                      <w:highlight w:val="yellow"/>
                    </w:rPr>
                  </w:pPr>
                  <w:r>
                    <w:rPr>
                      <w:rFonts w:ascii="Times New Roman" w:hAnsi="Times New Roman"/>
                      <w:color w:val="auto"/>
                      <w:szCs w:val="21"/>
                    </w:rPr>
                    <w:t>井下作业废水收集至专用收集罐中，由罐车拉运至春光联合站采出水处理系统，达标后均回注油藏</w:t>
                  </w:r>
                  <w:r>
                    <w:rPr>
                      <w:rFonts w:hint="eastAsia"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28" w:type="pct"/>
                  <w:vMerge w:val="continue"/>
                  <w:shd w:val="clear" w:color="auto" w:fill="auto"/>
                  <w:vAlign w:val="center"/>
                </w:tcPr>
                <w:p>
                  <w:pPr>
                    <w:overflowPunct w:val="0"/>
                    <w:adjustRightInd w:val="0"/>
                    <w:snapToGrid w:val="0"/>
                    <w:spacing w:line="300" w:lineRule="exact"/>
                    <w:jc w:val="center"/>
                    <w:rPr>
                      <w:rFonts w:ascii="Times New Roman" w:hAnsi="Times New Roman"/>
                      <w:color w:val="auto"/>
                      <w:kern w:val="0"/>
                      <w:szCs w:val="21"/>
                    </w:rPr>
                  </w:pPr>
                </w:p>
              </w:tc>
              <w:tc>
                <w:tcPr>
                  <w:tcW w:w="1635" w:type="pct"/>
                  <w:gridSpan w:val="2"/>
                  <w:shd w:val="clear" w:color="auto" w:fill="auto"/>
                  <w:vAlign w:val="center"/>
                </w:tcPr>
                <w:p>
                  <w:pPr>
                    <w:pStyle w:val="105"/>
                    <w:adjustRightInd w:val="0"/>
                    <w:snapToGrid w:val="0"/>
                    <w:spacing w:line="300" w:lineRule="exact"/>
                    <w:rPr>
                      <w:rFonts w:ascii="Times New Roman" w:hAnsi="Times New Roman"/>
                      <w:color w:val="auto"/>
                      <w:kern w:val="2"/>
                      <w:szCs w:val="21"/>
                      <w:highlight w:val="yellow"/>
                    </w:rPr>
                  </w:pPr>
                  <w:r>
                    <w:rPr>
                      <w:rFonts w:ascii="Times New Roman" w:hAnsi="Times New Roman"/>
                      <w:color w:val="auto"/>
                      <w:kern w:val="2"/>
                      <w:szCs w:val="21"/>
                    </w:rPr>
                    <w:t>危废处理</w:t>
                  </w:r>
                </w:p>
              </w:tc>
              <w:tc>
                <w:tcPr>
                  <w:tcW w:w="2835" w:type="pct"/>
                  <w:shd w:val="clear" w:color="auto" w:fill="auto"/>
                  <w:vAlign w:val="center"/>
                </w:tcPr>
                <w:p>
                  <w:pPr>
                    <w:widowControl w:val="0"/>
                    <w:autoSpaceDE w:val="0"/>
                    <w:autoSpaceDN w:val="0"/>
                    <w:adjustRightInd w:val="0"/>
                    <w:jc w:val="center"/>
                    <w:rPr>
                      <w:rFonts w:ascii="Times New Roman" w:hAnsi="Times New Roman"/>
                      <w:color w:val="auto"/>
                      <w:kern w:val="0"/>
                      <w:szCs w:val="21"/>
                    </w:rPr>
                  </w:pPr>
                  <w:r>
                    <w:rPr>
                      <w:rFonts w:ascii="Times New Roman" w:hAnsi="Times New Roman"/>
                      <w:color w:val="auto"/>
                      <w:kern w:val="0"/>
                      <w:szCs w:val="21"/>
                    </w:rPr>
                    <w:t>废矿物油、废弃的含油抹布和劳保用品、废弃防渗膜等，属于间歇产生，委托持有危险废物经营许可证的单位利用处置或自行利用处置</w:t>
                  </w:r>
                  <w:r>
                    <w:rPr>
                      <w:rFonts w:hint="eastAsia" w:ascii="Times New Roman" w:hAnsi="Times New Roman"/>
                      <w:color w:val="auto"/>
                      <w:kern w:val="0"/>
                      <w:szCs w:val="21"/>
                    </w:rPr>
                    <w:t>。</w:t>
                  </w:r>
                </w:p>
              </w:tc>
            </w:tr>
          </w:tbl>
          <w:p>
            <w:pPr>
              <w:pStyle w:val="48"/>
              <w:adjustRightInd w:val="0"/>
              <w:snapToGrid w:val="0"/>
              <w:spacing w:line="360" w:lineRule="auto"/>
              <w:ind w:firstLine="480"/>
              <w:jc w:val="both"/>
              <w:rPr>
                <w:rFonts w:ascii="Times New Roman" w:hAnsi="Times New Roman"/>
                <w:color w:val="auto"/>
              </w:rPr>
            </w:pPr>
          </w:p>
          <w:p>
            <w:pPr>
              <w:pStyle w:val="74"/>
              <w:spacing w:line="500" w:lineRule="exact"/>
              <w:ind w:firstLine="0" w:firstLineChars="0"/>
              <w:contextualSpacing/>
              <w:jc w:val="both"/>
              <w:outlineLvl w:val="9"/>
              <w:rPr>
                <w:rFonts w:ascii="Times New Roman" w:hAnsi="Times New Roman"/>
                <w:color w:val="auto"/>
              </w:rPr>
            </w:pPr>
          </w:p>
          <w:p>
            <w:pPr>
              <w:pStyle w:val="74"/>
              <w:spacing w:line="500" w:lineRule="exact"/>
              <w:ind w:firstLine="0" w:firstLineChars="0"/>
              <w:contextualSpacing/>
              <w:jc w:val="both"/>
              <w:outlineLvl w:val="9"/>
              <w:rPr>
                <w:rFonts w:ascii="Times New Roman" w:hAnsi="Times New Roman"/>
                <w:color w:val="auto"/>
              </w:rPr>
            </w:pPr>
          </w:p>
          <w:p>
            <w:pPr>
              <w:pStyle w:val="74"/>
              <w:spacing w:line="500" w:lineRule="exact"/>
              <w:ind w:firstLine="0" w:firstLineChars="0"/>
              <w:contextualSpacing/>
              <w:jc w:val="both"/>
              <w:outlineLvl w:val="9"/>
              <w:rPr>
                <w:rFonts w:ascii="Times New Roman" w:hAnsi="Times New Roman"/>
                <w:color w:val="auto"/>
              </w:rPr>
            </w:pPr>
          </w:p>
          <w:p>
            <w:pPr>
              <w:pStyle w:val="74"/>
              <w:spacing w:line="500" w:lineRule="exact"/>
              <w:ind w:firstLine="0" w:firstLineChars="0"/>
              <w:contextualSpacing/>
              <w:jc w:val="both"/>
              <w:outlineLvl w:val="9"/>
              <w:rPr>
                <w:rFonts w:ascii="Times New Roman" w:hAnsi="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489" w:type="dxa"/>
            <w:vAlign w:val="center"/>
          </w:tcPr>
          <w:p>
            <w:pPr>
              <w:adjustRightInd w:val="0"/>
              <w:snapToGrid w:val="0"/>
              <w:jc w:val="center"/>
              <w:rPr>
                <w:rFonts w:ascii="Times New Roman" w:hAnsi="Times New Roman"/>
                <w:color w:val="auto"/>
                <w:kern w:val="0"/>
                <w:sz w:val="24"/>
              </w:rPr>
            </w:pPr>
            <w:r>
              <w:rPr>
                <w:rFonts w:ascii="Times New Roman" w:hAnsi="Times New Roman"/>
                <w:color w:val="auto"/>
                <w:kern w:val="0"/>
                <w:sz w:val="24"/>
              </w:rPr>
              <w:t>总平面及现场布置</w:t>
            </w:r>
          </w:p>
        </w:tc>
        <w:tc>
          <w:tcPr>
            <w:tcW w:w="8459" w:type="dxa"/>
            <w:vAlign w:val="center"/>
          </w:tcPr>
          <w:p>
            <w:pPr>
              <w:spacing w:line="360" w:lineRule="auto"/>
              <w:ind w:firstLine="482" w:firstLineChars="200"/>
              <w:jc w:val="both"/>
              <w:rPr>
                <w:rFonts w:ascii="Times New Roman" w:hAnsi="Times New Roman"/>
                <w:b/>
                <w:color w:val="auto"/>
                <w:kern w:val="0"/>
                <w:sz w:val="24"/>
                <w:szCs w:val="22"/>
                <w:lang w:bidi="ar"/>
              </w:rPr>
            </w:pPr>
            <w:r>
              <w:rPr>
                <w:rFonts w:ascii="Times New Roman" w:hAnsi="Times New Roman"/>
                <w:b/>
                <w:color w:val="auto"/>
                <w:kern w:val="0"/>
                <w:sz w:val="24"/>
                <w:szCs w:val="22"/>
                <w:lang w:bidi="ar"/>
              </w:rPr>
              <w:t>1.钻井期井场平面布置</w:t>
            </w:r>
          </w:p>
          <w:p>
            <w:pPr>
              <w:spacing w:line="360" w:lineRule="auto"/>
              <w:ind w:firstLine="480" w:firstLineChars="200"/>
              <w:jc w:val="both"/>
              <w:rPr>
                <w:rFonts w:ascii="Times New Roman" w:hAnsi="Times New Roman"/>
                <w:color w:val="auto"/>
                <w:kern w:val="0"/>
                <w:sz w:val="24"/>
                <w:szCs w:val="22"/>
                <w:lang w:bidi="ar"/>
              </w:rPr>
            </w:pPr>
            <w:r>
              <w:rPr>
                <w:rFonts w:ascii="Times New Roman" w:hAnsi="Times New Roman"/>
                <w:color w:val="auto"/>
                <w:kern w:val="0"/>
                <w:sz w:val="24"/>
                <w:szCs w:val="22"/>
                <w:lang w:bidi="ar"/>
              </w:rPr>
              <w:t>钻井期井场本着结构简单、流程合理的原则进行布局。井场布置相似，布置有钳工房、录井房、配电房、发电房、罐区、泥浆不落地系统等，项目钻井期单井井场平面布置</w:t>
            </w:r>
            <w:r>
              <w:rPr>
                <w:rFonts w:hint="eastAsia" w:ascii="Times New Roman" w:hAnsi="Times New Roman"/>
                <w:color w:val="auto"/>
                <w:kern w:val="0"/>
                <w:sz w:val="24"/>
                <w:szCs w:val="22"/>
                <w:lang w:bidi="ar"/>
              </w:rPr>
              <w:t>示意图</w:t>
            </w:r>
            <w:r>
              <w:rPr>
                <w:rFonts w:ascii="Times New Roman" w:hAnsi="Times New Roman"/>
                <w:color w:val="auto"/>
                <w:kern w:val="0"/>
                <w:sz w:val="24"/>
                <w:szCs w:val="22"/>
                <w:lang w:bidi="ar"/>
              </w:rPr>
              <w:t>见附图</w:t>
            </w:r>
            <w:r>
              <w:rPr>
                <w:rFonts w:hint="eastAsia" w:ascii="Times New Roman" w:hAnsi="Times New Roman"/>
                <w:color w:val="auto"/>
                <w:kern w:val="0"/>
                <w:sz w:val="24"/>
                <w:szCs w:val="22"/>
                <w:lang w:bidi="ar"/>
              </w:rPr>
              <w:t>4</w:t>
            </w:r>
            <w:r>
              <w:rPr>
                <w:rFonts w:ascii="Times New Roman" w:hAnsi="Times New Roman"/>
                <w:color w:val="auto"/>
                <w:kern w:val="0"/>
                <w:sz w:val="24"/>
                <w:szCs w:val="22"/>
                <w:lang w:bidi="ar"/>
              </w:rPr>
              <w:t>。</w:t>
            </w:r>
          </w:p>
          <w:p>
            <w:pPr>
              <w:spacing w:line="360" w:lineRule="auto"/>
              <w:ind w:firstLine="482" w:firstLineChars="200"/>
              <w:jc w:val="both"/>
              <w:rPr>
                <w:rFonts w:ascii="Times New Roman" w:hAnsi="Times New Roman"/>
                <w:b/>
                <w:color w:val="auto"/>
                <w:kern w:val="0"/>
                <w:sz w:val="24"/>
                <w:szCs w:val="22"/>
                <w:lang w:bidi="ar"/>
              </w:rPr>
            </w:pPr>
            <w:r>
              <w:rPr>
                <w:rFonts w:ascii="Times New Roman" w:hAnsi="Times New Roman"/>
                <w:b/>
                <w:color w:val="auto"/>
                <w:kern w:val="0"/>
                <w:sz w:val="24"/>
                <w:szCs w:val="22"/>
                <w:lang w:bidi="ar"/>
              </w:rPr>
              <w:t>2.地面工程平面布置</w:t>
            </w:r>
          </w:p>
          <w:p>
            <w:pPr>
              <w:spacing w:line="360" w:lineRule="auto"/>
              <w:ind w:firstLine="480" w:firstLineChars="200"/>
              <w:jc w:val="both"/>
              <w:rPr>
                <w:rFonts w:ascii="Times New Roman" w:hAnsi="Times New Roman"/>
                <w:color w:val="auto"/>
                <w:kern w:val="0"/>
                <w:sz w:val="24"/>
                <w:szCs w:val="22"/>
                <w:lang w:bidi="ar"/>
              </w:rPr>
            </w:pPr>
            <w:r>
              <w:rPr>
                <w:rFonts w:ascii="Times New Roman" w:hAnsi="Times New Roman"/>
                <w:color w:val="auto"/>
                <w:kern w:val="0"/>
                <w:sz w:val="24"/>
                <w:szCs w:val="22"/>
                <w:lang w:bidi="ar"/>
              </w:rPr>
              <w:t>地面工程平面布置包括井口装置、抽油机、管线及配套供电、仪表通信等系统工程。春2、春2-6、春99、排19-1区块新</w:t>
            </w:r>
            <w:r>
              <w:rPr>
                <w:rFonts w:ascii="Times New Roman" w:hAnsi="Times New Roman"/>
                <w:color w:val="auto"/>
                <w:kern w:val="0"/>
                <w:sz w:val="24"/>
                <w:szCs w:val="22"/>
                <w:lang w:val="en-GB" w:bidi="ar"/>
              </w:rPr>
              <w:t>建油井</w:t>
            </w:r>
            <w:r>
              <w:rPr>
                <w:rFonts w:ascii="Times New Roman" w:hAnsi="Times New Roman"/>
                <w:color w:val="auto"/>
                <w:kern w:val="0"/>
                <w:sz w:val="24"/>
                <w:szCs w:val="22"/>
                <w:lang w:bidi="ar"/>
              </w:rPr>
              <w:t>15</w:t>
            </w:r>
            <w:r>
              <w:rPr>
                <w:rFonts w:ascii="Times New Roman" w:hAnsi="Times New Roman"/>
                <w:color w:val="auto"/>
                <w:kern w:val="0"/>
                <w:sz w:val="24"/>
                <w:szCs w:val="22"/>
                <w:lang w:val="en-GB" w:bidi="ar"/>
              </w:rPr>
              <w:t>口，</w:t>
            </w:r>
            <w:r>
              <w:rPr>
                <w:rFonts w:ascii="Times New Roman" w:hAnsi="Times New Roman"/>
                <w:color w:val="auto"/>
                <w:kern w:val="0"/>
                <w:sz w:val="24"/>
                <w:szCs w:val="22"/>
                <w:lang w:bidi="ar"/>
              </w:rPr>
              <w:t>新建1.5km单井集输管线</w:t>
            </w:r>
            <w:r>
              <w:rPr>
                <w:rFonts w:hint="eastAsia" w:ascii="Times New Roman" w:hAnsi="Times New Roman"/>
                <w:color w:val="auto"/>
                <w:kern w:val="0"/>
                <w:sz w:val="24"/>
                <w:szCs w:val="22"/>
                <w:lang w:bidi="ar"/>
              </w:rPr>
              <w:t>和2km井场道路；</w:t>
            </w:r>
            <w:r>
              <w:rPr>
                <w:rFonts w:ascii="Times New Roman" w:hAnsi="Times New Roman"/>
                <w:color w:val="auto"/>
                <w:kern w:val="0"/>
                <w:sz w:val="24"/>
                <w:szCs w:val="22"/>
                <w:lang w:bidi="ar"/>
              </w:rPr>
              <w:t>永久占地面积28920m</w:t>
            </w:r>
            <w:r>
              <w:rPr>
                <w:rFonts w:ascii="Times New Roman" w:hAnsi="Times New Roman"/>
                <w:color w:val="auto"/>
                <w:kern w:val="0"/>
                <w:sz w:val="24"/>
                <w:szCs w:val="22"/>
                <w:vertAlign w:val="superscript"/>
                <w:lang w:bidi="ar"/>
              </w:rPr>
              <w:t>2</w:t>
            </w:r>
            <w:r>
              <w:rPr>
                <w:rFonts w:ascii="Times New Roman" w:hAnsi="Times New Roman"/>
                <w:color w:val="auto"/>
                <w:kern w:val="0"/>
                <w:sz w:val="24"/>
                <w:szCs w:val="22"/>
                <w:lang w:bidi="ar"/>
              </w:rPr>
              <w:t>，临时占地面积12000m</w:t>
            </w:r>
            <w:r>
              <w:rPr>
                <w:rFonts w:ascii="Times New Roman" w:hAnsi="Times New Roman"/>
                <w:color w:val="auto"/>
                <w:kern w:val="0"/>
                <w:sz w:val="24"/>
                <w:szCs w:val="22"/>
                <w:vertAlign w:val="superscript"/>
                <w:lang w:bidi="ar"/>
              </w:rPr>
              <w:t>2</w:t>
            </w:r>
            <w:r>
              <w:rPr>
                <w:rFonts w:ascii="Times New Roman" w:hAnsi="Times New Roman"/>
                <w:color w:val="auto"/>
                <w:kern w:val="0"/>
                <w:sz w:val="24"/>
                <w:szCs w:val="22"/>
                <w:lang w:bidi="ar"/>
              </w:rPr>
              <w:t>，主要占地类型为</w:t>
            </w:r>
            <w:r>
              <w:rPr>
                <w:rFonts w:hint="eastAsia" w:ascii="Times New Roman" w:hAnsi="Times New Roman"/>
                <w:color w:val="auto"/>
                <w:kern w:val="0"/>
                <w:sz w:val="24"/>
                <w:szCs w:val="22"/>
                <w:lang w:bidi="ar"/>
              </w:rPr>
              <w:t>耕地</w:t>
            </w:r>
            <w:r>
              <w:rPr>
                <w:rFonts w:ascii="Times New Roman" w:hAnsi="Times New Roman"/>
                <w:color w:val="auto"/>
                <w:kern w:val="0"/>
                <w:sz w:val="24"/>
                <w:szCs w:val="22"/>
                <w:lang w:bidi="ar"/>
              </w:rPr>
              <w:t>。每口井井场</w:t>
            </w:r>
            <w:r>
              <w:rPr>
                <w:rFonts w:hint="eastAsia" w:ascii="Times New Roman" w:hAnsi="Times New Roman"/>
                <w:color w:val="auto"/>
                <w:kern w:val="0"/>
                <w:sz w:val="24"/>
                <w:szCs w:val="22"/>
                <w:lang w:bidi="ar"/>
              </w:rPr>
              <w:t>建设</w:t>
            </w:r>
            <w:r>
              <w:rPr>
                <w:rFonts w:ascii="Times New Roman" w:hAnsi="Times New Roman"/>
                <w:color w:val="auto"/>
                <w:kern w:val="0"/>
                <w:sz w:val="24"/>
                <w:szCs w:val="22"/>
                <w:lang w:bidi="ar"/>
              </w:rPr>
              <w:t>道路长约200m，按3.5m宽泥结碎石路考虑，征地6.0m宽，井场道路征地1200m</w:t>
            </w:r>
            <w:r>
              <w:rPr>
                <w:rFonts w:ascii="Times New Roman" w:hAnsi="Times New Roman"/>
                <w:color w:val="auto"/>
                <w:kern w:val="0"/>
                <w:sz w:val="24"/>
                <w:szCs w:val="22"/>
                <w:vertAlign w:val="superscript"/>
                <w:lang w:bidi="ar"/>
              </w:rPr>
              <w:t>2</w:t>
            </w:r>
            <w:r>
              <w:rPr>
                <w:rFonts w:ascii="Times New Roman" w:hAnsi="Times New Roman"/>
                <w:color w:val="auto"/>
                <w:kern w:val="0"/>
                <w:sz w:val="24"/>
                <w:szCs w:val="22"/>
                <w:lang w:bidi="ar"/>
              </w:rPr>
              <w:t>；井场道路铺筑700m</w:t>
            </w:r>
            <w:r>
              <w:rPr>
                <w:rFonts w:ascii="Times New Roman" w:hAnsi="Times New Roman"/>
                <w:color w:val="auto"/>
                <w:kern w:val="0"/>
                <w:sz w:val="24"/>
                <w:szCs w:val="22"/>
                <w:vertAlign w:val="superscript"/>
                <w:lang w:bidi="ar"/>
              </w:rPr>
              <w:t>2</w:t>
            </w:r>
            <w:r>
              <w:rPr>
                <w:rFonts w:ascii="Times New Roman" w:hAnsi="Times New Roman"/>
                <w:color w:val="auto"/>
                <w:kern w:val="0"/>
                <w:sz w:val="24"/>
                <w:szCs w:val="22"/>
                <w:lang w:bidi="ar"/>
              </w:rPr>
              <w:t>，进高架罐单井井场内铺筑1250m</w:t>
            </w:r>
            <w:r>
              <w:rPr>
                <w:rFonts w:ascii="Times New Roman" w:hAnsi="Times New Roman"/>
                <w:color w:val="auto"/>
                <w:kern w:val="0"/>
                <w:sz w:val="24"/>
                <w:szCs w:val="22"/>
                <w:vertAlign w:val="superscript"/>
                <w:lang w:bidi="ar"/>
              </w:rPr>
              <w:t>2</w:t>
            </w:r>
            <w:r>
              <w:rPr>
                <w:rFonts w:ascii="Times New Roman" w:hAnsi="Times New Roman"/>
                <w:color w:val="auto"/>
                <w:kern w:val="0"/>
                <w:sz w:val="24"/>
                <w:szCs w:val="22"/>
                <w:lang w:bidi="ar"/>
              </w:rPr>
              <w:t>。每口井场四周设置围栏，设置6.0m宽大门1座。每口井场增加1套井号及警示牌。</w:t>
            </w:r>
          </w:p>
          <w:p>
            <w:pPr>
              <w:pStyle w:val="74"/>
              <w:spacing w:line="360" w:lineRule="auto"/>
              <w:ind w:firstLine="480"/>
              <w:jc w:val="both"/>
              <w:outlineLvl w:val="9"/>
              <w:rPr>
                <w:rFonts w:ascii="Times New Roman" w:hAnsi="Times New Roman"/>
                <w:color w:val="auto"/>
                <w:sz w:val="21"/>
                <w:szCs w:val="21"/>
              </w:rPr>
            </w:pPr>
            <w:r>
              <w:rPr>
                <w:rFonts w:ascii="Times New Roman" w:hAnsi="Times New Roman"/>
                <w:b w:val="0"/>
                <w:bCs/>
                <w:color w:val="auto"/>
                <w:lang w:bidi="ar"/>
              </w:rPr>
              <w:t>项目运营期</w:t>
            </w:r>
            <w:r>
              <w:rPr>
                <w:rFonts w:hint="eastAsia" w:ascii="Times New Roman" w:hAnsi="Times New Roman"/>
                <w:b w:val="0"/>
                <w:bCs/>
                <w:color w:val="auto"/>
                <w:lang w:bidi="ar"/>
              </w:rPr>
              <w:t>地面工程平面布置示意图</w:t>
            </w:r>
            <w:r>
              <w:rPr>
                <w:rFonts w:ascii="Times New Roman" w:hAnsi="Times New Roman"/>
                <w:b w:val="0"/>
                <w:bCs/>
                <w:color w:val="auto"/>
                <w:lang w:bidi="ar"/>
              </w:rPr>
              <w:t>见附图</w:t>
            </w:r>
            <w:r>
              <w:rPr>
                <w:rFonts w:hint="eastAsia" w:ascii="Times New Roman" w:hAnsi="Times New Roman"/>
                <w:b w:val="0"/>
                <w:bCs/>
                <w:color w:val="auto"/>
                <w:lang w:bidi="ar"/>
              </w:rPr>
              <w:t>5，集输管线和井场道路走向示意图见附图6</w:t>
            </w:r>
            <w:r>
              <w:rPr>
                <w:rFonts w:ascii="Times New Roman" w:hAnsi="Times New Roman"/>
                <w:b w:val="0"/>
                <w:bCs/>
                <w:color w:val="auto"/>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vAlign w:val="center"/>
          </w:tcPr>
          <w:p>
            <w:pPr>
              <w:adjustRightInd w:val="0"/>
              <w:snapToGrid w:val="0"/>
              <w:jc w:val="center"/>
              <w:rPr>
                <w:rFonts w:ascii="Times New Roman" w:hAnsi="Times New Roman"/>
                <w:color w:val="auto"/>
                <w:kern w:val="0"/>
                <w:sz w:val="24"/>
              </w:rPr>
            </w:pPr>
            <w:r>
              <w:rPr>
                <w:rFonts w:ascii="Times New Roman" w:hAnsi="Times New Roman"/>
                <w:color w:val="auto"/>
                <w:kern w:val="0"/>
                <w:sz w:val="24"/>
              </w:rPr>
              <w:t>施工方案</w:t>
            </w:r>
          </w:p>
        </w:tc>
        <w:tc>
          <w:tcPr>
            <w:tcW w:w="8459" w:type="dxa"/>
            <w:vAlign w:val="center"/>
          </w:tcPr>
          <w:p>
            <w:pPr>
              <w:pStyle w:val="48"/>
              <w:adjustRightInd w:val="0"/>
              <w:snapToGrid w:val="0"/>
              <w:spacing w:line="480" w:lineRule="exact"/>
              <w:ind w:firstLine="480"/>
              <w:jc w:val="both"/>
              <w:rPr>
                <w:rFonts w:ascii="Times New Roman" w:hAnsi="Times New Roman"/>
                <w:color w:val="auto"/>
              </w:rPr>
            </w:pPr>
            <w:r>
              <w:rPr>
                <w:rFonts w:ascii="Times New Roman" w:hAnsi="Times New Roman"/>
                <w:color w:val="auto"/>
                <w:lang w:bidi="ar"/>
              </w:rPr>
              <w:t>钻井是油田勘探开发的主要工艺过程之一，是确定地层油藏构造、采油的唯一手段。其工艺包括钻井、固井（下套管、注水泥）和完井等过程。钻井前要进行钻前准备工作，完井后要清理井场。</w:t>
            </w:r>
          </w:p>
          <w:p>
            <w:pPr>
              <w:pStyle w:val="48"/>
              <w:adjustRightInd w:val="0"/>
              <w:snapToGrid w:val="0"/>
              <w:spacing w:line="480" w:lineRule="exact"/>
              <w:ind w:firstLine="480"/>
              <w:jc w:val="both"/>
              <w:rPr>
                <w:rFonts w:ascii="Times New Roman" w:hAnsi="Times New Roman"/>
                <w:color w:val="auto"/>
              </w:rPr>
            </w:pPr>
            <w:r>
              <w:rPr>
                <w:rFonts w:ascii="Times New Roman" w:hAnsi="Times New Roman"/>
                <w:color w:val="auto"/>
                <w:lang w:bidi="ar"/>
              </w:rPr>
              <w:t>本项目施工期主要包括钻前准备、钻井工程、井口装置的安装、集输管线及输电线的敷设等工程的建设。</w:t>
            </w:r>
          </w:p>
          <w:p>
            <w:pPr>
              <w:pStyle w:val="48"/>
              <w:adjustRightInd w:val="0"/>
              <w:snapToGrid w:val="0"/>
              <w:ind w:firstLine="482"/>
              <w:jc w:val="both"/>
              <w:rPr>
                <w:rFonts w:ascii="Times New Roman" w:hAnsi="Times New Roman"/>
                <w:b/>
                <w:bCs/>
                <w:color w:val="auto"/>
              </w:rPr>
            </w:pPr>
            <w:r>
              <w:rPr>
                <w:rFonts w:ascii="Times New Roman" w:hAnsi="Times New Roman"/>
                <w:b/>
                <w:bCs/>
                <w:color w:val="auto"/>
              </w:rPr>
              <w:t>1．钻前准备</w:t>
            </w:r>
          </w:p>
          <w:p>
            <w:pPr>
              <w:pStyle w:val="48"/>
              <w:adjustRightInd w:val="0"/>
              <w:snapToGrid w:val="0"/>
              <w:ind w:firstLine="480"/>
              <w:jc w:val="both"/>
              <w:rPr>
                <w:rFonts w:ascii="Times New Roman" w:hAnsi="Times New Roman"/>
                <w:color w:val="auto"/>
              </w:rPr>
            </w:pPr>
            <w:r>
              <w:rPr>
                <w:rFonts w:ascii="Times New Roman" w:hAnsi="Times New Roman"/>
                <w:color w:val="auto"/>
              </w:rPr>
              <w:t>包括平整井场和井场道路、构筑钻井设备地基、布置钻井设备、探临道路、放喷管线等设施的建设，</w:t>
            </w:r>
            <w:r>
              <w:rPr>
                <w:rFonts w:ascii="Times New Roman" w:hAnsi="Times New Roman"/>
                <w:bCs/>
                <w:color w:val="auto"/>
              </w:rPr>
              <w:t>砾石铺垫等施工作业</w:t>
            </w:r>
            <w:r>
              <w:rPr>
                <w:rFonts w:ascii="Times New Roman" w:hAnsi="Times New Roman"/>
                <w:color w:val="auto"/>
              </w:rPr>
              <w:t>。</w:t>
            </w:r>
          </w:p>
          <w:p>
            <w:pPr>
              <w:pStyle w:val="48"/>
              <w:adjustRightInd w:val="0"/>
              <w:snapToGrid w:val="0"/>
              <w:ind w:firstLine="482"/>
              <w:jc w:val="both"/>
              <w:rPr>
                <w:rFonts w:ascii="Times New Roman" w:hAnsi="Times New Roman"/>
                <w:color w:val="auto"/>
              </w:rPr>
            </w:pPr>
            <w:r>
              <w:rPr>
                <w:rFonts w:ascii="Times New Roman" w:hAnsi="Times New Roman"/>
                <w:b/>
                <w:bCs/>
                <w:color w:val="auto"/>
              </w:rPr>
              <w:t>2．钻井工程施工方案</w:t>
            </w:r>
          </w:p>
          <w:p>
            <w:pPr>
              <w:pStyle w:val="48"/>
              <w:adjustRightInd w:val="0"/>
              <w:snapToGrid w:val="0"/>
              <w:ind w:firstLine="480"/>
              <w:jc w:val="both"/>
              <w:rPr>
                <w:rFonts w:ascii="Times New Roman" w:hAnsi="Times New Roman"/>
                <w:bCs/>
                <w:color w:val="auto"/>
              </w:rPr>
            </w:pPr>
            <w:r>
              <w:rPr>
                <w:rFonts w:ascii="Times New Roman" w:hAnsi="Times New Roman"/>
                <w:bCs/>
                <w:color w:val="auto"/>
              </w:rPr>
              <w:t>（1）井口基本信息</w:t>
            </w:r>
          </w:p>
          <w:p>
            <w:pPr>
              <w:pStyle w:val="48"/>
              <w:adjustRightInd w:val="0"/>
              <w:snapToGrid w:val="0"/>
              <w:ind w:firstLine="480"/>
              <w:jc w:val="both"/>
              <w:rPr>
                <w:rFonts w:ascii="Times New Roman" w:hAnsi="Times New Roman"/>
                <w:color w:val="auto"/>
              </w:rPr>
            </w:pPr>
            <w:r>
              <w:rPr>
                <w:rFonts w:ascii="Times New Roman" w:hAnsi="Times New Roman"/>
                <w:snapToGrid w:val="0"/>
                <w:color w:val="auto"/>
              </w:rPr>
              <w:t>本次拟部署15口采油井，合计钻井进尺1.49×10</w:t>
            </w:r>
            <w:r>
              <w:rPr>
                <w:rFonts w:ascii="Times New Roman" w:hAnsi="Times New Roman"/>
                <w:snapToGrid w:val="0"/>
                <w:color w:val="auto"/>
                <w:vertAlign w:val="superscript"/>
              </w:rPr>
              <w:t>4</w:t>
            </w:r>
            <w:r>
              <w:rPr>
                <w:rFonts w:ascii="Times New Roman" w:hAnsi="Times New Roman"/>
                <w:snapToGrid w:val="0"/>
                <w:color w:val="auto"/>
              </w:rPr>
              <w:t>m</w:t>
            </w:r>
            <w:r>
              <w:rPr>
                <w:rFonts w:ascii="Times New Roman" w:hAnsi="Times New Roman"/>
                <w:color w:val="auto"/>
              </w:rPr>
              <w:t>，新钻井号、井位坐标、钻井进尺等参数见表2-3。井位分布示意图见附图</w:t>
            </w:r>
            <w:r>
              <w:rPr>
                <w:rFonts w:hint="eastAsia" w:ascii="Times New Roman" w:hAnsi="Times New Roman"/>
                <w:color w:val="auto"/>
              </w:rPr>
              <w:t>7</w:t>
            </w:r>
            <w:r>
              <w:rPr>
                <w:rFonts w:ascii="Times New Roman" w:hAnsi="Times New Roman"/>
                <w:color w:val="auto"/>
              </w:rPr>
              <w:t>。</w:t>
            </w:r>
          </w:p>
          <w:p>
            <w:pPr>
              <w:pStyle w:val="48"/>
              <w:adjustRightInd w:val="0"/>
              <w:snapToGrid w:val="0"/>
              <w:ind w:firstLine="480"/>
              <w:jc w:val="both"/>
              <w:rPr>
                <w:rFonts w:ascii="Times New Roman" w:hAnsi="Times New Roman"/>
                <w:color w:val="auto"/>
              </w:rPr>
            </w:pPr>
          </w:p>
          <w:p>
            <w:pPr>
              <w:pStyle w:val="48"/>
              <w:adjustRightInd w:val="0"/>
              <w:snapToGrid w:val="0"/>
              <w:ind w:firstLine="480"/>
              <w:jc w:val="both"/>
              <w:rPr>
                <w:rFonts w:ascii="Times New Roman" w:hAnsi="Times New Roman"/>
                <w:color w:val="auto"/>
              </w:rPr>
            </w:pPr>
          </w:p>
          <w:p>
            <w:pPr>
              <w:pStyle w:val="48"/>
              <w:adjustRightInd w:val="0"/>
              <w:snapToGrid w:val="0"/>
              <w:ind w:firstLine="480"/>
              <w:jc w:val="both"/>
              <w:rPr>
                <w:rFonts w:ascii="Times New Roman" w:hAnsi="Times New Roman"/>
                <w:color w:val="auto"/>
              </w:rPr>
            </w:pPr>
          </w:p>
          <w:p>
            <w:pPr>
              <w:pStyle w:val="74"/>
              <w:adjustRightInd w:val="0"/>
              <w:snapToGrid w:val="0"/>
              <w:spacing w:line="240" w:lineRule="auto"/>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表2-3  新钻井号、井位坐标、钻井进尺等参数一览表</w:t>
            </w:r>
          </w:p>
          <w:tbl>
            <w:tblPr>
              <w:tblStyle w:val="37"/>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76"/>
              <w:gridCol w:w="1757"/>
              <w:gridCol w:w="2390"/>
              <w:gridCol w:w="2082"/>
              <w:gridCol w:w="143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349" w:type="pct"/>
                  <w:vMerge w:val="restar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序号</w:t>
                  </w:r>
                </w:p>
              </w:tc>
              <w:tc>
                <w:tcPr>
                  <w:tcW w:w="1065" w:type="pct"/>
                  <w:vMerge w:val="restar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名称</w:t>
                  </w:r>
                </w:p>
              </w:tc>
              <w:tc>
                <w:tcPr>
                  <w:tcW w:w="2713" w:type="pct"/>
                  <w:gridSpan w:val="2"/>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坐标</w:t>
                  </w:r>
                </w:p>
              </w:tc>
              <w:tc>
                <w:tcPr>
                  <w:tcW w:w="872" w:type="pct"/>
                  <w:vMerge w:val="restar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钻井进尺（m）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349" w:type="pct"/>
                  <w:vMerge w:val="continue"/>
                  <w:shd w:val="clear" w:color="auto" w:fill="auto"/>
                  <w:vAlign w:val="center"/>
                </w:tcPr>
                <w:p>
                  <w:pPr>
                    <w:adjustRightInd w:val="0"/>
                    <w:snapToGrid w:val="0"/>
                    <w:spacing w:line="240" w:lineRule="exact"/>
                    <w:jc w:val="center"/>
                    <w:rPr>
                      <w:rFonts w:ascii="Times New Roman" w:hAnsi="Times New Roman"/>
                      <w:color w:val="auto"/>
                      <w:szCs w:val="21"/>
                    </w:rPr>
                  </w:pPr>
                </w:p>
              </w:tc>
              <w:tc>
                <w:tcPr>
                  <w:tcW w:w="1065" w:type="pct"/>
                  <w:vMerge w:val="continue"/>
                  <w:shd w:val="clear" w:color="auto" w:fill="auto"/>
                  <w:vAlign w:val="center"/>
                </w:tcPr>
                <w:p>
                  <w:pPr>
                    <w:adjustRightInd w:val="0"/>
                    <w:snapToGrid w:val="0"/>
                    <w:spacing w:line="240" w:lineRule="exact"/>
                    <w:jc w:val="center"/>
                    <w:rPr>
                      <w:rFonts w:ascii="Times New Roman" w:hAnsi="Times New Roman"/>
                      <w:color w:val="auto"/>
                      <w:szCs w:val="21"/>
                    </w:rPr>
                  </w:pPr>
                </w:p>
              </w:tc>
              <w:tc>
                <w:tcPr>
                  <w:tcW w:w="1450"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东经</w:t>
                  </w:r>
                </w:p>
              </w:tc>
              <w:tc>
                <w:tcPr>
                  <w:tcW w:w="126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北纬</w:t>
                  </w:r>
                </w:p>
              </w:tc>
              <w:tc>
                <w:tcPr>
                  <w:tcW w:w="872" w:type="pct"/>
                  <w:vMerge w:val="continue"/>
                  <w:shd w:val="clear" w:color="auto" w:fill="auto"/>
                  <w:vAlign w:val="center"/>
                </w:tcPr>
                <w:p>
                  <w:pPr>
                    <w:adjustRightInd w:val="0"/>
                    <w:snapToGrid w:val="0"/>
                    <w:spacing w:line="240" w:lineRule="exact"/>
                    <w:jc w:val="center"/>
                    <w:rPr>
                      <w:rFonts w:ascii="Times New Roman" w:hAnsi="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一</w:t>
                  </w:r>
                </w:p>
              </w:tc>
              <w:tc>
                <w:tcPr>
                  <w:tcW w:w="4650" w:type="pct"/>
                  <w:gridSpan w:val="4"/>
                  <w:shd w:val="clear" w:color="auto" w:fill="auto"/>
                  <w:vAlign w:val="center"/>
                </w:tcPr>
                <w:p>
                  <w:pPr>
                    <w:adjustRightInd w:val="0"/>
                    <w:snapToGrid w:val="0"/>
                    <w:spacing w:line="240" w:lineRule="exact"/>
                    <w:rPr>
                      <w:rFonts w:ascii="Times New Roman" w:hAnsi="Times New Roman"/>
                      <w:color w:val="auto"/>
                      <w:szCs w:val="21"/>
                    </w:rPr>
                  </w:pPr>
                  <w:r>
                    <w:rPr>
                      <w:rFonts w:ascii="Times New Roman" w:hAnsi="Times New Roman"/>
                      <w:color w:val="auto"/>
                      <w:szCs w:val="21"/>
                    </w:rPr>
                    <w:t>春2和春2-6区块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春2-06</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84°31′34.411″</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44°58′36.624″</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971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2</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春2-07</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84°31′50.465″</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44°58′34.753″</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972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3</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春2-08</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84°32′13.355″</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44°58′39.523″</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967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春2-606</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84°29′47.013″</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44°57′10.835″</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1071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5</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春2-607</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84°29′51.838″</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44°57′08.978″</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1073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二</w:t>
                  </w:r>
                </w:p>
              </w:tc>
              <w:tc>
                <w:tcPr>
                  <w:tcW w:w="4650" w:type="pct"/>
                  <w:gridSpan w:val="4"/>
                  <w:shd w:val="clear" w:color="auto" w:fill="auto"/>
                  <w:vAlign w:val="center"/>
                </w:tcPr>
                <w:p>
                  <w:pPr>
                    <w:adjustRightInd w:val="0"/>
                    <w:snapToGrid w:val="0"/>
                    <w:spacing w:line="240" w:lineRule="exact"/>
                    <w:rPr>
                      <w:rFonts w:ascii="Times New Roman" w:hAnsi="Times New Roman"/>
                      <w:color w:val="auto"/>
                      <w:szCs w:val="21"/>
                    </w:rPr>
                  </w:pPr>
                  <w:r>
                    <w:rPr>
                      <w:rFonts w:ascii="Times New Roman" w:hAnsi="Times New Roman"/>
                      <w:color w:val="auto"/>
                      <w:szCs w:val="21"/>
                    </w:rPr>
                    <w:t>春99区块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6</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春99-2</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84°29′21.004″</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44°58′04.278″</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1015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7</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春99-3</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84°29′21.004″</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44°58′04.278″</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1012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春99-4</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84°29′21.004″</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44°58′04.278″</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1013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9</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春99-5</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84°29′21.004″</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44°58′04.278″</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1014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10</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春99-6</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84°29′49.696″</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44°57′48.792″</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1016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11</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春99-7</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84°29′49.696″</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44°57′48.792″</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1017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三</w:t>
                  </w:r>
                </w:p>
              </w:tc>
              <w:tc>
                <w:tcPr>
                  <w:tcW w:w="4650" w:type="pct"/>
                  <w:gridSpan w:val="4"/>
                  <w:shd w:val="clear" w:color="auto" w:fill="auto"/>
                  <w:vAlign w:val="center"/>
                </w:tcPr>
                <w:p>
                  <w:pPr>
                    <w:adjustRightInd w:val="0"/>
                    <w:snapToGrid w:val="0"/>
                    <w:spacing w:line="240" w:lineRule="exact"/>
                    <w:rPr>
                      <w:rFonts w:ascii="Times New Roman" w:hAnsi="Times New Roman"/>
                      <w:color w:val="auto"/>
                      <w:kern w:val="0"/>
                      <w:szCs w:val="21"/>
                    </w:rPr>
                  </w:pPr>
                  <w:r>
                    <w:rPr>
                      <w:rFonts w:ascii="Times New Roman" w:hAnsi="Times New Roman"/>
                      <w:color w:val="auto"/>
                      <w:kern w:val="0"/>
                      <w:szCs w:val="21"/>
                    </w:rPr>
                    <w:t>排19-1区块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12</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排19-5</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84°31′06.561″</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44°59′06.473″</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945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13</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排19-6</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84°31′28.781″</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44°59′08.818″</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946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14</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排19-7</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84°32′03.189″</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44°59′13.292″</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940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49"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15</w:t>
                  </w:r>
                </w:p>
              </w:tc>
              <w:tc>
                <w:tcPr>
                  <w:tcW w:w="1065"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排19-8</w:t>
                  </w:r>
                </w:p>
              </w:tc>
              <w:tc>
                <w:tcPr>
                  <w:tcW w:w="1450"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84°32′12.326″</w:t>
                  </w:r>
                </w:p>
              </w:tc>
              <w:tc>
                <w:tcPr>
                  <w:tcW w:w="1262" w:type="pct"/>
                  <w:shd w:val="clear" w:color="auto" w:fill="auto"/>
                  <w:vAlign w:val="bottom"/>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44°59′09.916″</w:t>
                  </w:r>
                </w:p>
              </w:tc>
              <w:tc>
                <w:tcPr>
                  <w:tcW w:w="872" w:type="pct"/>
                  <w:shd w:val="clear" w:color="auto" w:fill="auto"/>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942</w:t>
                  </w:r>
                </w:p>
              </w:tc>
            </w:tr>
          </w:tbl>
          <w:p>
            <w:pPr>
              <w:pStyle w:val="48"/>
              <w:spacing w:before="120" w:beforeLines="50" w:line="360" w:lineRule="auto"/>
              <w:ind w:firstLine="480"/>
              <w:jc w:val="both"/>
              <w:rPr>
                <w:rFonts w:ascii="Times New Roman" w:hAnsi="Times New Roman"/>
                <w:bCs/>
                <w:color w:val="auto"/>
              </w:rPr>
            </w:pPr>
            <w:r>
              <w:rPr>
                <w:rFonts w:ascii="Times New Roman" w:hAnsi="Times New Roman"/>
                <w:color w:val="auto"/>
              </w:rPr>
              <w:t>（2）</w:t>
            </w:r>
            <w:r>
              <w:rPr>
                <w:rFonts w:ascii="Times New Roman" w:hAnsi="Times New Roman"/>
                <w:bCs/>
                <w:color w:val="auto"/>
              </w:rPr>
              <w:t>工艺流程</w:t>
            </w:r>
          </w:p>
          <w:p>
            <w:pPr>
              <w:pStyle w:val="48"/>
              <w:spacing w:line="360" w:lineRule="auto"/>
              <w:ind w:firstLine="480"/>
              <w:jc w:val="both"/>
              <w:rPr>
                <w:rFonts w:ascii="Times New Roman" w:hAnsi="Times New Roman"/>
                <w:color w:val="auto"/>
                <w:highlight w:val="yellow"/>
              </w:rPr>
            </w:pPr>
            <w:r>
              <w:rPr>
                <w:rFonts w:ascii="Times New Roman" w:hAnsi="Times New Roman"/>
                <w:color w:val="auto"/>
              </w:rPr>
              <w:t>井场配有控制室（车），井场边缘靠近泥浆循环系统处设置泥浆罐（钻井期间存放钻井岩屑、废泥浆和废水）。在钻井时，泥浆自井口径钻杆、钻头至井底，携带井底的岩屑上返地面，经泥浆固相控制系统除去岩屑后循环使用，钻井液循环示意图见图2-1。</w:t>
            </w:r>
          </w:p>
          <w:p>
            <w:pPr>
              <w:pStyle w:val="48"/>
              <w:spacing w:line="360" w:lineRule="auto"/>
              <w:ind w:firstLine="0" w:firstLineChars="0"/>
              <w:jc w:val="center"/>
              <w:rPr>
                <w:rFonts w:ascii="Times New Roman" w:hAnsi="Times New Roman"/>
                <w:color w:val="auto"/>
              </w:rPr>
            </w:pPr>
            <w:r>
              <w:rPr>
                <w:rFonts w:ascii="Times New Roman" w:hAnsi="Times New Roman"/>
                <w:color w:val="auto"/>
              </w:rPr>
              <w:drawing>
                <wp:inline distT="0" distB="0" distL="114300" distR="114300">
                  <wp:extent cx="4159885" cy="1347470"/>
                  <wp:effectExtent l="9525" t="9525" r="21590" b="14605"/>
                  <wp:docPr id="19" name="图片 19" descr="泥浆循环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泥浆循环工艺"/>
                          <pic:cNvPicPr>
                            <a:picLocks noChangeAspect="1"/>
                          </pic:cNvPicPr>
                        </pic:nvPicPr>
                        <pic:blipFill>
                          <a:blip r:embed="rId9"/>
                          <a:stretch>
                            <a:fillRect/>
                          </a:stretch>
                        </pic:blipFill>
                        <pic:spPr>
                          <a:xfrm>
                            <a:off x="0" y="0"/>
                            <a:ext cx="4159885" cy="1347470"/>
                          </a:xfrm>
                          <a:prstGeom prst="rect">
                            <a:avLst/>
                          </a:prstGeom>
                          <a:ln>
                            <a:solidFill>
                              <a:schemeClr val="tx1"/>
                            </a:solidFill>
                          </a:ln>
                        </pic:spPr>
                      </pic:pic>
                    </a:graphicData>
                  </a:graphic>
                </wp:inline>
              </w:drawing>
            </w:r>
          </w:p>
          <w:p>
            <w:pPr>
              <w:pStyle w:val="48"/>
              <w:spacing w:line="360" w:lineRule="auto"/>
              <w:ind w:firstLine="482"/>
              <w:jc w:val="center"/>
              <w:rPr>
                <w:rFonts w:ascii="Times New Roman" w:hAnsi="Times New Roman"/>
                <w:b/>
                <w:bCs/>
                <w:color w:val="auto"/>
              </w:rPr>
            </w:pPr>
            <w:r>
              <w:rPr>
                <w:rFonts w:ascii="Times New Roman" w:hAnsi="Times New Roman"/>
                <w:b/>
                <w:bCs/>
                <w:color w:val="auto"/>
              </w:rPr>
              <w:t>图2-1  钻井液循环示意图</w:t>
            </w:r>
          </w:p>
          <w:p>
            <w:pPr>
              <w:pStyle w:val="48"/>
              <w:spacing w:line="360" w:lineRule="auto"/>
              <w:ind w:firstLine="480"/>
              <w:jc w:val="both"/>
              <w:rPr>
                <w:rFonts w:ascii="Times New Roman" w:hAnsi="Times New Roman"/>
                <w:color w:val="auto"/>
              </w:rPr>
            </w:pPr>
            <w:r>
              <w:rPr>
                <w:rFonts w:ascii="Times New Roman" w:hAnsi="Times New Roman"/>
                <w:color w:val="auto"/>
              </w:rPr>
              <w:t xml:space="preserve">在钻井过程中，根据钻头磨损情况、地层情况、井深设计及控制要求等需更换钻具而进行起下钻操作。钻杆、钻铤等钻具粘附少量的钻井液和钻屑，这部分固体废物排往井场泥浆罐内。 </w:t>
            </w:r>
          </w:p>
          <w:p>
            <w:pPr>
              <w:pStyle w:val="48"/>
              <w:spacing w:line="360" w:lineRule="auto"/>
              <w:ind w:firstLine="480"/>
              <w:jc w:val="both"/>
              <w:rPr>
                <w:rFonts w:ascii="Times New Roman" w:hAnsi="Times New Roman"/>
                <w:color w:val="auto"/>
              </w:rPr>
            </w:pPr>
            <w:r>
              <w:rPr>
                <w:rFonts w:ascii="Times New Roman" w:hAnsi="Times New Roman"/>
                <w:color w:val="auto"/>
              </w:rPr>
              <w:t xml:space="preserve">采用双层套管，水泥返高地面方式进行固井。在完成最后一个井段的钻井和固井后，实施完井作业，如果因未钻获油藏等原因而需弃井时，则封堵井眼，切除地面以下1m内的套管头。 </w:t>
            </w:r>
          </w:p>
          <w:p>
            <w:pPr>
              <w:pStyle w:val="48"/>
              <w:spacing w:line="360" w:lineRule="auto"/>
              <w:ind w:firstLine="480"/>
              <w:jc w:val="both"/>
              <w:rPr>
                <w:rFonts w:ascii="Times New Roman" w:hAnsi="Times New Roman"/>
                <w:color w:val="auto"/>
                <w:highlight w:val="yellow"/>
              </w:rPr>
            </w:pPr>
            <w:r>
              <w:rPr>
                <w:rFonts w:ascii="Times New Roman" w:hAnsi="Times New Roman"/>
                <w:color w:val="auto"/>
              </w:rPr>
              <w:t>完井后清理井场，随即可开展采油生产或试采。完井后要清运井场废弃物，恢复地貌，做到工完料尽场地清。钻井作业流程及产污环节详见图2-2。</w:t>
            </w:r>
          </w:p>
          <w:p>
            <w:pPr>
              <w:pStyle w:val="48"/>
              <w:spacing w:line="360" w:lineRule="auto"/>
              <w:ind w:firstLine="0" w:firstLineChars="0"/>
              <w:jc w:val="center"/>
              <w:rPr>
                <w:rFonts w:ascii="Times New Roman" w:hAnsi="Times New Roman"/>
                <w:color w:val="auto"/>
              </w:rPr>
            </w:pPr>
            <w:r>
              <w:rPr>
                <w:rFonts w:ascii="Times New Roman" w:hAnsi="Times New Roman"/>
                <w:color w:val="auto"/>
              </w:rPr>
              <w:drawing>
                <wp:inline distT="0" distB="0" distL="114300" distR="114300">
                  <wp:extent cx="3239135" cy="2461260"/>
                  <wp:effectExtent l="9525" t="9525" r="27940" b="24765"/>
                  <wp:docPr id="18" name="图片 18" descr="钻井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钻井工艺流程图"/>
                          <pic:cNvPicPr>
                            <a:picLocks noChangeAspect="1"/>
                          </pic:cNvPicPr>
                        </pic:nvPicPr>
                        <pic:blipFill>
                          <a:blip r:embed="rId10"/>
                          <a:stretch>
                            <a:fillRect/>
                          </a:stretch>
                        </pic:blipFill>
                        <pic:spPr>
                          <a:xfrm>
                            <a:off x="0" y="0"/>
                            <a:ext cx="3239135" cy="2461260"/>
                          </a:xfrm>
                          <a:prstGeom prst="rect">
                            <a:avLst/>
                          </a:prstGeom>
                          <a:ln>
                            <a:solidFill>
                              <a:schemeClr val="tx1"/>
                            </a:solidFill>
                          </a:ln>
                        </pic:spPr>
                      </pic:pic>
                    </a:graphicData>
                  </a:graphic>
                </wp:inline>
              </w:drawing>
            </w:r>
          </w:p>
          <w:p>
            <w:pPr>
              <w:pStyle w:val="48"/>
              <w:spacing w:line="360" w:lineRule="auto"/>
              <w:ind w:firstLine="0" w:firstLineChars="0"/>
              <w:jc w:val="center"/>
              <w:rPr>
                <w:rFonts w:ascii="Times New Roman" w:hAnsi="Times New Roman"/>
                <w:b/>
                <w:bCs/>
                <w:color w:val="auto"/>
              </w:rPr>
            </w:pPr>
            <w:r>
              <w:rPr>
                <w:rFonts w:ascii="Times New Roman" w:hAnsi="Times New Roman"/>
                <w:b/>
                <w:bCs/>
                <w:color w:val="auto"/>
              </w:rPr>
              <w:t>图2-2   钻井作业流程及产污节点图</w:t>
            </w:r>
          </w:p>
          <w:p>
            <w:pPr>
              <w:pStyle w:val="48"/>
              <w:spacing w:line="360" w:lineRule="auto"/>
              <w:ind w:firstLine="480"/>
              <w:jc w:val="both"/>
              <w:rPr>
                <w:rFonts w:ascii="Times New Roman" w:hAnsi="Times New Roman"/>
                <w:color w:val="auto"/>
              </w:rPr>
            </w:pPr>
            <w:r>
              <w:rPr>
                <w:rFonts w:ascii="Times New Roman" w:hAnsi="Times New Roman"/>
                <w:color w:val="auto"/>
              </w:rPr>
              <w:t>（3）井身结构</w:t>
            </w:r>
          </w:p>
          <w:p>
            <w:pPr>
              <w:pStyle w:val="48"/>
              <w:spacing w:line="360" w:lineRule="auto"/>
              <w:ind w:firstLine="464"/>
              <w:jc w:val="both"/>
              <w:rPr>
                <w:rFonts w:ascii="Times New Roman" w:hAnsi="Times New Roman"/>
                <w:snapToGrid w:val="0"/>
                <w:color w:val="auto"/>
                <w:spacing w:val="-4"/>
              </w:rPr>
            </w:pPr>
            <w:r>
              <w:rPr>
                <w:rFonts w:ascii="Times New Roman" w:hAnsi="Times New Roman"/>
                <w:snapToGrid w:val="0"/>
                <w:color w:val="auto"/>
                <w:spacing w:val="-4"/>
              </w:rPr>
              <w:t>本次拟部署15口采油井，</w:t>
            </w:r>
            <w:r>
              <w:rPr>
                <w:rFonts w:ascii="Times New Roman" w:hAnsi="Times New Roman"/>
                <w:color w:val="auto"/>
              </w:rPr>
              <w:t>本方案井型设计为直井和小定向井型，井身结构方案设计为二开井身结构，表层套管采用Φ244.5mm，钻头用Φ311.1mm。</w:t>
            </w:r>
            <w:r>
              <w:rPr>
                <w:rFonts w:ascii="Times New Roman" w:hAnsi="Times New Roman"/>
                <w:snapToGrid w:val="0"/>
                <w:color w:val="auto"/>
                <w:spacing w:val="-4"/>
              </w:rPr>
              <w:t>井身结构设计见表2-4，井深结构设计图见附图</w:t>
            </w:r>
            <w:r>
              <w:rPr>
                <w:rFonts w:hint="eastAsia" w:ascii="Times New Roman" w:hAnsi="Times New Roman"/>
                <w:snapToGrid w:val="0"/>
                <w:color w:val="auto"/>
                <w:spacing w:val="-4"/>
              </w:rPr>
              <w:t>8</w:t>
            </w:r>
            <w:r>
              <w:rPr>
                <w:rFonts w:ascii="Times New Roman" w:hAnsi="Times New Roman"/>
                <w:snapToGrid w:val="0"/>
                <w:color w:val="auto"/>
                <w:spacing w:val="-4"/>
              </w:rPr>
              <w:t>。</w:t>
            </w:r>
          </w:p>
          <w:p>
            <w:pPr>
              <w:adjustRightInd w:val="0"/>
              <w:snapToGrid w:val="0"/>
              <w:jc w:val="center"/>
              <w:rPr>
                <w:rFonts w:ascii="Times New Roman" w:hAnsi="Times New Roman"/>
                <w:b/>
                <w:color w:val="auto"/>
                <w:kern w:val="0"/>
                <w:szCs w:val="21"/>
              </w:rPr>
            </w:pPr>
            <w:r>
              <w:rPr>
                <w:rFonts w:ascii="Times New Roman" w:hAnsi="Times New Roman"/>
                <w:b/>
                <w:color w:val="auto"/>
                <w:kern w:val="0"/>
                <w:szCs w:val="21"/>
              </w:rPr>
              <w:t>表2-4  井身结构设计说明</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195"/>
              <w:gridCol w:w="1047"/>
              <w:gridCol w:w="1197"/>
              <w:gridCol w:w="1494"/>
              <w:gridCol w:w="1347"/>
              <w:gridCol w:w="10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开钻</w:t>
                  </w:r>
                </w:p>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次序</w:t>
                  </w:r>
                </w:p>
              </w:tc>
              <w:tc>
                <w:tcPr>
                  <w:tcW w:w="725"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钻头直径</w:t>
                  </w:r>
                </w:p>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mm</w:t>
                  </w:r>
                </w:p>
              </w:tc>
              <w:tc>
                <w:tcPr>
                  <w:tcW w:w="635"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井深</w:t>
                  </w:r>
                </w:p>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m</w:t>
                  </w:r>
                </w:p>
              </w:tc>
              <w:tc>
                <w:tcPr>
                  <w:tcW w:w="726"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套管外径</w:t>
                  </w:r>
                </w:p>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mm</w:t>
                  </w:r>
                </w:p>
              </w:tc>
              <w:tc>
                <w:tcPr>
                  <w:tcW w:w="906"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套管下深</w:t>
                  </w:r>
                </w:p>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m</w:t>
                  </w:r>
                </w:p>
              </w:tc>
              <w:tc>
                <w:tcPr>
                  <w:tcW w:w="817" w:type="pct"/>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水泥浆返深</w:t>
                  </w:r>
                </w:p>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m</w:t>
                  </w:r>
                </w:p>
              </w:tc>
              <w:tc>
                <w:tcPr>
                  <w:tcW w:w="613"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一开</w:t>
                  </w:r>
                </w:p>
              </w:tc>
              <w:tc>
                <w:tcPr>
                  <w:tcW w:w="725"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311.1</w:t>
                  </w:r>
                </w:p>
              </w:tc>
              <w:tc>
                <w:tcPr>
                  <w:tcW w:w="635"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151</w:t>
                  </w:r>
                </w:p>
              </w:tc>
              <w:tc>
                <w:tcPr>
                  <w:tcW w:w="726"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244.5</w:t>
                  </w:r>
                </w:p>
              </w:tc>
              <w:tc>
                <w:tcPr>
                  <w:tcW w:w="906"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150</w:t>
                  </w:r>
                </w:p>
              </w:tc>
              <w:tc>
                <w:tcPr>
                  <w:tcW w:w="817" w:type="pct"/>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地面</w:t>
                  </w:r>
                </w:p>
              </w:tc>
              <w:tc>
                <w:tcPr>
                  <w:tcW w:w="613"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表层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二开</w:t>
                  </w:r>
                </w:p>
              </w:tc>
              <w:tc>
                <w:tcPr>
                  <w:tcW w:w="725"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215.9</w:t>
                  </w:r>
                </w:p>
              </w:tc>
              <w:tc>
                <w:tcPr>
                  <w:tcW w:w="635"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设计井深</w:t>
                  </w:r>
                </w:p>
              </w:tc>
              <w:tc>
                <w:tcPr>
                  <w:tcW w:w="726"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139.7</w:t>
                  </w:r>
                </w:p>
              </w:tc>
              <w:tc>
                <w:tcPr>
                  <w:tcW w:w="906"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设计套管下深</w:t>
                  </w:r>
                </w:p>
              </w:tc>
              <w:tc>
                <w:tcPr>
                  <w:tcW w:w="817" w:type="pct"/>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地面</w:t>
                  </w:r>
                </w:p>
              </w:tc>
              <w:tc>
                <w:tcPr>
                  <w:tcW w:w="613" w:type="pct"/>
                  <w:tcMar>
                    <w:left w:w="28" w:type="dxa"/>
                    <w:right w:w="28" w:type="dxa"/>
                  </w:tcMar>
                  <w:vAlign w:val="center"/>
                </w:tcPr>
                <w:p>
                  <w:pPr>
                    <w:adjustRightInd w:val="0"/>
                    <w:snapToGrid w:val="0"/>
                    <w:spacing w:line="240" w:lineRule="exact"/>
                    <w:jc w:val="center"/>
                    <w:rPr>
                      <w:rFonts w:ascii="Times New Roman" w:hAnsi="Times New Roman"/>
                      <w:color w:val="auto"/>
                      <w:szCs w:val="21"/>
                    </w:rPr>
                  </w:pPr>
                  <w:r>
                    <w:rPr>
                      <w:rFonts w:ascii="Times New Roman" w:hAnsi="Times New Roman"/>
                      <w:color w:val="auto"/>
                      <w:szCs w:val="21"/>
                    </w:rPr>
                    <w:t>油层</w:t>
                  </w:r>
                </w:p>
              </w:tc>
            </w:tr>
          </w:tbl>
          <w:p>
            <w:pPr>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t>（4）钻井设备</w:t>
            </w:r>
          </w:p>
          <w:p>
            <w:pPr>
              <w:spacing w:line="360" w:lineRule="auto"/>
              <w:ind w:firstLine="480" w:firstLineChars="200"/>
              <w:jc w:val="both"/>
              <w:rPr>
                <w:rFonts w:ascii="Times New Roman" w:hAnsi="Times New Roman"/>
                <w:snapToGrid w:val="0"/>
                <w:color w:val="auto"/>
                <w:sz w:val="24"/>
              </w:rPr>
            </w:pPr>
            <w:r>
              <w:rPr>
                <w:rFonts w:ascii="Times New Roman" w:hAnsi="Times New Roman"/>
                <w:color w:val="auto"/>
                <w:sz w:val="24"/>
              </w:rPr>
              <w:t>井场主要钻井设备有：钻机（包括井架、天车、泥浆泵）、泥浆罐及泥浆固相控制系统、水罐，柴油机、发电机。</w:t>
            </w:r>
            <w:r>
              <w:rPr>
                <w:rFonts w:ascii="Times New Roman" w:hAnsi="Times New Roman"/>
                <w:snapToGrid w:val="0"/>
                <w:color w:val="auto"/>
                <w:sz w:val="24"/>
              </w:rPr>
              <w:t>设计井钻深940-1073m，按核算的实际工程施工载荷，以不超过各种型号钻机额定载荷为选型依据，推荐1500轻便及以上型号钻机。钻井主要设备配置表见表2-5</w:t>
            </w:r>
            <w:r>
              <w:rPr>
                <w:rFonts w:hint="eastAsia" w:ascii="Times New Roman" w:hAnsi="Times New Roman"/>
                <w:snapToGrid w:val="0"/>
                <w:color w:val="auto"/>
                <w:sz w:val="24"/>
              </w:rPr>
              <w:t>。</w:t>
            </w:r>
          </w:p>
          <w:p>
            <w:pPr>
              <w:spacing w:line="360" w:lineRule="auto"/>
              <w:ind w:firstLine="480" w:firstLineChars="200"/>
              <w:jc w:val="both"/>
              <w:rPr>
                <w:rFonts w:ascii="Times New Roman" w:hAnsi="Times New Roman"/>
                <w:snapToGrid w:val="0"/>
                <w:color w:val="auto"/>
                <w:sz w:val="24"/>
              </w:rPr>
            </w:pPr>
          </w:p>
          <w:p>
            <w:pPr>
              <w:spacing w:line="360" w:lineRule="auto"/>
              <w:ind w:firstLine="480" w:firstLineChars="200"/>
              <w:jc w:val="both"/>
              <w:rPr>
                <w:rFonts w:ascii="Times New Roman" w:hAnsi="Times New Roman"/>
                <w:snapToGrid w:val="0"/>
                <w:color w:val="auto"/>
                <w:sz w:val="24"/>
              </w:rPr>
            </w:pPr>
          </w:p>
          <w:p>
            <w:pPr>
              <w:keepNext/>
              <w:keepLines/>
              <w:jc w:val="center"/>
              <w:rPr>
                <w:rFonts w:ascii="Times New Roman" w:hAnsi="Times New Roman"/>
                <w:b/>
                <w:bCs/>
                <w:color w:val="auto"/>
                <w:szCs w:val="21"/>
              </w:rPr>
            </w:pPr>
            <w:r>
              <w:rPr>
                <w:rFonts w:ascii="Times New Roman" w:hAnsi="Times New Roman"/>
                <w:b/>
                <w:bCs/>
                <w:color w:val="auto"/>
                <w:szCs w:val="21"/>
              </w:rPr>
              <w:t>表2-5   钻井主要设备配置表</w:t>
            </w:r>
          </w:p>
          <w:tbl>
            <w:tblPr>
              <w:tblStyle w:val="3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10"/>
              <w:gridCol w:w="1935"/>
              <w:gridCol w:w="1322"/>
              <w:gridCol w:w="1322"/>
              <w:gridCol w:w="1324"/>
              <w:gridCol w:w="16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序号</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名称</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型号</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载荷(kN)</w:t>
                  </w:r>
                </w:p>
              </w:tc>
              <w:tc>
                <w:tcPr>
                  <w:tcW w:w="802"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功率(kW)</w:t>
                  </w:r>
                </w:p>
              </w:tc>
              <w:tc>
                <w:tcPr>
                  <w:tcW w:w="988"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钻机</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1500轻便</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450</w:t>
                  </w: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或相当型号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2</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井架</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TJ-80</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800</w:t>
                  </w: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3</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天车</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TC-80</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800</w:t>
                  </w: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4</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滑车</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YC-80</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800</w:t>
                  </w: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5</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大钩</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DG-80</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800</w:t>
                  </w: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6</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水龙头</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SL-80</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800</w:t>
                  </w: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7</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转盘</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ZP440</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8</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绞车</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JC-2000</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9</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钻井液泵</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3NB-1000</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735.5</w:t>
                  </w: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10</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机房柴油机</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8V190B</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725</w:t>
                  </w: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11</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钻台柴油机</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T148</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176.5</w:t>
                  </w: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12</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电动压风机</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1V-3/8</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13</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发电机</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4135</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50</w:t>
                  </w: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14</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液压防喷器</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2FZ35-21</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或相当型号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15</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防喷器控制系统</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FKQ3204</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11</w:t>
                  </w:r>
                </w:p>
              </w:tc>
              <w:tc>
                <w:tcPr>
                  <w:tcW w:w="988"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或相当型号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16</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振动筛</w:t>
                  </w:r>
                </w:p>
              </w:tc>
              <w:tc>
                <w:tcPr>
                  <w:tcW w:w="80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2ZZSD</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3</w:t>
                  </w: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17</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除砂器</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18</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除泥器</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19</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离心机</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431"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20</w:t>
                  </w:r>
                </w:p>
              </w:tc>
              <w:tc>
                <w:tcPr>
                  <w:tcW w:w="1173"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加重装置</w:t>
                  </w: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1" w:type="pct"/>
                  <w:vAlign w:val="center"/>
                </w:tcPr>
                <w:p>
                  <w:pPr>
                    <w:autoSpaceDE w:val="0"/>
                    <w:autoSpaceDN w:val="0"/>
                    <w:adjustRightInd w:val="0"/>
                    <w:jc w:val="center"/>
                    <w:rPr>
                      <w:rFonts w:ascii="Times New Roman" w:hAnsi="Times New Roman"/>
                      <w:color w:val="auto"/>
                      <w:spacing w:val="-5"/>
                      <w:kern w:val="0"/>
                      <w:szCs w:val="21"/>
                    </w:rPr>
                  </w:pPr>
                </w:p>
              </w:tc>
              <w:tc>
                <w:tcPr>
                  <w:tcW w:w="802" w:type="pct"/>
                  <w:vAlign w:val="center"/>
                </w:tcPr>
                <w:p>
                  <w:pPr>
                    <w:autoSpaceDE w:val="0"/>
                    <w:autoSpaceDN w:val="0"/>
                    <w:adjustRightInd w:val="0"/>
                    <w:jc w:val="center"/>
                    <w:rPr>
                      <w:rFonts w:ascii="Times New Roman" w:hAnsi="Times New Roman"/>
                      <w:color w:val="auto"/>
                      <w:spacing w:val="-5"/>
                      <w:kern w:val="0"/>
                      <w:szCs w:val="21"/>
                    </w:rPr>
                  </w:pPr>
                </w:p>
              </w:tc>
              <w:tc>
                <w:tcPr>
                  <w:tcW w:w="988" w:type="pct"/>
                  <w:vAlign w:val="center"/>
                </w:tcPr>
                <w:p>
                  <w:pPr>
                    <w:autoSpaceDE w:val="0"/>
                    <w:autoSpaceDN w:val="0"/>
                    <w:adjustRightInd w:val="0"/>
                    <w:jc w:val="center"/>
                    <w:rPr>
                      <w:rFonts w:ascii="Times New Roman" w:hAnsi="Times New Roman"/>
                      <w:color w:val="auto"/>
                      <w:spacing w:val="-5"/>
                      <w:kern w:val="0"/>
                      <w:szCs w:val="21"/>
                    </w:rPr>
                  </w:pPr>
                  <w:r>
                    <w:rPr>
                      <w:rFonts w:ascii="Times New Roman" w:hAnsi="Times New Roman"/>
                      <w:color w:val="auto"/>
                      <w:spacing w:val="-5"/>
                      <w:kern w:val="0"/>
                      <w:szCs w:val="21"/>
                    </w:rPr>
                    <w:t>1</w:t>
                  </w:r>
                </w:p>
              </w:tc>
            </w:tr>
          </w:tbl>
          <w:p>
            <w:pPr>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t>（5）钻井液体系</w:t>
            </w:r>
          </w:p>
          <w:p>
            <w:pPr>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一开井段：钻井液主要以携带岩屑、稳定井壁为主，采用膨润土聚合物钻井液体系。</w:t>
            </w:r>
          </w:p>
          <w:p>
            <w:pPr>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二开井段：勘探井采用两性离子聚合物钻井液体系；开发井采用两性离子聚合物钻井液体系或聚合物润滑防塌钻井液体系。钻井液性能：一开密度 1.05~1.10g/cm</w:t>
            </w:r>
            <w:r>
              <w:rPr>
                <w:rFonts w:ascii="Times New Roman" w:hAnsi="Times New Roman"/>
                <w:color w:val="auto"/>
                <w:sz w:val="24"/>
                <w:vertAlign w:val="superscript"/>
              </w:rPr>
              <w:t>3</w:t>
            </w:r>
            <w:r>
              <w:rPr>
                <w:rFonts w:ascii="Times New Roman" w:hAnsi="Times New Roman"/>
                <w:color w:val="auto"/>
                <w:sz w:val="24"/>
              </w:rPr>
              <w:t>，粘度50~80s。二开密度1.10~1.20g/cm</w:t>
            </w:r>
            <w:r>
              <w:rPr>
                <w:rFonts w:ascii="Times New Roman" w:hAnsi="Times New Roman"/>
                <w:color w:val="auto"/>
                <w:sz w:val="24"/>
                <w:vertAlign w:val="superscript"/>
              </w:rPr>
              <w:t>3</w:t>
            </w:r>
            <w:r>
              <w:rPr>
                <w:rFonts w:ascii="Times New Roman" w:hAnsi="Times New Roman"/>
                <w:color w:val="auto"/>
                <w:sz w:val="24"/>
              </w:rPr>
              <w:t>，粘度：40~60s。</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（6）固井设计</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固井设计数据表见表2-6。</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表2-6     固井设计数据表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29"/>
              <w:gridCol w:w="1157"/>
              <w:gridCol w:w="1273"/>
              <w:gridCol w:w="1502"/>
              <w:gridCol w:w="697"/>
              <w:gridCol w:w="1528"/>
              <w:gridCol w:w="115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563" w:type="pct"/>
                  <w:shd w:val="clear" w:color="auto" w:fill="auto"/>
                  <w:noWrap/>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井型</w:t>
                  </w:r>
                </w:p>
              </w:tc>
              <w:tc>
                <w:tcPr>
                  <w:tcW w:w="702"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套管程序</w:t>
                  </w:r>
                </w:p>
              </w:tc>
              <w:tc>
                <w:tcPr>
                  <w:tcW w:w="772"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规范</w:t>
                  </w:r>
                </w:p>
              </w:tc>
              <w:tc>
                <w:tcPr>
                  <w:tcW w:w="911"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钢级与壁厚</w:t>
                  </w:r>
                </w:p>
              </w:tc>
              <w:tc>
                <w:tcPr>
                  <w:tcW w:w="423"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扣型</w:t>
                  </w:r>
                </w:p>
              </w:tc>
              <w:tc>
                <w:tcPr>
                  <w:tcW w:w="927"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段长</w:t>
                  </w:r>
                </w:p>
              </w:tc>
              <w:tc>
                <w:tcPr>
                  <w:tcW w:w="702"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水泥返高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563" w:type="pct"/>
                  <w:shd w:val="clear" w:color="auto" w:fill="auto"/>
                  <w:noWrap/>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直井</w:t>
                  </w:r>
                </w:p>
              </w:tc>
              <w:tc>
                <w:tcPr>
                  <w:tcW w:w="702"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表层</w:t>
                  </w:r>
                </w:p>
              </w:tc>
              <w:tc>
                <w:tcPr>
                  <w:tcW w:w="772"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Φ244.5mm</w:t>
                  </w:r>
                </w:p>
              </w:tc>
              <w:tc>
                <w:tcPr>
                  <w:tcW w:w="911"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J55×8.94mm</w:t>
                  </w:r>
                </w:p>
              </w:tc>
              <w:tc>
                <w:tcPr>
                  <w:tcW w:w="423"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长圆</w:t>
                  </w:r>
                </w:p>
              </w:tc>
              <w:tc>
                <w:tcPr>
                  <w:tcW w:w="927"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0-150m</w:t>
                  </w:r>
                </w:p>
              </w:tc>
              <w:tc>
                <w:tcPr>
                  <w:tcW w:w="702"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地面</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563"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定向井</w:t>
                  </w:r>
                </w:p>
              </w:tc>
              <w:tc>
                <w:tcPr>
                  <w:tcW w:w="702"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油层</w:t>
                  </w:r>
                </w:p>
              </w:tc>
              <w:tc>
                <w:tcPr>
                  <w:tcW w:w="772"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Φ139.7mm</w:t>
                  </w:r>
                </w:p>
              </w:tc>
              <w:tc>
                <w:tcPr>
                  <w:tcW w:w="911"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N80×7.72mm</w:t>
                  </w:r>
                </w:p>
              </w:tc>
              <w:tc>
                <w:tcPr>
                  <w:tcW w:w="423"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长圆</w:t>
                  </w:r>
                </w:p>
              </w:tc>
              <w:tc>
                <w:tcPr>
                  <w:tcW w:w="927"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0m-套管下深</w:t>
                  </w:r>
                </w:p>
              </w:tc>
              <w:tc>
                <w:tcPr>
                  <w:tcW w:w="702" w:type="pct"/>
                  <w:shd w:val="clear" w:color="auto" w:fill="auto"/>
                  <w:vAlign w:val="bottom"/>
                </w:tcPr>
                <w:p>
                  <w:pPr>
                    <w:adjustRightInd w:val="0"/>
                    <w:snapToGrid w:val="0"/>
                    <w:spacing w:line="360" w:lineRule="exact"/>
                    <w:jc w:val="center"/>
                    <w:rPr>
                      <w:rFonts w:ascii="Times New Roman" w:hAnsi="Times New Roman"/>
                      <w:color w:val="auto"/>
                      <w:szCs w:val="21"/>
                    </w:rPr>
                  </w:pPr>
                  <w:r>
                    <w:rPr>
                      <w:rFonts w:ascii="Times New Roman" w:hAnsi="Times New Roman"/>
                      <w:color w:val="auto"/>
                      <w:szCs w:val="21"/>
                    </w:rPr>
                    <w:t>地面</w:t>
                  </w:r>
                </w:p>
              </w:tc>
            </w:tr>
          </w:tbl>
          <w:p>
            <w:pPr>
              <w:pStyle w:val="48"/>
              <w:adjustRightInd w:val="0"/>
              <w:snapToGrid w:val="0"/>
              <w:spacing w:before="120" w:beforeLines="50" w:line="360" w:lineRule="auto"/>
              <w:ind w:firstLine="482"/>
              <w:jc w:val="both"/>
              <w:rPr>
                <w:rFonts w:ascii="Times New Roman" w:hAnsi="Times New Roman"/>
                <w:color w:val="auto"/>
              </w:rPr>
            </w:pPr>
            <w:r>
              <w:rPr>
                <w:rFonts w:ascii="Times New Roman" w:hAnsi="Times New Roman"/>
                <w:b/>
                <w:bCs/>
                <w:color w:val="auto"/>
              </w:rPr>
              <w:t>3. 地面工程施工方案</w:t>
            </w:r>
          </w:p>
          <w:p>
            <w:pPr>
              <w:spacing w:line="360" w:lineRule="auto"/>
              <w:ind w:firstLine="480" w:firstLineChars="200"/>
              <w:rPr>
                <w:rFonts w:ascii="Times New Roman" w:hAnsi="Times New Roman"/>
                <w:color w:val="auto"/>
                <w:sz w:val="24"/>
              </w:rPr>
            </w:pPr>
            <w:r>
              <w:rPr>
                <w:rFonts w:ascii="Times New Roman" w:hAnsi="Times New Roman"/>
                <w:color w:val="auto"/>
                <w:sz w:val="24"/>
              </w:rPr>
              <w:t>地面工程主要为部署的15口采油井井口装置安装、单井集输管线敷设及输电线架空敷设等配套设施的建设，主要污染集中在管线敷设和井口装置建设阶段。地面工程施工工艺流程及产污环节见图2-3。</w:t>
            </w:r>
          </w:p>
          <w:p>
            <w:pPr>
              <w:pStyle w:val="43"/>
              <w:rPr>
                <w:rFonts w:ascii="Times New Roman" w:hAnsi="Times New Roman"/>
                <w:color w:val="auto"/>
                <w:sz w:val="24"/>
              </w:rPr>
            </w:pPr>
          </w:p>
          <w:p>
            <w:pPr>
              <w:pStyle w:val="48"/>
              <w:snapToGrid w:val="0"/>
              <w:spacing w:line="360" w:lineRule="auto"/>
              <w:ind w:firstLine="480"/>
              <w:jc w:val="center"/>
              <w:rPr>
                <w:rFonts w:ascii="Times New Roman" w:hAnsi="Times New Roman"/>
                <w:color w:val="auto"/>
              </w:rPr>
            </w:pPr>
            <w:r>
              <w:rPr>
                <w:rFonts w:ascii="Times New Roman" w:hAnsi="Times New Roman"/>
                <w:color w:val="auto"/>
              </w:rPr>
              <w:drawing>
                <wp:inline distT="0" distB="0" distL="114300" distR="114300">
                  <wp:extent cx="4366895" cy="1930400"/>
                  <wp:effectExtent l="9525" t="9525" r="24130" b="22225"/>
                  <wp:docPr id="20" name="图片 20" descr="地面工程施工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地面工程施工工艺"/>
                          <pic:cNvPicPr>
                            <a:picLocks noChangeAspect="1"/>
                          </pic:cNvPicPr>
                        </pic:nvPicPr>
                        <pic:blipFill>
                          <a:blip r:embed="rId11"/>
                          <a:stretch>
                            <a:fillRect/>
                          </a:stretch>
                        </pic:blipFill>
                        <pic:spPr>
                          <a:xfrm>
                            <a:off x="0" y="0"/>
                            <a:ext cx="4366895" cy="1930400"/>
                          </a:xfrm>
                          <a:prstGeom prst="rect">
                            <a:avLst/>
                          </a:prstGeom>
                          <a:ln>
                            <a:solidFill>
                              <a:schemeClr val="tx1"/>
                            </a:solidFill>
                          </a:ln>
                        </pic:spPr>
                      </pic:pic>
                    </a:graphicData>
                  </a:graphic>
                </wp:inline>
              </w:drawing>
            </w:r>
          </w:p>
          <w:p>
            <w:pPr>
              <w:pStyle w:val="48"/>
              <w:snapToGrid w:val="0"/>
              <w:spacing w:line="360" w:lineRule="auto"/>
              <w:ind w:firstLine="482"/>
              <w:jc w:val="center"/>
              <w:rPr>
                <w:rFonts w:ascii="Times New Roman" w:hAnsi="Times New Roman"/>
                <w:b/>
                <w:bCs/>
                <w:color w:val="auto"/>
              </w:rPr>
            </w:pPr>
            <w:r>
              <w:rPr>
                <w:rFonts w:ascii="Times New Roman" w:hAnsi="Times New Roman"/>
                <w:b/>
                <w:bCs/>
                <w:color w:val="auto"/>
              </w:rPr>
              <w:t>图2-3  地面工程施工方案工艺流程及产污节点图</w:t>
            </w:r>
          </w:p>
          <w:p>
            <w:pPr>
              <w:spacing w:line="360" w:lineRule="auto"/>
              <w:ind w:firstLine="480" w:firstLineChars="200"/>
              <w:rPr>
                <w:rFonts w:ascii="Times New Roman" w:hAnsi="Times New Roman"/>
                <w:color w:val="auto"/>
                <w:sz w:val="24"/>
              </w:rPr>
            </w:pPr>
            <w:r>
              <w:rPr>
                <w:rFonts w:ascii="Times New Roman" w:hAnsi="Times New Roman"/>
                <w:color w:val="auto"/>
                <w:sz w:val="24"/>
              </w:rPr>
              <w:t>地面工程工程量和设备表见表2-7。</w:t>
            </w:r>
          </w:p>
          <w:p>
            <w:pPr>
              <w:ind w:firstLine="422" w:firstLineChars="200"/>
              <w:jc w:val="center"/>
              <w:rPr>
                <w:rFonts w:ascii="Times New Roman" w:hAnsi="Times New Roman"/>
                <w:b/>
                <w:bCs/>
                <w:color w:val="auto"/>
                <w:szCs w:val="21"/>
              </w:rPr>
            </w:pPr>
            <w:r>
              <w:rPr>
                <w:rFonts w:ascii="Times New Roman" w:hAnsi="Times New Roman"/>
                <w:b/>
                <w:bCs/>
                <w:color w:val="auto"/>
                <w:szCs w:val="21"/>
              </w:rPr>
              <w:t>表2-7  地面工程工程量和设备表</w:t>
            </w:r>
          </w:p>
          <w:tbl>
            <w:tblPr>
              <w:tblStyle w:val="37"/>
              <w:tblW w:w="4975" w:type="pct"/>
              <w:tblInd w:w="5"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624"/>
              <w:gridCol w:w="6184"/>
              <w:gridCol w:w="618"/>
              <w:gridCol w:w="776"/>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12" w:hRule="atLeast"/>
              </w:trPr>
              <w:tc>
                <w:tcPr>
                  <w:tcW w:w="380" w:type="pct"/>
                  <w:vMerge w:val="restar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序号</w:t>
                  </w:r>
                </w:p>
              </w:tc>
              <w:tc>
                <w:tcPr>
                  <w:tcW w:w="376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工 程 内 容</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单位</w:t>
                  </w:r>
                </w:p>
              </w:tc>
              <w:tc>
                <w:tcPr>
                  <w:tcW w:w="473" w:type="pct"/>
                  <w:vMerge w:val="restar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数量</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12" w:hRule="atLeast"/>
              </w:trPr>
              <w:tc>
                <w:tcPr>
                  <w:tcW w:w="380" w:type="pct"/>
                  <w:vMerge w:val="continue"/>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p>
              </w:tc>
              <w:tc>
                <w:tcPr>
                  <w:tcW w:w="37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color w:val="auto"/>
                      <w:sz w:val="22"/>
                      <w:szCs w:val="22"/>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p>
              </w:tc>
              <w:tc>
                <w:tcPr>
                  <w:tcW w:w="473" w:type="pct"/>
                  <w:vMerge w:val="continue"/>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(一)</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集输部分</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抽油机安装及基础</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套</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2</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采油树及井口装置</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套</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21"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3</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单井集输管线（利旧油管Ф73×5.51，黄夹克泡沫保温、内衬陶瓷）</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km</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4</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高架罐部分利旧及基础新建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r>
                    <w:rPr>
                      <w:rFonts w:ascii="Times New Roman" w:hAnsi="Times New Roman"/>
                      <w:color w:val="auto"/>
                      <w:sz w:val="22"/>
                      <w:szCs w:val="22"/>
                    </w:rPr>
                    <w:t>座</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r>
                    <w:rPr>
                      <w:rFonts w:ascii="Times New Roman" w:hAnsi="Times New Roman"/>
                      <w:color w:val="auto"/>
                      <w:sz w:val="22"/>
                      <w:szCs w:val="22"/>
                    </w:rPr>
                    <w:t>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5</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工艺配管、阀门及安装等</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（二）</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供电部分</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10kV架空线路  LGJ-70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km</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37"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2</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柱上式变压器台 变压器为S</w:t>
                  </w:r>
                  <w:r>
                    <w:rPr>
                      <w:rFonts w:ascii="Times New Roman" w:hAnsi="Times New Roman"/>
                      <w:color w:val="auto"/>
                      <w:kern w:val="0"/>
                      <w:sz w:val="22"/>
                      <w:szCs w:val="22"/>
                      <w:vertAlign w:val="subscript"/>
                    </w:rPr>
                    <w:t>13</w:t>
                  </w:r>
                  <w:r>
                    <w:rPr>
                      <w:rFonts w:ascii="Times New Roman" w:hAnsi="Times New Roman"/>
                      <w:color w:val="auto"/>
                      <w:kern w:val="0"/>
                      <w:sz w:val="22"/>
                      <w:szCs w:val="22"/>
                    </w:rPr>
                    <w:t>-125/10 10/0.4kV（利旧45台）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台套</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69"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3</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低压电力电缆YJV22-0.6/1kV 3X120+1X95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km</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0.8</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60"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4</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低压电力电缆YJV22-0.6/1kV 5X16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km</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0.7</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5</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动力配电箱XL-05(改)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面</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6</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抽油机智能控制箱</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套</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7</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接地装置</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座</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8</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静电接地报警器BREZ10/XP90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台</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rPr>
                  </w:pPr>
                  <w:r>
                    <w:rPr>
                      <w:rFonts w:ascii="Times New Roman" w:hAnsi="Times New Roman"/>
                      <w:color w:val="auto"/>
                      <w:kern w:val="0"/>
                      <w:sz w:val="22"/>
                      <w:szCs w:val="22"/>
                    </w:rPr>
                    <w:t>12</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（三）</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仪表通信系统</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rPr>
                      <w:rFonts w:ascii="Times New Roman" w:hAnsi="Times New Roman"/>
                      <w:color w:val="auto"/>
                      <w:sz w:val="22"/>
                      <w:szCs w:val="22"/>
                    </w:rPr>
                  </w:pP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无线压力变送器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台</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2</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无线一体化温度压力变送器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台</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3</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高量程无线一体化温压变送器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台</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4</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非承载式功图测量装置</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台</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5</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多功能电表（配电流互感器）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台</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6</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RTU</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台</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51"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7</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高清智能红外网络球型摄像机  1080P（部分已有摄像头）</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套</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8"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8</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5口工业级交换机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台</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41"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9</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有源广播 20W （内置功放）防水</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套</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tcPr>
                <w:p>
                  <w:pPr>
                    <w:jc w:val="center"/>
                    <w:rPr>
                      <w:rFonts w:ascii="Times New Roman" w:hAnsi="Times New Roman"/>
                      <w:color w:val="auto"/>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5"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10</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15米水泥电杆Φ190×15m（配底盘，卡盘）</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根</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57" w:hRule="atLeast"/>
              </w:trPr>
              <w:tc>
                <w:tcPr>
                  <w:tcW w:w="380" w:type="pct"/>
                  <w:tcBorders>
                    <w:top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11</w:t>
                  </w:r>
                </w:p>
              </w:tc>
              <w:tc>
                <w:tcPr>
                  <w:tcW w:w="37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ascii="Times New Roman" w:hAnsi="Times New Roman"/>
                      <w:color w:val="auto"/>
                      <w:sz w:val="22"/>
                      <w:szCs w:val="22"/>
                    </w:rPr>
                  </w:pPr>
                  <w:r>
                    <w:rPr>
                      <w:rFonts w:ascii="Times New Roman" w:hAnsi="Times New Roman"/>
                      <w:color w:val="auto"/>
                      <w:kern w:val="0"/>
                      <w:sz w:val="22"/>
                      <w:szCs w:val="22"/>
                    </w:rPr>
                    <w:t>点到多点无线网桥（20Mbps）（配适配天线）</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套</w:t>
                  </w:r>
                </w:p>
              </w:tc>
              <w:tc>
                <w:tcPr>
                  <w:tcW w:w="473" w:type="pct"/>
                  <w:tcBorders>
                    <w:top w:val="single" w:color="000000" w:sz="4" w:space="0"/>
                    <w:left w:val="single" w:color="000000" w:sz="4" w:space="0"/>
                    <w:bottom w:val="single" w:color="000000" w:sz="4" w:space="0"/>
                  </w:tcBorders>
                  <w:shd w:val="clear" w:color="auto" w:fill="auto"/>
                  <w:noWrap/>
                  <w:tcMar>
                    <w:top w:w="12" w:type="dxa"/>
                    <w:left w:w="12" w:type="dxa"/>
                    <w:right w:w="12" w:type="dxa"/>
                  </w:tcMar>
                  <w:vAlign w:val="center"/>
                </w:tcPr>
                <w:p>
                  <w:pPr>
                    <w:jc w:val="center"/>
                    <w:textAlignment w:val="center"/>
                    <w:rPr>
                      <w:rFonts w:ascii="Times New Roman" w:hAnsi="Times New Roman"/>
                      <w:color w:val="auto"/>
                      <w:sz w:val="22"/>
                      <w:szCs w:val="22"/>
                    </w:rPr>
                  </w:pPr>
                  <w:r>
                    <w:rPr>
                      <w:rFonts w:ascii="Times New Roman" w:hAnsi="Times New Roman"/>
                      <w:color w:val="auto"/>
                      <w:kern w:val="0"/>
                      <w:sz w:val="22"/>
                      <w:szCs w:val="22"/>
                    </w:rPr>
                    <w:t>15</w:t>
                  </w:r>
                </w:p>
              </w:tc>
            </w:tr>
          </w:tbl>
          <w:p>
            <w:pPr>
              <w:pStyle w:val="141"/>
              <w:spacing w:before="120" w:beforeLines="50" w:line="360" w:lineRule="auto"/>
              <w:ind w:firstLine="480"/>
              <w:jc w:val="both"/>
              <w:rPr>
                <w:rFonts w:ascii="Times New Roman" w:hAnsi="Times New Roman"/>
                <w:bCs/>
                <w:color w:val="auto"/>
                <w:kern w:val="2"/>
              </w:rPr>
            </w:pPr>
            <w:r>
              <w:rPr>
                <w:rFonts w:ascii="Times New Roman" w:hAnsi="Times New Roman"/>
                <w:bCs/>
                <w:color w:val="auto"/>
                <w:kern w:val="2"/>
              </w:rPr>
              <w:t>3.1采油工程</w:t>
            </w:r>
          </w:p>
          <w:p>
            <w:pPr>
              <w:pStyle w:val="141"/>
              <w:spacing w:line="360" w:lineRule="auto"/>
              <w:ind w:firstLine="480"/>
              <w:jc w:val="both"/>
              <w:rPr>
                <w:rFonts w:ascii="Times New Roman" w:hAnsi="Times New Roman"/>
                <w:bCs/>
                <w:color w:val="auto"/>
              </w:rPr>
            </w:pPr>
            <w:r>
              <w:rPr>
                <w:rFonts w:ascii="Times New Roman" w:hAnsi="Times New Roman"/>
                <w:bCs/>
                <w:color w:val="auto"/>
              </w:rPr>
              <w:t>新建采油井口装置15座，采用CYJ8-3-37HB（电机功率15kW）和CYJ10-4.2-53HB（电机功率30kW）型抽油机，春2区块应用了CO</w:t>
            </w:r>
            <w:r>
              <w:rPr>
                <w:rFonts w:ascii="Times New Roman" w:hAnsi="Times New Roman"/>
                <w:bCs/>
                <w:color w:val="auto"/>
                <w:vertAlign w:val="subscript"/>
              </w:rPr>
              <w:t>2</w:t>
            </w:r>
            <w:r>
              <w:rPr>
                <w:rFonts w:ascii="Times New Roman" w:hAnsi="Times New Roman"/>
                <w:bCs/>
                <w:color w:val="auto"/>
              </w:rPr>
              <w:t>强化采油技术；春2-6区块推荐新部署井采用CO</w:t>
            </w:r>
            <w:r>
              <w:rPr>
                <w:rFonts w:ascii="Times New Roman" w:hAnsi="Times New Roman"/>
                <w:bCs/>
                <w:color w:val="auto"/>
                <w:vertAlign w:val="subscript"/>
              </w:rPr>
              <w:t>2</w:t>
            </w:r>
            <w:r>
              <w:rPr>
                <w:rFonts w:ascii="Times New Roman" w:hAnsi="Times New Roman"/>
                <w:bCs/>
                <w:color w:val="auto"/>
              </w:rPr>
              <w:t>吞吐降粘工艺；春99区块为普通稠油油藏，具有常采能量，采用天然能量开发，配套电加热工艺技术；排19-1区块为普通稠油油藏，具有常采能量，采用天然能量开发，配套电加热工艺技术。</w:t>
            </w:r>
          </w:p>
          <w:p>
            <w:pPr>
              <w:spacing w:line="360" w:lineRule="auto"/>
              <w:ind w:firstLine="480" w:firstLineChars="200"/>
              <w:jc w:val="both"/>
              <w:rPr>
                <w:rFonts w:ascii="Times New Roman" w:hAnsi="Times New Roman"/>
                <w:bCs/>
                <w:color w:val="auto"/>
                <w:kern w:val="0"/>
                <w:sz w:val="24"/>
              </w:rPr>
            </w:pPr>
            <w:r>
              <w:rPr>
                <w:rFonts w:ascii="Times New Roman" w:hAnsi="Times New Roman"/>
                <w:bCs/>
                <w:color w:val="auto"/>
                <w:kern w:val="0"/>
                <w:sz w:val="24"/>
              </w:rPr>
              <w:t>3.2集输</w:t>
            </w:r>
            <w:r>
              <w:rPr>
                <w:rFonts w:hint="eastAsia" w:ascii="Times New Roman" w:hAnsi="Times New Roman"/>
                <w:bCs/>
                <w:color w:val="auto"/>
                <w:kern w:val="0"/>
                <w:sz w:val="24"/>
              </w:rPr>
              <w:t>工艺</w:t>
            </w:r>
          </w:p>
          <w:p>
            <w:pPr>
              <w:tabs>
                <w:tab w:val="left" w:pos="3924"/>
              </w:tabs>
              <w:spacing w:line="360" w:lineRule="auto"/>
              <w:ind w:firstLine="482"/>
              <w:rPr>
                <w:color w:val="auto"/>
                <w:kern w:val="1"/>
                <w:sz w:val="24"/>
              </w:rPr>
            </w:pPr>
            <w:r>
              <w:rPr>
                <w:rFonts w:ascii="Times New Roman" w:hAnsi="Times New Roman"/>
                <w:color w:val="auto"/>
                <w:sz w:val="24"/>
              </w:rPr>
              <w:t>本次新建单井集输管线1.5km，考虑利用旧油管Φ73×5.51，由于该区矿化度较高，管线腐蚀性较强，结合现场实际及管理区建议，管线考虑内衬陶瓷；管线均采用黄夹克泡沫塑料保温，保温层厚δ=40mm，埋地敷设，管顶埋深不小于-1.6m。工艺管道与系统线路尽量沿道路和田埂统一布线。</w:t>
            </w:r>
            <w:r>
              <w:rPr>
                <w:rFonts w:ascii="Times New Roman" w:hAnsi="Times New Roman"/>
                <w:color w:val="auto"/>
                <w:kern w:val="1"/>
                <w:sz w:val="24"/>
              </w:rPr>
              <w:t>根据春</w:t>
            </w:r>
            <w:r>
              <w:rPr>
                <w:rFonts w:hint="eastAsia" w:ascii="Times New Roman" w:hAnsi="Times New Roman"/>
                <w:color w:val="auto"/>
                <w:kern w:val="1"/>
                <w:sz w:val="24"/>
              </w:rPr>
              <w:t>2</w:t>
            </w:r>
            <w:r>
              <w:rPr>
                <w:rFonts w:ascii="Times New Roman" w:hAnsi="Times New Roman"/>
                <w:color w:val="auto"/>
                <w:kern w:val="1"/>
                <w:sz w:val="24"/>
              </w:rPr>
              <w:t>井区</w:t>
            </w:r>
            <w:r>
              <w:rPr>
                <w:rFonts w:hint="eastAsia" w:ascii="Times New Roman" w:hAnsi="Times New Roman"/>
                <w:color w:val="auto"/>
                <w:kern w:val="1"/>
                <w:sz w:val="24"/>
              </w:rPr>
              <w:t>15</w:t>
            </w:r>
            <w:r>
              <w:rPr>
                <w:rFonts w:ascii="Times New Roman" w:hAnsi="Times New Roman"/>
                <w:color w:val="auto"/>
                <w:kern w:val="1"/>
                <w:sz w:val="24"/>
              </w:rPr>
              <w:t>口新井的分布情况，</w:t>
            </w:r>
            <w:r>
              <w:rPr>
                <w:rFonts w:hint="eastAsia" w:ascii="Times New Roman" w:hAnsi="Times New Roman"/>
                <w:color w:val="auto"/>
                <w:kern w:val="1"/>
                <w:sz w:val="24"/>
              </w:rPr>
              <w:t>15</w:t>
            </w:r>
            <w:r>
              <w:rPr>
                <w:rFonts w:ascii="Times New Roman" w:hAnsi="Times New Roman"/>
                <w:color w:val="auto"/>
                <w:kern w:val="1"/>
                <w:sz w:val="24"/>
              </w:rPr>
              <w:t>口新建井集输近期均考虑采用“单井拉油”方式，既“采油单井→高架罐→罐车→春光油田</w:t>
            </w:r>
            <w:r>
              <w:rPr>
                <w:rFonts w:hint="eastAsia" w:ascii="Times New Roman" w:hAnsi="Times New Roman"/>
                <w:color w:val="auto"/>
                <w:kern w:val="1"/>
                <w:sz w:val="24"/>
              </w:rPr>
              <w:t>春光</w:t>
            </w:r>
            <w:r>
              <w:rPr>
                <w:rFonts w:ascii="Times New Roman" w:hAnsi="Times New Roman"/>
                <w:color w:val="auto"/>
                <w:kern w:val="1"/>
                <w:sz w:val="24"/>
              </w:rPr>
              <w:t>联合站”，井场主要设备为高架罐。根据开发指标预测，春</w:t>
            </w:r>
            <w:r>
              <w:rPr>
                <w:rFonts w:hint="eastAsia" w:ascii="Times New Roman" w:hAnsi="Times New Roman"/>
                <w:color w:val="auto"/>
                <w:kern w:val="1"/>
                <w:sz w:val="24"/>
              </w:rPr>
              <w:t>2</w:t>
            </w:r>
            <w:r>
              <w:rPr>
                <w:rFonts w:ascii="Times New Roman" w:hAnsi="Times New Roman"/>
                <w:color w:val="auto"/>
                <w:kern w:val="1"/>
                <w:sz w:val="24"/>
              </w:rPr>
              <w:t>井区平均单井最大日产液量约</w:t>
            </w:r>
            <w:r>
              <w:rPr>
                <w:rFonts w:hint="eastAsia" w:ascii="Times New Roman" w:hAnsi="Times New Roman"/>
                <w:color w:val="auto"/>
                <w:kern w:val="1"/>
                <w:sz w:val="24"/>
              </w:rPr>
              <w:t>7</w:t>
            </w:r>
            <w:r>
              <w:rPr>
                <w:rFonts w:ascii="Times New Roman" w:hAnsi="Times New Roman"/>
                <w:color w:val="auto"/>
                <w:kern w:val="1"/>
                <w:sz w:val="24"/>
              </w:rPr>
              <w:t>t/d，按1-2天储存时间计算，本次考虑高架罐</w:t>
            </w:r>
            <w:r>
              <w:rPr>
                <w:rFonts w:hint="eastAsia" w:ascii="Times New Roman" w:hAnsi="Times New Roman"/>
                <w:color w:val="auto"/>
                <w:kern w:val="1"/>
                <w:sz w:val="24"/>
              </w:rPr>
              <w:t>部分利旧及基础新建5</w:t>
            </w:r>
            <w:r>
              <w:rPr>
                <w:rFonts w:ascii="Times New Roman" w:hAnsi="Times New Roman"/>
                <w:color w:val="auto"/>
                <w:kern w:val="1"/>
                <w:sz w:val="24"/>
              </w:rPr>
              <w:t>座50m</w:t>
            </w:r>
            <w:r>
              <w:rPr>
                <w:rFonts w:ascii="Times New Roman" w:hAnsi="Times New Roman"/>
                <w:color w:val="auto"/>
                <w:kern w:val="1"/>
                <w:sz w:val="24"/>
                <w:vertAlign w:val="superscript"/>
              </w:rPr>
              <w:t>3</w:t>
            </w:r>
            <w:r>
              <w:rPr>
                <w:rFonts w:ascii="Times New Roman" w:hAnsi="Times New Roman"/>
                <w:color w:val="auto"/>
                <w:kern w:val="1"/>
                <w:sz w:val="24"/>
              </w:rPr>
              <w:t>卧式高架罐</w:t>
            </w:r>
            <w:r>
              <w:rPr>
                <w:rFonts w:hint="eastAsia" w:ascii="Times New Roman" w:hAnsi="Times New Roman"/>
                <w:color w:val="auto"/>
                <w:kern w:val="1"/>
                <w:sz w:val="24"/>
              </w:rPr>
              <w:t>可满足集输要求</w:t>
            </w:r>
            <w:r>
              <w:rPr>
                <w:rFonts w:ascii="Times New Roman" w:hAnsi="Times New Roman"/>
                <w:color w:val="auto"/>
                <w:kern w:val="1"/>
                <w:sz w:val="24"/>
              </w:rPr>
              <w:t>。</w:t>
            </w:r>
          </w:p>
          <w:p>
            <w:pPr>
              <w:pStyle w:val="48"/>
              <w:adjustRightInd w:val="0"/>
              <w:snapToGrid w:val="0"/>
              <w:spacing w:line="360" w:lineRule="auto"/>
              <w:ind w:left="420" w:leftChars="200" w:firstLine="0" w:firstLineChars="0"/>
              <w:jc w:val="both"/>
              <w:rPr>
                <w:rFonts w:ascii="Times New Roman" w:hAnsi="Times New Roman"/>
                <w:b/>
                <w:bCs/>
                <w:color w:val="auto"/>
                <w:shd w:val="clear" w:color="auto" w:fill="FFFFFF"/>
              </w:rPr>
            </w:pPr>
            <w:r>
              <w:rPr>
                <w:rFonts w:ascii="Times New Roman" w:hAnsi="Times New Roman"/>
                <w:b/>
                <w:bCs/>
                <w:color w:val="auto"/>
                <w:shd w:val="clear" w:color="auto" w:fill="FFFFFF"/>
              </w:rPr>
              <w:t>4.依托工程</w:t>
            </w:r>
          </w:p>
          <w:p>
            <w:pPr>
              <w:pStyle w:val="48"/>
              <w:spacing w:line="360" w:lineRule="auto"/>
              <w:ind w:firstLine="480"/>
              <w:jc w:val="both"/>
              <w:rPr>
                <w:rFonts w:ascii="Times New Roman" w:hAnsi="Times New Roman"/>
                <w:color w:val="auto"/>
                <w:shd w:val="clear" w:color="auto" w:fill="FFFFFF"/>
              </w:rPr>
            </w:pPr>
            <w:r>
              <w:rPr>
                <w:rFonts w:ascii="Times New Roman" w:hAnsi="Times New Roman"/>
                <w:color w:val="auto"/>
                <w:shd w:val="clear" w:color="auto" w:fill="FFFFFF"/>
              </w:rPr>
              <w:t>本项目采出液由罐车运至春光联合站原油处理系统处理，原油处理系统采用沉降脱水处理工艺，目前为稠、稀分开处理，处理后原油再混合外输销售。原油处理系统分离出的采出水送至</w:t>
            </w:r>
            <w:r>
              <w:rPr>
                <w:rFonts w:hint="eastAsia" w:ascii="Times New Roman" w:hAnsi="Times New Roman"/>
                <w:color w:val="auto"/>
                <w:shd w:val="clear" w:color="auto" w:fill="FFFFFF"/>
              </w:rPr>
              <w:t>春光联合</w:t>
            </w:r>
            <w:r>
              <w:rPr>
                <w:rFonts w:ascii="Times New Roman" w:hAnsi="Times New Roman"/>
                <w:color w:val="auto"/>
                <w:shd w:val="clear" w:color="auto" w:fill="FFFFFF"/>
              </w:rPr>
              <w:t>站内采出水处理系统，处理达到《碎屑岩油藏注水水质指标及分析方法》（SY/T5329-2012）中相关标准后，全部回注油藏，不外排。春光联合站采出液处理工艺详见2-4。</w:t>
            </w:r>
          </w:p>
          <w:p>
            <w:pPr>
              <w:pStyle w:val="48"/>
              <w:spacing w:line="360" w:lineRule="auto"/>
              <w:ind w:firstLine="0" w:firstLineChars="0"/>
              <w:jc w:val="center"/>
              <w:rPr>
                <w:rFonts w:ascii="Times New Roman" w:hAnsi="Times New Roman"/>
                <w:color w:val="auto"/>
                <w:shd w:val="clear" w:color="auto" w:fill="FFFFFF"/>
              </w:rPr>
            </w:pPr>
            <w:r>
              <w:rPr>
                <w:rFonts w:ascii="Times New Roman" w:hAnsi="Times New Roman"/>
                <w:color w:val="auto"/>
                <w:bdr w:val="single" w:color="auto" w:sz="12" w:space="0"/>
              </w:rPr>
              <w:drawing>
                <wp:inline distT="0" distB="0" distL="0" distR="0">
                  <wp:extent cx="5024120" cy="945515"/>
                  <wp:effectExtent l="0" t="0" r="508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024120" cy="945515"/>
                          </a:xfrm>
                          <a:prstGeom prst="rect">
                            <a:avLst/>
                          </a:prstGeom>
                          <a:noFill/>
                          <a:ln>
                            <a:noFill/>
                          </a:ln>
                        </pic:spPr>
                      </pic:pic>
                    </a:graphicData>
                  </a:graphic>
                </wp:inline>
              </w:drawing>
            </w:r>
          </w:p>
          <w:p>
            <w:pPr>
              <w:pStyle w:val="48"/>
              <w:adjustRightInd w:val="0"/>
              <w:snapToGrid w:val="0"/>
              <w:spacing w:line="360" w:lineRule="auto"/>
              <w:ind w:firstLine="482"/>
              <w:jc w:val="center"/>
              <w:rPr>
                <w:rFonts w:ascii="Times New Roman" w:hAnsi="Times New Roman"/>
                <w:b/>
                <w:bCs/>
                <w:color w:val="auto"/>
                <w:sz w:val="21"/>
                <w:szCs w:val="21"/>
                <w:shd w:val="clear" w:color="auto" w:fill="FFFFFF"/>
              </w:rPr>
            </w:pPr>
            <w:r>
              <w:rPr>
                <w:rFonts w:ascii="Times New Roman" w:hAnsi="Times New Roman"/>
                <w:b/>
                <w:bCs/>
                <w:color w:val="auto"/>
                <w:shd w:val="clear" w:color="auto" w:fill="FFFFFF"/>
              </w:rPr>
              <w:t>图2-4  春光联合站采出液处理工艺流程示意图</w:t>
            </w:r>
          </w:p>
          <w:p>
            <w:pPr>
              <w:pStyle w:val="48"/>
              <w:adjustRightInd w:val="0"/>
              <w:snapToGrid w:val="0"/>
              <w:spacing w:line="360" w:lineRule="auto"/>
              <w:ind w:left="420" w:leftChars="200" w:firstLine="0" w:firstLineChars="0"/>
              <w:jc w:val="both"/>
              <w:rPr>
                <w:rFonts w:ascii="Times New Roman" w:hAnsi="Times New Roman"/>
                <w:b/>
                <w:bCs/>
                <w:color w:val="auto"/>
                <w:shd w:val="clear" w:color="auto" w:fill="FFFFFF"/>
              </w:rPr>
            </w:pPr>
            <w:r>
              <w:rPr>
                <w:rFonts w:ascii="Times New Roman" w:hAnsi="Times New Roman"/>
                <w:b/>
                <w:bCs/>
                <w:color w:val="auto"/>
                <w:shd w:val="clear" w:color="auto" w:fill="FFFFFF"/>
              </w:rPr>
              <w:t>4.1春光联合站（原排二联合站）</w:t>
            </w:r>
          </w:p>
          <w:p>
            <w:pPr>
              <w:pStyle w:val="48"/>
              <w:adjustRightInd w:val="0"/>
              <w:snapToGrid w:val="0"/>
              <w:spacing w:line="360" w:lineRule="auto"/>
              <w:ind w:left="420" w:leftChars="200" w:firstLine="0" w:firstLineChars="0"/>
              <w:jc w:val="both"/>
              <w:rPr>
                <w:rFonts w:ascii="Times New Roman" w:hAnsi="Times New Roman"/>
                <w:color w:val="auto"/>
                <w:shd w:val="clear" w:color="auto" w:fill="FFFFFF"/>
              </w:rPr>
            </w:pPr>
            <w:r>
              <w:rPr>
                <w:rFonts w:ascii="Times New Roman" w:hAnsi="Times New Roman"/>
                <w:color w:val="auto"/>
                <w:shd w:val="clear" w:color="auto" w:fill="FFFFFF"/>
              </w:rPr>
              <w:t>（1）基本情况</w:t>
            </w:r>
          </w:p>
          <w:p>
            <w:pPr>
              <w:pStyle w:val="48"/>
              <w:spacing w:line="360" w:lineRule="auto"/>
              <w:ind w:firstLine="480"/>
              <w:jc w:val="both"/>
              <w:rPr>
                <w:rFonts w:ascii="Times New Roman" w:hAnsi="Times New Roman"/>
                <w:color w:val="auto"/>
                <w:shd w:val="clear" w:color="auto" w:fill="FFFFFF"/>
              </w:rPr>
            </w:pPr>
            <w:r>
              <w:rPr>
                <w:rFonts w:ascii="Times New Roman" w:hAnsi="Times New Roman"/>
                <w:color w:val="auto"/>
                <w:shd w:val="clear" w:color="auto" w:fill="FFFFFF"/>
              </w:rPr>
              <w:t>春光联合站位于兵团第七师128团境内，东临217国道，距128团团部约9km。原第七师环境保护局2014年11月对《春光油田排二联合站扩建工程环境影响报告书》进行了批复（师环函[2014]213号），2016年9月对春光油田排二联合站（现春光联合站）扩建工程进行了竣工环保验收（师环审[2016]110号）</w:t>
            </w:r>
            <w:r>
              <w:rPr>
                <w:rFonts w:hint="eastAsia" w:ascii="Times New Roman" w:hAnsi="Times New Roman"/>
                <w:color w:val="auto"/>
                <w:shd w:val="clear" w:color="auto" w:fill="FFFFFF"/>
              </w:rPr>
              <w:t>（见附件2）</w:t>
            </w:r>
            <w:r>
              <w:rPr>
                <w:rFonts w:ascii="Times New Roman" w:hAnsi="Times New Roman"/>
                <w:color w:val="auto"/>
                <w:shd w:val="clear" w:color="auto" w:fill="FFFFFF"/>
              </w:rPr>
              <w:t>。</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（2）原油处理系统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春光联合站于</w:t>
            </w:r>
            <w:r>
              <w:rPr>
                <w:rFonts w:ascii="Times New Roman" w:hAnsi="Times New Roman" w:eastAsia="Times New Roman"/>
                <w:color w:val="auto"/>
                <w:sz w:val="24"/>
              </w:rPr>
              <w:t>2006</w:t>
            </w:r>
            <w:r>
              <w:rPr>
                <w:rFonts w:ascii="Times New Roman" w:hAnsi="Times New Roman"/>
                <w:color w:val="auto"/>
                <w:sz w:val="24"/>
              </w:rPr>
              <w:t>年建成投产，原油处理规模为</w:t>
            </w:r>
            <w:r>
              <w:rPr>
                <w:rFonts w:ascii="Times New Roman" w:hAnsi="Times New Roman" w:eastAsia="Times New Roman"/>
                <w:color w:val="auto"/>
                <w:sz w:val="24"/>
              </w:rPr>
              <w:t>50×10</w:t>
            </w:r>
            <w:r>
              <w:rPr>
                <w:rFonts w:ascii="Times New Roman" w:hAnsi="Times New Roman" w:eastAsia="Times New Roman"/>
                <w:color w:val="auto"/>
                <w:sz w:val="24"/>
                <w:vertAlign w:val="superscript"/>
              </w:rPr>
              <w:t>4</w:t>
            </w:r>
            <w:r>
              <w:rPr>
                <w:rFonts w:ascii="Times New Roman" w:hAnsi="Times New Roman" w:eastAsia="Times New Roman"/>
                <w:color w:val="auto"/>
                <w:sz w:val="24"/>
              </w:rPr>
              <w:t>t/a</w:t>
            </w:r>
            <w:r>
              <w:rPr>
                <w:rFonts w:ascii="Times New Roman" w:hAnsi="Times New Roman"/>
                <w:color w:val="auto"/>
                <w:sz w:val="24"/>
              </w:rPr>
              <w:t xml:space="preserve">，处理工艺主要针对稀油和少部分混合油，稀油脱水采用三相分离脱水工艺，混合油脱水采用沉降脱水工艺。 </w:t>
            </w:r>
          </w:p>
          <w:p>
            <w:pPr>
              <w:spacing w:line="360" w:lineRule="auto"/>
              <w:ind w:firstLine="480" w:firstLineChars="200"/>
              <w:jc w:val="both"/>
              <w:rPr>
                <w:rFonts w:ascii="Times New Roman" w:hAnsi="Times New Roman"/>
                <w:color w:val="auto"/>
                <w:sz w:val="24"/>
              </w:rPr>
            </w:pPr>
            <w:r>
              <w:rPr>
                <w:rFonts w:ascii="Times New Roman" w:hAnsi="Times New Roman" w:eastAsia="Times New Roman"/>
                <w:color w:val="auto"/>
                <w:sz w:val="24"/>
              </w:rPr>
              <w:t>2012~2013</w:t>
            </w:r>
            <w:r>
              <w:rPr>
                <w:rFonts w:ascii="Times New Roman" w:hAnsi="Times New Roman"/>
                <w:color w:val="auto"/>
                <w:sz w:val="24"/>
              </w:rPr>
              <w:t>年，联合站进行了局部改造，主要是将站内</w:t>
            </w:r>
            <w:r>
              <w:rPr>
                <w:rFonts w:ascii="Times New Roman" w:hAnsi="Times New Roman" w:eastAsia="Times New Roman"/>
                <w:color w:val="auto"/>
                <w:sz w:val="24"/>
              </w:rPr>
              <w:t>2</w:t>
            </w:r>
            <w:r>
              <w:rPr>
                <w:rFonts w:ascii="Times New Roman" w:hAnsi="Times New Roman"/>
                <w:color w:val="auto"/>
                <w:sz w:val="24"/>
              </w:rPr>
              <w:t>座</w:t>
            </w:r>
            <w:r>
              <w:rPr>
                <w:rFonts w:ascii="Times New Roman" w:hAnsi="Times New Roman" w:eastAsia="Times New Roman"/>
                <w:color w:val="auto"/>
                <w:sz w:val="24"/>
              </w:rPr>
              <w:t>2000m</w:t>
            </w:r>
            <w:r>
              <w:rPr>
                <w:rFonts w:ascii="Times New Roman" w:hAnsi="Times New Roman" w:eastAsia="Times New Roman"/>
                <w:color w:val="auto"/>
                <w:sz w:val="24"/>
                <w:vertAlign w:val="superscript"/>
              </w:rPr>
              <w:t>3</w:t>
            </w:r>
            <w:r>
              <w:rPr>
                <w:rFonts w:ascii="Times New Roman" w:hAnsi="Times New Roman"/>
                <w:color w:val="auto"/>
                <w:sz w:val="24"/>
              </w:rPr>
              <w:t>稀油沉降脱水罐改为混合油沉降脱水罐，</w:t>
            </w:r>
            <w:r>
              <w:rPr>
                <w:rFonts w:ascii="Times New Roman" w:hAnsi="Times New Roman" w:eastAsia="Times New Roman"/>
                <w:color w:val="auto"/>
                <w:sz w:val="24"/>
              </w:rPr>
              <w:t>2</w:t>
            </w:r>
            <w:r>
              <w:rPr>
                <w:rFonts w:ascii="Times New Roman" w:hAnsi="Times New Roman"/>
                <w:color w:val="auto"/>
                <w:sz w:val="24"/>
              </w:rPr>
              <w:t>座</w:t>
            </w:r>
            <w:r>
              <w:rPr>
                <w:rFonts w:ascii="Times New Roman" w:hAnsi="Times New Roman" w:eastAsia="Times New Roman"/>
                <w:color w:val="auto"/>
                <w:sz w:val="24"/>
              </w:rPr>
              <w:t>2000m</w:t>
            </w:r>
            <w:r>
              <w:rPr>
                <w:rFonts w:ascii="Times New Roman" w:hAnsi="Times New Roman" w:eastAsia="Times New Roman"/>
                <w:color w:val="auto"/>
                <w:sz w:val="24"/>
                <w:vertAlign w:val="superscript"/>
              </w:rPr>
              <w:t>3</w:t>
            </w:r>
            <w:r>
              <w:rPr>
                <w:rFonts w:ascii="Times New Roman" w:hAnsi="Times New Roman"/>
                <w:color w:val="auto"/>
                <w:sz w:val="24"/>
              </w:rPr>
              <w:t>稀油储罐改为混合油储罐；将</w:t>
            </w:r>
            <w:r>
              <w:rPr>
                <w:rFonts w:ascii="Times New Roman" w:hAnsi="Times New Roman" w:eastAsia="Times New Roman"/>
                <w:color w:val="auto"/>
                <w:sz w:val="24"/>
              </w:rPr>
              <w:t>2</w:t>
            </w:r>
            <w:r>
              <w:rPr>
                <w:rFonts w:ascii="Times New Roman" w:hAnsi="Times New Roman"/>
                <w:color w:val="auto"/>
                <w:sz w:val="24"/>
              </w:rPr>
              <w:t>座</w:t>
            </w:r>
            <w:r>
              <w:rPr>
                <w:rFonts w:ascii="Times New Roman" w:hAnsi="Times New Roman" w:eastAsia="Times New Roman"/>
                <w:color w:val="auto"/>
                <w:sz w:val="24"/>
              </w:rPr>
              <w:t>5000m</w:t>
            </w:r>
            <w:r>
              <w:rPr>
                <w:rFonts w:ascii="Times New Roman" w:hAnsi="Times New Roman" w:eastAsia="Times New Roman"/>
                <w:color w:val="auto"/>
                <w:sz w:val="24"/>
                <w:vertAlign w:val="superscript"/>
              </w:rPr>
              <w:t>3</w:t>
            </w:r>
            <w:r>
              <w:rPr>
                <w:rFonts w:ascii="Times New Roman" w:hAnsi="Times New Roman"/>
                <w:color w:val="auto"/>
                <w:sz w:val="24"/>
              </w:rPr>
              <w:t>罐改为稀油储罐，增加掺稀泵等；建成</w:t>
            </w:r>
            <w:r>
              <w:rPr>
                <w:rFonts w:ascii="Times New Roman" w:hAnsi="Times New Roman" w:eastAsia="Times New Roman"/>
                <w:color w:val="auto"/>
                <w:sz w:val="24"/>
              </w:rPr>
              <w:t>50</w:t>
            </w:r>
            <w:r>
              <w:rPr>
                <w:rFonts w:ascii="Times New Roman" w:hAnsi="Times New Roman"/>
                <w:color w:val="auto"/>
                <w:sz w:val="24"/>
              </w:rPr>
              <w:t>万吨负压原油稳定装置一套。实现特稠油</w:t>
            </w:r>
            <w:r>
              <w:rPr>
                <w:rFonts w:ascii="Times New Roman" w:hAnsi="Times New Roman" w:eastAsia="Times New Roman"/>
                <w:color w:val="auto"/>
                <w:sz w:val="24"/>
              </w:rPr>
              <w:t>1</w:t>
            </w:r>
            <w:r>
              <w:rPr>
                <w:rFonts w:ascii="Times New Roman" w:hAnsi="Times New Roman"/>
                <w:color w:val="auto"/>
                <w:sz w:val="24"/>
              </w:rPr>
              <w:t>：</w:t>
            </w:r>
            <w:r>
              <w:rPr>
                <w:rFonts w:ascii="Times New Roman" w:hAnsi="Times New Roman" w:eastAsia="Times New Roman"/>
                <w:color w:val="auto"/>
                <w:sz w:val="24"/>
              </w:rPr>
              <w:t>0.6</w:t>
            </w:r>
            <w:r>
              <w:rPr>
                <w:rFonts w:ascii="Times New Roman" w:hAnsi="Times New Roman"/>
                <w:color w:val="auto"/>
                <w:sz w:val="24"/>
              </w:rPr>
              <w:t xml:space="preserve">掺稀混合原油与剩余稀油既能分开销售又能混合销售。 </w:t>
            </w:r>
          </w:p>
          <w:p>
            <w:pPr>
              <w:spacing w:line="360" w:lineRule="auto"/>
              <w:ind w:firstLine="480" w:firstLineChars="200"/>
              <w:jc w:val="both"/>
              <w:rPr>
                <w:rFonts w:ascii="Times New Roman" w:hAnsi="Times New Roman"/>
                <w:color w:val="auto"/>
                <w:sz w:val="24"/>
              </w:rPr>
            </w:pPr>
            <w:r>
              <w:rPr>
                <w:rFonts w:ascii="Times New Roman" w:hAnsi="Times New Roman" w:eastAsia="Times New Roman"/>
                <w:color w:val="auto"/>
                <w:sz w:val="24"/>
              </w:rPr>
              <w:t>2015</w:t>
            </w:r>
            <w:r>
              <w:rPr>
                <w:rFonts w:ascii="Times New Roman" w:hAnsi="Times New Roman"/>
                <w:color w:val="auto"/>
                <w:sz w:val="24"/>
              </w:rPr>
              <w:t xml:space="preserve">年，春光联合站扩建， 扩建后的规模如下： </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（a）</w:t>
            </w:r>
            <w:r>
              <w:rPr>
                <w:rFonts w:ascii="Times New Roman" w:hAnsi="Times New Roman"/>
                <w:color w:val="auto"/>
                <w:sz w:val="24"/>
              </w:rPr>
              <w:t xml:space="preserve">稀油处理系统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联合站稀油处理系统规模为</w:t>
            </w:r>
            <w:r>
              <w:rPr>
                <w:rFonts w:ascii="Times New Roman" w:hAnsi="Times New Roman" w:eastAsia="Times New Roman"/>
                <w:color w:val="auto"/>
                <w:sz w:val="24"/>
              </w:rPr>
              <w:t>50</w:t>
            </w:r>
            <w:r>
              <w:rPr>
                <w:rFonts w:ascii="Times New Roman" w:hAnsi="Times New Roman"/>
                <w:color w:val="auto"/>
                <w:sz w:val="24"/>
              </w:rPr>
              <w:t xml:space="preserve">万吨。 </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（b）</w:t>
            </w:r>
            <w:r>
              <w:rPr>
                <w:rFonts w:ascii="Times New Roman" w:hAnsi="Times New Roman"/>
                <w:color w:val="auto"/>
                <w:sz w:val="24"/>
              </w:rPr>
              <w:t>混合油（稠油掺稀</w:t>
            </w:r>
            <w:r>
              <w:rPr>
                <w:rFonts w:ascii="Times New Roman" w:hAnsi="Times New Roman" w:eastAsia="Times New Roman"/>
                <w:color w:val="auto"/>
                <w:sz w:val="24"/>
              </w:rPr>
              <w:t>1</w:t>
            </w:r>
            <w:r>
              <w:rPr>
                <w:rFonts w:ascii="Times New Roman" w:hAnsi="Times New Roman"/>
                <w:color w:val="auto"/>
                <w:sz w:val="24"/>
              </w:rPr>
              <w:t>：</w:t>
            </w:r>
            <w:r>
              <w:rPr>
                <w:rFonts w:ascii="Times New Roman" w:hAnsi="Times New Roman" w:eastAsia="Times New Roman"/>
                <w:color w:val="auto"/>
                <w:sz w:val="24"/>
              </w:rPr>
              <w:t>0.6</w:t>
            </w:r>
            <w:r>
              <w:rPr>
                <w:rFonts w:ascii="Times New Roman" w:hAnsi="Times New Roman"/>
                <w:color w:val="auto"/>
                <w:sz w:val="24"/>
              </w:rPr>
              <w:t>～</w:t>
            </w:r>
            <w:r>
              <w:rPr>
                <w:rFonts w:ascii="Times New Roman" w:hAnsi="Times New Roman" w:eastAsia="Times New Roman"/>
                <w:color w:val="auto"/>
                <w:sz w:val="24"/>
              </w:rPr>
              <w:t>1</w:t>
            </w:r>
            <w:r>
              <w:rPr>
                <w:rFonts w:ascii="Times New Roman" w:hAnsi="Times New Roman"/>
                <w:color w:val="auto"/>
                <w:sz w:val="24"/>
              </w:rPr>
              <w:t>）</w:t>
            </w:r>
            <w:r>
              <w:rPr>
                <w:rFonts w:ascii="Times New Roman" w:hAnsi="Times New Roman" w:eastAsia="Times New Roman"/>
                <w:color w:val="auto"/>
                <w:sz w:val="24"/>
              </w:rPr>
              <w:t>/</w:t>
            </w:r>
            <w:r>
              <w:rPr>
                <w:rFonts w:ascii="Times New Roman" w:hAnsi="Times New Roman"/>
                <w:color w:val="auto"/>
                <w:sz w:val="24"/>
              </w:rPr>
              <w:t xml:space="preserve">特稠油处理系统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油田特超稠油采用掺稀油降粘工艺，稠油与稀油比例为</w:t>
            </w:r>
            <w:r>
              <w:rPr>
                <w:rFonts w:ascii="Times New Roman" w:hAnsi="Times New Roman" w:eastAsia="Times New Roman"/>
                <w:color w:val="auto"/>
                <w:sz w:val="24"/>
              </w:rPr>
              <w:t>1</w:t>
            </w:r>
            <w:r>
              <w:rPr>
                <w:rFonts w:hint="eastAsia" w:ascii="Times New Roman" w:hAnsi="Times New Roman"/>
                <w:color w:val="auto"/>
                <w:sz w:val="24"/>
              </w:rPr>
              <w:t>:</w:t>
            </w:r>
            <w:r>
              <w:rPr>
                <w:rFonts w:ascii="Times New Roman" w:hAnsi="Times New Roman" w:eastAsia="Times New Roman"/>
                <w:color w:val="auto"/>
                <w:sz w:val="24"/>
              </w:rPr>
              <w:t>0.6</w:t>
            </w:r>
            <w:r>
              <w:rPr>
                <w:rFonts w:ascii="Times New Roman" w:hAnsi="Times New Roman"/>
                <w:color w:val="auto"/>
                <w:sz w:val="24"/>
              </w:rPr>
              <w:t>～</w:t>
            </w:r>
            <w:r>
              <w:rPr>
                <w:rFonts w:ascii="Times New Roman" w:hAnsi="Times New Roman" w:eastAsia="Times New Roman"/>
                <w:color w:val="auto"/>
                <w:sz w:val="24"/>
              </w:rPr>
              <w:t>1</w:t>
            </w:r>
            <w:r>
              <w:rPr>
                <w:rFonts w:ascii="Times New Roman" w:hAnsi="Times New Roman"/>
                <w:color w:val="auto"/>
                <w:sz w:val="24"/>
              </w:rPr>
              <w:t>，现状最大混合油处理规模为</w:t>
            </w:r>
            <w:r>
              <w:rPr>
                <w:rFonts w:ascii="Times New Roman" w:hAnsi="Times New Roman" w:eastAsia="Times New Roman"/>
                <w:color w:val="auto"/>
                <w:sz w:val="24"/>
              </w:rPr>
              <w:t>100</w:t>
            </w:r>
            <w:r>
              <w:rPr>
                <w:rFonts w:ascii="Times New Roman" w:hAnsi="Times New Roman"/>
                <w:color w:val="auto"/>
                <w:sz w:val="24"/>
              </w:rPr>
              <w:t>万</w:t>
            </w:r>
            <w:r>
              <w:rPr>
                <w:rFonts w:hint="eastAsia" w:ascii="Times New Roman" w:hAnsi="Times New Roman"/>
                <w:color w:val="auto"/>
                <w:sz w:val="24"/>
              </w:rPr>
              <w:t>t</w:t>
            </w:r>
            <w:r>
              <w:rPr>
                <w:rFonts w:ascii="Times New Roman" w:hAnsi="Times New Roman" w:eastAsia="Times New Roman"/>
                <w:color w:val="auto"/>
                <w:sz w:val="24"/>
              </w:rPr>
              <w:t>/</w:t>
            </w:r>
            <w:r>
              <w:rPr>
                <w:rFonts w:hint="eastAsia" w:ascii="Times New Roman" w:hAnsi="Times New Roman"/>
                <w:color w:val="auto"/>
                <w:sz w:val="24"/>
              </w:rPr>
              <w:t>a</w:t>
            </w:r>
            <w:r>
              <w:rPr>
                <w:rFonts w:ascii="Times New Roman" w:hAnsi="Times New Roman"/>
                <w:color w:val="auto"/>
                <w:sz w:val="24"/>
              </w:rPr>
              <w:t>。远期特超稠油处理规模</w:t>
            </w:r>
            <w:r>
              <w:rPr>
                <w:rFonts w:ascii="Times New Roman" w:hAnsi="Times New Roman" w:eastAsia="Times New Roman"/>
                <w:color w:val="auto"/>
                <w:sz w:val="24"/>
              </w:rPr>
              <w:t>40×10</w:t>
            </w:r>
            <w:r>
              <w:rPr>
                <w:rFonts w:ascii="Times New Roman" w:hAnsi="Times New Roman" w:eastAsia="Times New Roman"/>
                <w:color w:val="auto"/>
                <w:sz w:val="24"/>
                <w:vertAlign w:val="superscript"/>
              </w:rPr>
              <w:t>4</w:t>
            </w:r>
            <w:r>
              <w:rPr>
                <w:rFonts w:ascii="Times New Roman" w:hAnsi="Times New Roman" w:eastAsia="Times New Roman"/>
                <w:color w:val="auto"/>
                <w:sz w:val="24"/>
              </w:rPr>
              <w:t>t/a</w:t>
            </w:r>
            <w:r>
              <w:rPr>
                <w:rFonts w:ascii="Times New Roman" w:hAnsi="Times New Roman"/>
                <w:color w:val="auto"/>
                <w:sz w:val="24"/>
              </w:rPr>
              <w:t xml:space="preserve">。 </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（c）</w:t>
            </w:r>
            <w:r>
              <w:rPr>
                <w:rFonts w:ascii="Times New Roman" w:hAnsi="Times New Roman"/>
                <w:color w:val="auto"/>
                <w:sz w:val="24"/>
              </w:rPr>
              <w:t>混稀油（稀油</w:t>
            </w:r>
            <w:r>
              <w:rPr>
                <w:rFonts w:ascii="Times New Roman" w:hAnsi="Times New Roman" w:eastAsia="Times New Roman"/>
                <w:color w:val="auto"/>
                <w:sz w:val="24"/>
              </w:rPr>
              <w:t>/</w:t>
            </w:r>
            <w:r>
              <w:rPr>
                <w:rFonts w:ascii="Times New Roman" w:hAnsi="Times New Roman"/>
                <w:color w:val="auto"/>
                <w:sz w:val="24"/>
              </w:rPr>
              <w:t>剩余稀油</w:t>
            </w:r>
            <w:r>
              <w:rPr>
                <w:rFonts w:ascii="Times New Roman" w:hAnsi="Times New Roman" w:eastAsia="Times New Roman"/>
                <w:color w:val="auto"/>
                <w:sz w:val="24"/>
              </w:rPr>
              <w:t>+</w:t>
            </w:r>
            <w:r>
              <w:rPr>
                <w:rFonts w:ascii="Times New Roman" w:hAnsi="Times New Roman"/>
                <w:color w:val="auto"/>
                <w:sz w:val="24"/>
              </w:rPr>
              <w:t xml:space="preserve">中质油）处理系统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根据开发部署产量预测，混稀油最大处理量共计</w:t>
            </w:r>
            <w:r>
              <w:rPr>
                <w:rFonts w:ascii="Times New Roman" w:hAnsi="Times New Roman" w:eastAsia="Times New Roman"/>
                <w:color w:val="auto"/>
                <w:sz w:val="24"/>
              </w:rPr>
              <w:t>61.5</w:t>
            </w:r>
            <w:r>
              <w:rPr>
                <w:rFonts w:ascii="Times New Roman" w:hAnsi="Times New Roman"/>
                <w:color w:val="auto"/>
                <w:sz w:val="24"/>
              </w:rPr>
              <w:t>万</w:t>
            </w:r>
            <w:r>
              <w:rPr>
                <w:rFonts w:hint="eastAsia" w:ascii="Times New Roman" w:hAnsi="Times New Roman"/>
                <w:color w:val="auto"/>
                <w:sz w:val="24"/>
              </w:rPr>
              <w:t>t</w:t>
            </w:r>
            <w:r>
              <w:rPr>
                <w:rFonts w:ascii="Times New Roman" w:hAnsi="Times New Roman" w:eastAsia="Times New Roman"/>
                <w:color w:val="auto"/>
                <w:sz w:val="24"/>
              </w:rPr>
              <w:t>/</w:t>
            </w:r>
            <w:r>
              <w:rPr>
                <w:rFonts w:hint="eastAsia" w:ascii="Times New Roman" w:hAnsi="Times New Roman"/>
                <w:color w:val="auto"/>
                <w:sz w:val="24"/>
              </w:rPr>
              <w:t>a</w:t>
            </w:r>
            <w:r>
              <w:rPr>
                <w:rFonts w:ascii="Times New Roman" w:hAnsi="Times New Roman"/>
                <w:color w:val="auto"/>
                <w:sz w:val="24"/>
              </w:rPr>
              <w:t>，混稀油处理规模按</w:t>
            </w:r>
            <w:r>
              <w:rPr>
                <w:rFonts w:ascii="Times New Roman" w:hAnsi="Times New Roman" w:eastAsia="Times New Roman"/>
                <w:color w:val="auto"/>
                <w:sz w:val="24"/>
              </w:rPr>
              <w:t>65×10</w:t>
            </w:r>
            <w:r>
              <w:rPr>
                <w:rFonts w:ascii="Times New Roman" w:hAnsi="Times New Roman" w:eastAsia="Times New Roman"/>
                <w:color w:val="auto"/>
                <w:sz w:val="24"/>
                <w:vertAlign w:val="superscript"/>
              </w:rPr>
              <w:t>4</w:t>
            </w:r>
            <w:r>
              <w:rPr>
                <w:rFonts w:ascii="Times New Roman" w:hAnsi="Times New Roman" w:eastAsia="Times New Roman"/>
                <w:color w:val="auto"/>
                <w:sz w:val="24"/>
              </w:rPr>
              <w:t>t/a</w:t>
            </w:r>
            <w:r>
              <w:rPr>
                <w:rFonts w:ascii="Times New Roman" w:hAnsi="Times New Roman"/>
                <w:color w:val="auto"/>
                <w:sz w:val="24"/>
              </w:rPr>
              <w:t xml:space="preserve">建设。由于近两年中质油产量小，混稀油处理系统考虑缓期建设，故不包括在扩建内容中。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（3）脱水工艺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联合站主要有两套脱水工艺：一是站外来稀油经加热进入三相分离器，脱水原油含水</w:t>
            </w:r>
            <w:r>
              <w:rPr>
                <w:rFonts w:ascii="Times New Roman" w:hAnsi="Times New Roman" w:eastAsia="Times New Roman"/>
                <w:color w:val="auto"/>
                <w:sz w:val="24"/>
              </w:rPr>
              <w:t>≤0.5%</w:t>
            </w:r>
            <w:r>
              <w:rPr>
                <w:rFonts w:ascii="Times New Roman" w:hAnsi="Times New Roman"/>
                <w:color w:val="auto"/>
                <w:sz w:val="24"/>
              </w:rPr>
              <w:t>，直接去原油稳定装置，经稳定后的原油进入原油储罐装车外销。分离出的伴生气经除油器除液后，一部分用于生产、生活区供气，剩余气体放空。脱出的含油废水去污水处理系统；工艺流程见图</w:t>
            </w:r>
            <w:r>
              <w:rPr>
                <w:rFonts w:ascii="Times New Roman" w:hAnsi="Times New Roman" w:eastAsia="Times New Roman"/>
                <w:color w:val="auto"/>
                <w:sz w:val="24"/>
              </w:rPr>
              <w:t>2-5</w:t>
            </w:r>
            <w:r>
              <w:rPr>
                <w:rFonts w:ascii="Times New Roman" w:hAnsi="Times New Roman"/>
                <w:color w:val="auto"/>
                <w:sz w:val="24"/>
              </w:rPr>
              <w:t>。二是站外来混合油脱水采用沉降脱水工艺；工艺流程见图</w:t>
            </w:r>
            <w:r>
              <w:rPr>
                <w:rFonts w:ascii="Times New Roman" w:hAnsi="Times New Roman" w:eastAsia="Times New Roman"/>
                <w:color w:val="auto"/>
                <w:sz w:val="24"/>
              </w:rPr>
              <w:t>2-6</w:t>
            </w:r>
            <w:r>
              <w:rPr>
                <w:rFonts w:ascii="Times New Roman" w:hAnsi="Times New Roman"/>
                <w:color w:val="auto"/>
                <w:sz w:val="24"/>
              </w:rPr>
              <w:t>。</w:t>
            </w:r>
          </w:p>
          <w:p>
            <w:pPr>
              <w:spacing w:line="360" w:lineRule="auto"/>
              <w:ind w:firstLine="480" w:firstLineChars="200"/>
              <w:jc w:val="both"/>
              <w:rPr>
                <w:rFonts w:ascii="Times New Roman" w:hAnsi="Times New Roman"/>
                <w:color w:val="auto"/>
                <w:sz w:val="24"/>
              </w:rPr>
            </w:pPr>
          </w:p>
          <w:p>
            <w:pPr>
              <w:spacing w:line="360" w:lineRule="auto"/>
              <w:ind w:firstLine="480" w:firstLineChars="200"/>
              <w:jc w:val="both"/>
              <w:rPr>
                <w:rFonts w:ascii="Times New Roman" w:hAnsi="Times New Roman"/>
                <w:color w:val="auto"/>
                <w:sz w:val="24"/>
              </w:rPr>
            </w:pPr>
          </w:p>
          <w:p>
            <w:pPr>
              <w:spacing w:line="360" w:lineRule="auto"/>
              <w:ind w:firstLine="480" w:firstLineChars="200"/>
              <w:jc w:val="both"/>
              <w:rPr>
                <w:rFonts w:ascii="Times New Roman" w:hAnsi="Times New Roman"/>
                <w:color w:val="auto"/>
                <w:sz w:val="24"/>
              </w:rPr>
            </w:pPr>
          </w:p>
          <w:p>
            <w:pPr>
              <w:spacing w:line="360" w:lineRule="auto"/>
              <w:jc w:val="center"/>
              <w:rPr>
                <w:rFonts w:ascii="Times New Roman" w:hAnsi="Times New Roman"/>
                <w:color w:val="auto"/>
              </w:rPr>
            </w:pPr>
            <w:r>
              <w:rPr>
                <w:rFonts w:ascii="Times New Roman" w:hAnsi="Times New Roman"/>
                <w:color w:val="auto"/>
              </w:rPr>
              <w:drawing>
                <wp:inline distT="0" distB="0" distL="114300" distR="114300">
                  <wp:extent cx="4067175" cy="1495425"/>
                  <wp:effectExtent l="9525" t="9525" r="19050" b="1905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3"/>
                          <a:stretch>
                            <a:fillRect/>
                          </a:stretch>
                        </pic:blipFill>
                        <pic:spPr>
                          <a:xfrm>
                            <a:off x="0" y="0"/>
                            <a:ext cx="4067175" cy="1495425"/>
                          </a:xfrm>
                          <a:prstGeom prst="rect">
                            <a:avLst/>
                          </a:prstGeom>
                          <a:noFill/>
                          <a:ln>
                            <a:solidFill>
                              <a:schemeClr val="tx1"/>
                            </a:solidFill>
                          </a:ln>
                        </pic:spPr>
                      </pic:pic>
                    </a:graphicData>
                  </a:graphic>
                </wp:inline>
              </w:drawing>
            </w:r>
          </w:p>
          <w:p>
            <w:pPr>
              <w:spacing w:line="360" w:lineRule="auto"/>
              <w:ind w:firstLine="482" w:firstLineChars="200"/>
              <w:jc w:val="center"/>
              <w:rPr>
                <w:rFonts w:ascii="Times New Roman" w:hAnsi="Times New Roman"/>
                <w:b/>
                <w:bCs/>
                <w:color w:val="auto"/>
                <w:sz w:val="24"/>
              </w:rPr>
            </w:pPr>
            <w:r>
              <w:rPr>
                <w:rFonts w:ascii="Times New Roman" w:hAnsi="Times New Roman"/>
                <w:b/>
                <w:bCs/>
                <w:color w:val="auto"/>
                <w:sz w:val="24"/>
              </w:rPr>
              <w:t>图2-5 稀油脱水工艺流程</w:t>
            </w:r>
          </w:p>
          <w:p>
            <w:pPr>
              <w:spacing w:line="360" w:lineRule="auto"/>
              <w:jc w:val="center"/>
              <w:rPr>
                <w:rFonts w:ascii="Times New Roman" w:hAnsi="Times New Roman"/>
                <w:color w:val="auto"/>
              </w:rPr>
            </w:pPr>
            <w:r>
              <w:rPr>
                <w:rFonts w:ascii="Times New Roman" w:hAnsi="Times New Roman"/>
                <w:color w:val="auto"/>
              </w:rPr>
              <w:drawing>
                <wp:inline distT="0" distB="0" distL="114300" distR="114300">
                  <wp:extent cx="4133850" cy="1047750"/>
                  <wp:effectExtent l="9525" t="9525" r="9525" b="9525"/>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4"/>
                          <a:stretch>
                            <a:fillRect/>
                          </a:stretch>
                        </pic:blipFill>
                        <pic:spPr>
                          <a:xfrm>
                            <a:off x="0" y="0"/>
                            <a:ext cx="4133850" cy="1047750"/>
                          </a:xfrm>
                          <a:prstGeom prst="rect">
                            <a:avLst/>
                          </a:prstGeom>
                          <a:noFill/>
                          <a:ln>
                            <a:solidFill>
                              <a:schemeClr val="tx1"/>
                            </a:solidFill>
                          </a:ln>
                        </pic:spPr>
                      </pic:pic>
                    </a:graphicData>
                  </a:graphic>
                </wp:inline>
              </w:drawing>
            </w:r>
          </w:p>
          <w:p>
            <w:pPr>
              <w:spacing w:line="360" w:lineRule="auto"/>
              <w:ind w:firstLine="482" w:firstLineChars="200"/>
              <w:jc w:val="center"/>
              <w:rPr>
                <w:rFonts w:ascii="Times New Roman" w:hAnsi="Times New Roman"/>
                <w:b/>
                <w:bCs/>
                <w:color w:val="auto"/>
                <w:sz w:val="24"/>
              </w:rPr>
            </w:pPr>
            <w:r>
              <w:rPr>
                <w:rFonts w:ascii="Times New Roman" w:hAnsi="Times New Roman"/>
                <w:b/>
                <w:bCs/>
                <w:color w:val="auto"/>
                <w:sz w:val="24"/>
              </w:rPr>
              <w:t>图2-6 混合油脱水工艺流程</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（4）污水处理系统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春光联合站污水处理系统污水处理工艺主要采用</w:t>
            </w:r>
            <w:r>
              <w:rPr>
                <w:rFonts w:ascii="Times New Roman" w:hAnsi="Times New Roman" w:eastAsia="Times New Roman"/>
                <w:color w:val="auto"/>
                <w:sz w:val="24"/>
              </w:rPr>
              <w:t>“</w:t>
            </w:r>
            <w:r>
              <w:rPr>
                <w:rFonts w:ascii="Times New Roman" w:hAnsi="Times New Roman"/>
                <w:color w:val="auto"/>
                <w:sz w:val="24"/>
              </w:rPr>
              <w:t>自然沉降</w:t>
            </w:r>
            <w:r>
              <w:rPr>
                <w:rFonts w:ascii="Times New Roman" w:hAnsi="Times New Roman" w:eastAsia="Times New Roman"/>
                <w:color w:val="auto"/>
                <w:sz w:val="24"/>
              </w:rPr>
              <w:t>+</w:t>
            </w:r>
            <w:r>
              <w:rPr>
                <w:rFonts w:ascii="Times New Roman" w:hAnsi="Times New Roman"/>
                <w:color w:val="auto"/>
                <w:sz w:val="24"/>
              </w:rPr>
              <w:t>混凝沉降</w:t>
            </w:r>
            <w:r>
              <w:rPr>
                <w:rFonts w:ascii="Times New Roman" w:hAnsi="Times New Roman" w:eastAsia="Times New Roman"/>
                <w:color w:val="auto"/>
                <w:sz w:val="24"/>
              </w:rPr>
              <w:t>+</w:t>
            </w:r>
            <w:r>
              <w:rPr>
                <w:rFonts w:ascii="Times New Roman" w:hAnsi="Times New Roman"/>
                <w:color w:val="auto"/>
                <w:sz w:val="24"/>
              </w:rPr>
              <w:t>一级过滤</w:t>
            </w:r>
            <w:r>
              <w:rPr>
                <w:rFonts w:ascii="Times New Roman" w:hAnsi="Times New Roman" w:eastAsia="Times New Roman"/>
                <w:color w:val="auto"/>
                <w:sz w:val="24"/>
              </w:rPr>
              <w:t>”</w:t>
            </w:r>
            <w:r>
              <w:rPr>
                <w:rFonts w:ascii="Times New Roman" w:hAnsi="Times New Roman"/>
                <w:color w:val="auto"/>
                <w:sz w:val="24"/>
              </w:rPr>
              <w:t>的处理工艺，建设规模为3600</w:t>
            </w:r>
            <w:r>
              <w:rPr>
                <w:rFonts w:ascii="Times New Roman" w:hAnsi="Times New Roman" w:eastAsia="Times New Roman"/>
                <w:color w:val="auto"/>
                <w:sz w:val="24"/>
              </w:rPr>
              <w:t>m</w:t>
            </w:r>
            <w:r>
              <w:rPr>
                <w:rFonts w:ascii="Times New Roman" w:hAnsi="Times New Roman" w:eastAsia="Times New Roman"/>
                <w:color w:val="auto"/>
                <w:sz w:val="24"/>
                <w:vertAlign w:val="superscript"/>
              </w:rPr>
              <w:t>3</w:t>
            </w:r>
            <w:r>
              <w:rPr>
                <w:rFonts w:ascii="Times New Roman" w:hAnsi="Times New Roman" w:eastAsia="Times New Roman"/>
                <w:color w:val="auto"/>
                <w:sz w:val="24"/>
              </w:rPr>
              <w:t>/d</w:t>
            </w:r>
            <w:r>
              <w:rPr>
                <w:rFonts w:ascii="Times New Roman" w:hAnsi="Times New Roman"/>
                <w:color w:val="auto"/>
                <w:sz w:val="24"/>
              </w:rPr>
              <w:t>，目前实际处理规模为3000</w:t>
            </w:r>
            <w:r>
              <w:rPr>
                <w:rFonts w:ascii="Times New Roman" w:hAnsi="Times New Roman" w:eastAsia="Times New Roman"/>
                <w:color w:val="auto"/>
                <w:sz w:val="24"/>
              </w:rPr>
              <w:t>m</w:t>
            </w:r>
            <w:r>
              <w:rPr>
                <w:rFonts w:ascii="Times New Roman" w:hAnsi="Times New Roman" w:eastAsia="Times New Roman"/>
                <w:color w:val="auto"/>
                <w:sz w:val="24"/>
                <w:vertAlign w:val="superscript"/>
              </w:rPr>
              <w:t>3</w:t>
            </w:r>
            <w:r>
              <w:rPr>
                <w:rFonts w:ascii="Times New Roman" w:hAnsi="Times New Roman" w:eastAsia="Times New Roman"/>
                <w:color w:val="auto"/>
                <w:sz w:val="24"/>
              </w:rPr>
              <w:t>/d</w:t>
            </w:r>
            <w:r>
              <w:rPr>
                <w:rFonts w:ascii="Times New Roman" w:hAnsi="Times New Roman"/>
                <w:color w:val="auto"/>
                <w:sz w:val="24"/>
              </w:rPr>
              <w:t>，剩余处理能力600</w:t>
            </w:r>
            <w:r>
              <w:rPr>
                <w:rFonts w:ascii="Times New Roman" w:hAnsi="Times New Roman" w:eastAsia="Times New Roman"/>
                <w:color w:val="auto"/>
                <w:sz w:val="24"/>
              </w:rPr>
              <w:t>m</w:t>
            </w:r>
            <w:r>
              <w:rPr>
                <w:rFonts w:ascii="Times New Roman" w:hAnsi="Times New Roman" w:eastAsia="Times New Roman"/>
                <w:color w:val="auto"/>
                <w:sz w:val="24"/>
                <w:vertAlign w:val="superscript"/>
              </w:rPr>
              <w:t>3</w:t>
            </w:r>
            <w:r>
              <w:rPr>
                <w:rFonts w:ascii="Times New Roman" w:hAnsi="Times New Roman" w:eastAsia="Times New Roman"/>
                <w:color w:val="auto"/>
                <w:sz w:val="24"/>
              </w:rPr>
              <w:t>/d</w:t>
            </w:r>
            <w:r>
              <w:rPr>
                <w:rFonts w:ascii="Times New Roman" w:hAnsi="Times New Roman"/>
                <w:color w:val="auto"/>
                <w:sz w:val="24"/>
              </w:rPr>
              <w:t>。由于油田开采为滚动式开发，在新建油井的同时也有相应的油井被关停，因此，春光联合站污水处理系统剩余处理能力可满足本项目污水处理需求。</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春光联合站污水处理系统处理过程主要为：</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1 \* GB3 \* MERGEFORMAT </w:instrText>
            </w:r>
            <w:r>
              <w:rPr>
                <w:rFonts w:ascii="Times New Roman" w:hAnsi="Times New Roman"/>
                <w:color w:val="auto"/>
                <w:sz w:val="24"/>
              </w:rPr>
              <w:fldChar w:fldCharType="separate"/>
            </w:r>
            <w:r>
              <w:rPr>
                <w:rFonts w:ascii="Times New Roman" w:hAnsi="Times New Roman"/>
                <w:color w:val="auto"/>
              </w:rPr>
              <w:t>①</w:t>
            </w:r>
            <w:r>
              <w:rPr>
                <w:rFonts w:ascii="Times New Roman" w:hAnsi="Times New Roman"/>
                <w:color w:val="auto"/>
                <w:sz w:val="24"/>
              </w:rPr>
              <w:fldChar w:fldCharType="end"/>
            </w:r>
            <w:r>
              <w:rPr>
                <w:rFonts w:ascii="Times New Roman" w:hAnsi="Times New Roman"/>
                <w:color w:val="auto"/>
                <w:sz w:val="24"/>
              </w:rPr>
              <w:t>主流程：脱水系统来水</w:t>
            </w:r>
            <w:r>
              <w:rPr>
                <w:rFonts w:ascii="Times New Roman" w:hAnsi="Times New Roman" w:eastAsia="Times New Roman"/>
                <w:color w:val="auto"/>
                <w:sz w:val="24"/>
              </w:rPr>
              <w:t>→</w:t>
            </w:r>
            <w:r>
              <w:rPr>
                <w:rFonts w:ascii="Times New Roman" w:hAnsi="Times New Roman"/>
                <w:color w:val="auto"/>
                <w:sz w:val="24"/>
              </w:rPr>
              <w:t>自然沉降罐</w:t>
            </w:r>
            <w:r>
              <w:rPr>
                <w:rFonts w:ascii="Times New Roman" w:hAnsi="Times New Roman" w:eastAsia="Times New Roman"/>
                <w:color w:val="auto"/>
                <w:sz w:val="24"/>
              </w:rPr>
              <w:t>→</w:t>
            </w:r>
            <w:r>
              <w:rPr>
                <w:rFonts w:ascii="Times New Roman" w:hAnsi="Times New Roman"/>
                <w:color w:val="auto"/>
                <w:sz w:val="24"/>
              </w:rPr>
              <w:t>混凝沉降罐</w:t>
            </w:r>
            <w:r>
              <w:rPr>
                <w:rFonts w:ascii="Times New Roman" w:hAnsi="Times New Roman" w:eastAsia="Times New Roman"/>
                <w:color w:val="auto"/>
                <w:sz w:val="24"/>
              </w:rPr>
              <w:t>→</w:t>
            </w:r>
            <w:r>
              <w:rPr>
                <w:rFonts w:ascii="Times New Roman" w:hAnsi="Times New Roman"/>
                <w:color w:val="auto"/>
                <w:sz w:val="24"/>
              </w:rPr>
              <w:t>缓冲罐</w:t>
            </w:r>
            <w:r>
              <w:rPr>
                <w:rFonts w:ascii="Times New Roman" w:hAnsi="Times New Roman" w:eastAsia="Times New Roman"/>
                <w:color w:val="auto"/>
                <w:sz w:val="24"/>
              </w:rPr>
              <w:t>→</w:t>
            </w:r>
            <w:r>
              <w:rPr>
                <w:rFonts w:ascii="Times New Roman" w:hAnsi="Times New Roman"/>
                <w:color w:val="auto"/>
                <w:sz w:val="24"/>
              </w:rPr>
              <w:t>提升泵</w:t>
            </w:r>
            <w:r>
              <w:rPr>
                <w:rFonts w:ascii="Times New Roman" w:hAnsi="Times New Roman" w:eastAsia="Times New Roman"/>
                <w:color w:val="auto"/>
                <w:sz w:val="24"/>
              </w:rPr>
              <w:t>→</w:t>
            </w:r>
            <w:r>
              <w:rPr>
                <w:rFonts w:ascii="Times New Roman" w:hAnsi="Times New Roman"/>
                <w:color w:val="auto"/>
                <w:sz w:val="24"/>
              </w:rPr>
              <w:t>石英砂过滤器</w:t>
            </w:r>
            <w:r>
              <w:rPr>
                <w:rFonts w:ascii="Times New Roman" w:hAnsi="Times New Roman" w:eastAsia="Times New Roman"/>
                <w:color w:val="auto"/>
                <w:sz w:val="24"/>
              </w:rPr>
              <w:t>→</w:t>
            </w:r>
            <w:r>
              <w:rPr>
                <w:rFonts w:ascii="Times New Roman" w:hAnsi="Times New Roman"/>
                <w:color w:val="auto"/>
                <w:sz w:val="24"/>
              </w:rPr>
              <w:t>净化水罐</w:t>
            </w:r>
            <w:r>
              <w:rPr>
                <w:rFonts w:ascii="Times New Roman" w:hAnsi="Times New Roman" w:eastAsia="Times New Roman"/>
                <w:color w:val="auto"/>
                <w:sz w:val="24"/>
              </w:rPr>
              <w:t>→</w:t>
            </w:r>
            <w:r>
              <w:rPr>
                <w:rFonts w:ascii="Times New Roman" w:hAnsi="Times New Roman"/>
                <w:color w:val="auto"/>
                <w:sz w:val="24"/>
              </w:rPr>
              <w:t>环保回注</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2 \* GB3 \* MERGEFORMAT </w:instrText>
            </w:r>
            <w:r>
              <w:rPr>
                <w:rFonts w:ascii="Times New Roman" w:hAnsi="Times New Roman"/>
                <w:color w:val="auto"/>
                <w:sz w:val="24"/>
              </w:rPr>
              <w:fldChar w:fldCharType="separate"/>
            </w:r>
            <w:r>
              <w:rPr>
                <w:rFonts w:ascii="Times New Roman" w:hAnsi="Times New Roman"/>
                <w:color w:val="auto"/>
              </w:rPr>
              <w:t>②</w:t>
            </w:r>
            <w:r>
              <w:rPr>
                <w:rFonts w:ascii="Times New Roman" w:hAnsi="Times New Roman"/>
                <w:color w:val="auto"/>
                <w:sz w:val="24"/>
              </w:rPr>
              <w:fldChar w:fldCharType="end"/>
            </w:r>
            <w:r>
              <w:rPr>
                <w:rFonts w:ascii="Times New Roman" w:hAnsi="Times New Roman"/>
                <w:color w:val="auto"/>
                <w:sz w:val="24"/>
              </w:rPr>
              <w:t>污泥处理流程：各大罐、设备底部污泥</w:t>
            </w:r>
            <w:r>
              <w:rPr>
                <w:rFonts w:ascii="Times New Roman" w:hAnsi="Times New Roman" w:eastAsia="Times New Roman"/>
                <w:color w:val="auto"/>
                <w:sz w:val="24"/>
              </w:rPr>
              <w:t>→</w:t>
            </w:r>
            <w:r>
              <w:rPr>
                <w:rFonts w:ascii="Times New Roman" w:hAnsi="Times New Roman"/>
                <w:color w:val="auto"/>
                <w:sz w:val="24"/>
              </w:rPr>
              <w:t>已建污水池</w:t>
            </w:r>
            <w:r>
              <w:rPr>
                <w:rFonts w:ascii="Times New Roman" w:hAnsi="Times New Roman" w:eastAsia="Times New Roman"/>
                <w:color w:val="auto"/>
                <w:sz w:val="24"/>
              </w:rPr>
              <w:t>→</w:t>
            </w:r>
            <w:r>
              <w:rPr>
                <w:rFonts w:ascii="Times New Roman" w:hAnsi="Times New Roman"/>
                <w:color w:val="auto"/>
                <w:sz w:val="24"/>
              </w:rPr>
              <w:t>提升泵</w:t>
            </w:r>
            <w:r>
              <w:rPr>
                <w:rFonts w:ascii="Times New Roman" w:hAnsi="Times New Roman" w:eastAsia="Times New Roman"/>
                <w:color w:val="auto"/>
                <w:sz w:val="24"/>
              </w:rPr>
              <w:t>→</w:t>
            </w:r>
            <w:r>
              <w:rPr>
                <w:rFonts w:ascii="Times New Roman" w:hAnsi="Times New Roman"/>
                <w:color w:val="auto"/>
                <w:sz w:val="24"/>
              </w:rPr>
              <w:t>污水池上清液回收再处理，污泥属于危险废物，统一委托新疆锦恒利废矿物油处置有限公司进行处置。</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3 \* GB3 \* MERGEFORMAT </w:instrText>
            </w:r>
            <w:r>
              <w:rPr>
                <w:rFonts w:ascii="Times New Roman" w:hAnsi="Times New Roman"/>
                <w:color w:val="auto"/>
                <w:sz w:val="24"/>
              </w:rPr>
              <w:fldChar w:fldCharType="separate"/>
            </w:r>
            <w:r>
              <w:rPr>
                <w:rFonts w:ascii="Times New Roman" w:hAnsi="Times New Roman"/>
                <w:color w:val="auto"/>
              </w:rPr>
              <w:t>③</w:t>
            </w:r>
            <w:r>
              <w:rPr>
                <w:rFonts w:ascii="Times New Roman" w:hAnsi="Times New Roman"/>
                <w:color w:val="auto"/>
                <w:sz w:val="24"/>
              </w:rPr>
              <w:fldChar w:fldCharType="end"/>
            </w:r>
            <w:r>
              <w:rPr>
                <w:rFonts w:ascii="Times New Roman" w:hAnsi="Times New Roman"/>
                <w:color w:val="auto"/>
                <w:sz w:val="24"/>
              </w:rPr>
              <w:t>污油回收流程：大罐收油</w:t>
            </w:r>
            <w:r>
              <w:rPr>
                <w:rFonts w:ascii="Times New Roman" w:hAnsi="Times New Roman" w:eastAsia="Times New Roman"/>
                <w:color w:val="auto"/>
                <w:sz w:val="24"/>
              </w:rPr>
              <w:t>→</w:t>
            </w:r>
            <w:r>
              <w:rPr>
                <w:rFonts w:ascii="Times New Roman" w:hAnsi="Times New Roman"/>
                <w:color w:val="auto"/>
                <w:sz w:val="24"/>
              </w:rPr>
              <w:t>已建污水池</w:t>
            </w:r>
            <w:r>
              <w:rPr>
                <w:rFonts w:ascii="Times New Roman" w:hAnsi="Times New Roman" w:eastAsia="Times New Roman"/>
                <w:color w:val="auto"/>
                <w:sz w:val="24"/>
              </w:rPr>
              <w:t>→</w:t>
            </w:r>
            <w:r>
              <w:rPr>
                <w:rFonts w:ascii="Times New Roman" w:hAnsi="Times New Roman"/>
                <w:color w:val="auto"/>
                <w:sz w:val="24"/>
              </w:rPr>
              <w:t>提升泵</w:t>
            </w:r>
            <w:r>
              <w:rPr>
                <w:rFonts w:ascii="Times New Roman" w:hAnsi="Times New Roman" w:eastAsia="Times New Roman"/>
                <w:color w:val="auto"/>
                <w:sz w:val="24"/>
              </w:rPr>
              <w:t>→</w:t>
            </w:r>
            <w:r>
              <w:rPr>
                <w:rFonts w:ascii="Times New Roman" w:hAnsi="Times New Roman"/>
                <w:color w:val="auto"/>
                <w:sz w:val="24"/>
              </w:rPr>
              <w:t>原油处理系统。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4 \* GB3 \* MERGEFORMAT </w:instrText>
            </w:r>
            <w:r>
              <w:rPr>
                <w:rFonts w:ascii="Times New Roman" w:hAnsi="Times New Roman"/>
                <w:color w:val="auto"/>
                <w:sz w:val="24"/>
              </w:rPr>
              <w:fldChar w:fldCharType="separate"/>
            </w:r>
            <w:r>
              <w:rPr>
                <w:rFonts w:ascii="Times New Roman" w:hAnsi="Times New Roman"/>
                <w:color w:val="auto"/>
              </w:rPr>
              <w:t>④</w:t>
            </w:r>
            <w:r>
              <w:rPr>
                <w:rFonts w:ascii="Times New Roman" w:hAnsi="Times New Roman"/>
                <w:color w:val="auto"/>
                <w:sz w:val="24"/>
              </w:rPr>
              <w:fldChar w:fldCharType="end"/>
            </w:r>
            <w:r>
              <w:rPr>
                <w:rFonts w:ascii="Times New Roman" w:hAnsi="Times New Roman"/>
                <w:color w:val="auto"/>
                <w:sz w:val="24"/>
              </w:rPr>
              <w:t>事故流程：主要处理设备设施均设有超越管线。</w:t>
            </w:r>
          </w:p>
          <w:p>
            <w:pPr>
              <w:spacing w:line="360" w:lineRule="auto"/>
              <w:ind w:firstLine="480" w:firstLineChars="200"/>
              <w:jc w:val="both"/>
              <w:rPr>
                <w:rFonts w:ascii="Times New Roman" w:hAnsi="Times New Roman"/>
                <w:color w:val="auto"/>
                <w:sz w:val="24"/>
              </w:rPr>
            </w:pPr>
          </w:p>
          <w:p>
            <w:pPr>
              <w:spacing w:line="360" w:lineRule="auto"/>
              <w:ind w:firstLine="480" w:firstLineChars="200"/>
              <w:jc w:val="both"/>
              <w:rPr>
                <w:rFonts w:ascii="Times New Roman" w:hAnsi="Times New Roman"/>
                <w:color w:val="auto"/>
                <w:sz w:val="24"/>
              </w:rPr>
            </w:pPr>
          </w:p>
          <w:p>
            <w:pPr>
              <w:spacing w:line="360" w:lineRule="auto"/>
              <w:ind w:firstLine="480" w:firstLineChars="200"/>
              <w:jc w:val="both"/>
              <w:rPr>
                <w:rFonts w:ascii="Times New Roman" w:hAnsi="Times New Roman"/>
                <w:color w:val="auto"/>
                <w:sz w:val="24"/>
              </w:rPr>
            </w:pPr>
          </w:p>
          <w:p>
            <w:pPr>
              <w:spacing w:line="360" w:lineRule="auto"/>
              <w:ind w:firstLine="480" w:firstLineChars="200"/>
              <w:jc w:val="both"/>
              <w:rPr>
                <w:rFonts w:ascii="Times New Roman" w:hAnsi="Times New Roman"/>
                <w:color w:val="auto"/>
                <w:sz w:val="24"/>
              </w:rPr>
            </w:pPr>
          </w:p>
          <w:p>
            <w:pPr>
              <w:spacing w:line="360" w:lineRule="auto"/>
              <w:ind w:firstLine="480" w:firstLineChars="200"/>
              <w:jc w:val="both"/>
              <w:rPr>
                <w:rFonts w:ascii="Times New Roman" w:hAnsi="Times New Roman"/>
                <w:color w:val="auto"/>
                <w:sz w:val="24"/>
              </w:rPr>
            </w:pPr>
          </w:p>
          <w:p>
            <w:pPr>
              <w:spacing w:line="360" w:lineRule="auto"/>
              <w:jc w:val="both"/>
              <w:rPr>
                <w:rFonts w:ascii="Times New Roman" w:hAnsi="Times New Roman"/>
                <w:color w:val="auto"/>
                <w:sz w:val="24"/>
              </w:rPr>
            </w:pPr>
            <w:r>
              <w:rPr>
                <w:rFonts w:ascii="Times New Roman" w:hAnsi="Times New Roman"/>
                <w:color w:val="auto"/>
              </w:rPr>
              <w:drawing>
                <wp:inline distT="0" distB="0" distL="114300" distR="114300">
                  <wp:extent cx="5174615" cy="2150745"/>
                  <wp:effectExtent l="9525" t="9525" r="16510" b="1143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5"/>
                          <a:stretch>
                            <a:fillRect/>
                          </a:stretch>
                        </pic:blipFill>
                        <pic:spPr>
                          <a:xfrm>
                            <a:off x="0" y="0"/>
                            <a:ext cx="5174615" cy="2150745"/>
                          </a:xfrm>
                          <a:prstGeom prst="rect">
                            <a:avLst/>
                          </a:prstGeom>
                          <a:noFill/>
                          <a:ln>
                            <a:solidFill>
                              <a:schemeClr val="tx1"/>
                            </a:solidFill>
                          </a:ln>
                        </pic:spPr>
                      </pic:pic>
                    </a:graphicData>
                  </a:graphic>
                </wp:inline>
              </w:drawing>
            </w:r>
          </w:p>
          <w:p>
            <w:pPr>
              <w:spacing w:line="360" w:lineRule="auto"/>
              <w:ind w:firstLine="482" w:firstLineChars="200"/>
              <w:jc w:val="center"/>
              <w:rPr>
                <w:rFonts w:ascii="Times New Roman" w:hAnsi="Times New Roman"/>
                <w:b/>
                <w:bCs/>
                <w:color w:val="auto"/>
                <w:sz w:val="24"/>
              </w:rPr>
            </w:pPr>
            <w:r>
              <w:rPr>
                <w:rFonts w:ascii="Times New Roman" w:hAnsi="Times New Roman"/>
                <w:b/>
                <w:bCs/>
                <w:color w:val="auto"/>
                <w:sz w:val="24"/>
              </w:rPr>
              <w:t>图2-7 春光联合站污水处理系统图</w:t>
            </w:r>
          </w:p>
          <w:p>
            <w:pPr>
              <w:spacing w:line="360" w:lineRule="auto"/>
              <w:ind w:firstLine="480" w:firstLineChars="200"/>
              <w:rPr>
                <w:color w:val="auto"/>
              </w:rPr>
            </w:pPr>
            <w:r>
              <w:rPr>
                <w:rFonts w:hint="eastAsia" w:ascii="Times New Roman" w:hAnsi="Times New Roman"/>
                <w:color w:val="auto"/>
                <w:sz w:val="24"/>
                <w:shd w:val="clear" w:color="auto" w:fill="FFFFFF"/>
              </w:rPr>
              <w:t>（5）污水回注系统</w:t>
            </w:r>
          </w:p>
          <w:p>
            <w:pPr>
              <w:spacing w:line="360" w:lineRule="auto"/>
              <w:ind w:firstLine="480" w:firstLineChars="200"/>
              <w:jc w:val="both"/>
              <w:rPr>
                <w:color w:val="auto"/>
              </w:rPr>
            </w:pPr>
            <w:r>
              <w:rPr>
                <w:rFonts w:hint="eastAsia" w:ascii="宋体" w:hAnsi="宋体" w:cs="宋体"/>
                <w:color w:val="auto"/>
                <w:kern w:val="0"/>
                <w:sz w:val="24"/>
                <w:lang w:bidi="ar"/>
              </w:rPr>
              <w:t>经过春光联合站污水处理系统处理后的污水处理达到《碎屑岩油藏注水水质指标及分析方法》（</w:t>
            </w:r>
            <w:r>
              <w:rPr>
                <w:rFonts w:ascii="Times New Roman" w:hAnsi="Times New Roman"/>
                <w:color w:val="auto"/>
                <w:kern w:val="0"/>
                <w:sz w:val="24"/>
                <w:lang w:bidi="ar"/>
              </w:rPr>
              <w:t>SY/T5329-2012</w:t>
            </w:r>
            <w:r>
              <w:rPr>
                <w:rFonts w:hint="eastAsia" w:ascii="宋体" w:hAnsi="宋体" w:cs="宋体"/>
                <w:color w:val="auto"/>
                <w:kern w:val="0"/>
                <w:sz w:val="24"/>
                <w:lang w:bidi="ar"/>
              </w:rPr>
              <w:t>）要求后全部进行回注地层。污水回注系统高压系统设计压力：</w:t>
            </w:r>
            <w:r>
              <w:rPr>
                <w:rFonts w:ascii="Times New Roman" w:hAnsi="Times New Roman"/>
                <w:color w:val="auto"/>
                <w:kern w:val="0"/>
                <w:sz w:val="24"/>
                <w:lang w:bidi="ar"/>
              </w:rPr>
              <w:t>14MPa</w:t>
            </w:r>
            <w:r>
              <w:rPr>
                <w:rFonts w:hint="eastAsia" w:ascii="宋体" w:hAnsi="宋体" w:cs="宋体"/>
                <w:color w:val="auto"/>
                <w:kern w:val="0"/>
                <w:sz w:val="24"/>
                <w:lang w:bidi="ar"/>
              </w:rPr>
              <w:t>，设计出水水质指标为：含油</w:t>
            </w:r>
            <w:r>
              <w:rPr>
                <w:rFonts w:ascii="Times New Roman" w:hAnsi="Times New Roman"/>
                <w:color w:val="auto"/>
                <w:kern w:val="0"/>
                <w:sz w:val="24"/>
                <w:lang w:bidi="ar"/>
              </w:rPr>
              <w:t>≤30mg/L</w:t>
            </w:r>
            <w:r>
              <w:rPr>
                <w:rFonts w:hint="eastAsia" w:ascii="宋体" w:hAnsi="宋体" w:cs="宋体"/>
                <w:color w:val="auto"/>
                <w:kern w:val="0"/>
                <w:sz w:val="24"/>
                <w:lang w:bidi="ar"/>
              </w:rPr>
              <w:t>、悬浮物</w:t>
            </w:r>
            <w:r>
              <w:rPr>
                <w:rFonts w:ascii="Times New Roman" w:hAnsi="Times New Roman"/>
                <w:color w:val="auto"/>
                <w:kern w:val="0"/>
                <w:sz w:val="24"/>
                <w:lang w:bidi="ar"/>
              </w:rPr>
              <w:t>≤10mg/L</w:t>
            </w:r>
            <w:r>
              <w:rPr>
                <w:rFonts w:hint="eastAsia" w:ascii="宋体" w:hAnsi="宋体" w:cs="宋体"/>
                <w:color w:val="auto"/>
                <w:kern w:val="0"/>
                <w:sz w:val="24"/>
                <w:lang w:bidi="ar"/>
              </w:rPr>
              <w:t>。根据春光油田地形特点，注水系统流程选择</w:t>
            </w:r>
            <w:r>
              <w:rPr>
                <w:rFonts w:ascii="Times New Roman" w:hAnsi="Times New Roman"/>
                <w:color w:val="auto"/>
                <w:kern w:val="0"/>
                <w:sz w:val="24"/>
                <w:lang w:bidi="ar"/>
              </w:rPr>
              <w:t>“</w:t>
            </w:r>
            <w:r>
              <w:rPr>
                <w:rFonts w:hint="eastAsia" w:ascii="宋体" w:hAnsi="宋体" w:cs="宋体"/>
                <w:color w:val="auto"/>
                <w:kern w:val="0"/>
                <w:sz w:val="24"/>
                <w:lang w:bidi="ar"/>
              </w:rPr>
              <w:t>单干管串接配水流程</w:t>
            </w:r>
            <w:r>
              <w:rPr>
                <w:rFonts w:ascii="Times New Roman" w:hAnsi="Times New Roman"/>
                <w:color w:val="auto"/>
                <w:kern w:val="0"/>
                <w:sz w:val="24"/>
                <w:lang w:bidi="ar"/>
              </w:rPr>
              <w:t>”</w:t>
            </w:r>
            <w:r>
              <w:rPr>
                <w:rFonts w:hint="eastAsia" w:ascii="宋体" w:hAnsi="宋体" w:cs="宋体"/>
                <w:color w:val="auto"/>
                <w:kern w:val="0"/>
                <w:sz w:val="24"/>
                <w:lang w:bidi="ar"/>
              </w:rPr>
              <w:t>。</w:t>
            </w:r>
          </w:p>
          <w:p>
            <w:pPr>
              <w:spacing w:line="360" w:lineRule="auto"/>
              <w:ind w:firstLine="480" w:firstLineChars="200"/>
              <w:rPr>
                <w:rFonts w:ascii="Times New Roman" w:hAnsi="Times New Roman"/>
                <w:color w:val="auto"/>
                <w:sz w:val="24"/>
                <w:shd w:val="clear" w:color="auto" w:fill="FFFFFF"/>
              </w:rPr>
            </w:pPr>
            <w:r>
              <w:rPr>
                <w:rFonts w:ascii="Times New Roman" w:hAnsi="Times New Roman"/>
                <w:color w:val="auto"/>
                <w:sz w:val="24"/>
                <w:shd w:val="clear" w:color="auto" w:fill="FFFFFF"/>
              </w:rPr>
              <w:t>春光联合站注水系统于2013建成投运，配套有3台25m³/h喂水泵、4台72m³/h喂水泵、2台11.7 m³/h注水泵、1台28m³/h注水泵及4台48m³/h注水泵，设计注水能力3800m³/d，目前实际注水量为4300m</w:t>
            </w:r>
            <w:r>
              <w:rPr>
                <w:rFonts w:ascii="Times New Roman" w:hAnsi="Times New Roman"/>
                <w:color w:val="auto"/>
                <w:sz w:val="24"/>
                <w:shd w:val="clear" w:color="auto" w:fill="FFFFFF"/>
                <w:vertAlign w:val="superscript"/>
              </w:rPr>
              <w:t>3</w:t>
            </w:r>
            <w:r>
              <w:rPr>
                <w:rFonts w:ascii="Times New Roman" w:hAnsi="Times New Roman"/>
                <w:color w:val="auto"/>
                <w:sz w:val="24"/>
                <w:shd w:val="clear" w:color="auto" w:fill="FFFFFF"/>
              </w:rPr>
              <w:t xml:space="preserve">/d </w:t>
            </w:r>
            <w:r>
              <w:rPr>
                <w:rFonts w:hint="eastAsia" w:ascii="Times New Roman" w:hAnsi="Times New Roman"/>
                <w:color w:val="auto"/>
                <w:sz w:val="24"/>
                <w:shd w:val="clear" w:color="auto" w:fill="FFFFFF"/>
              </w:rPr>
              <w:t>，大于污水处理系统污水处理设计处理能力</w:t>
            </w:r>
            <w:r>
              <w:rPr>
                <w:rFonts w:ascii="Times New Roman" w:hAnsi="Times New Roman"/>
                <w:color w:val="auto"/>
                <w:sz w:val="24"/>
              </w:rPr>
              <w:t>3600m</w:t>
            </w:r>
            <w:r>
              <w:rPr>
                <w:rFonts w:ascii="Times New Roman" w:hAnsi="Times New Roman"/>
                <w:color w:val="auto"/>
                <w:sz w:val="24"/>
                <w:vertAlign w:val="superscript"/>
              </w:rPr>
              <w:t>3</w:t>
            </w:r>
            <w:r>
              <w:rPr>
                <w:rFonts w:ascii="Times New Roman" w:hAnsi="Times New Roman"/>
                <w:color w:val="auto"/>
                <w:sz w:val="24"/>
              </w:rPr>
              <w:t>/d</w:t>
            </w:r>
            <w:r>
              <w:rPr>
                <w:rFonts w:hint="eastAsia" w:ascii="Times New Roman" w:hAnsi="Times New Roman"/>
                <w:color w:val="auto"/>
                <w:sz w:val="24"/>
              </w:rPr>
              <w:t>，</w:t>
            </w:r>
            <w:r>
              <w:rPr>
                <w:rFonts w:ascii="Times New Roman" w:hAnsi="Times New Roman"/>
                <w:color w:val="auto"/>
                <w:sz w:val="24"/>
                <w:shd w:val="clear" w:color="auto" w:fill="FFFFFF"/>
              </w:rPr>
              <w:t>实现了污水零排放。</w:t>
            </w:r>
          </w:p>
          <w:p>
            <w:pPr>
              <w:spacing w:line="360" w:lineRule="auto"/>
              <w:ind w:firstLine="480" w:firstLineChars="200"/>
              <w:jc w:val="both"/>
              <w:rPr>
                <w:rFonts w:ascii="Times New Roman" w:hAnsi="Times New Roman"/>
                <w:color w:val="auto"/>
                <w:sz w:val="24"/>
                <w:shd w:val="clear" w:color="auto" w:fill="FFFFFF"/>
              </w:rPr>
            </w:pPr>
            <w:r>
              <w:rPr>
                <w:rFonts w:ascii="Times New Roman" w:hAnsi="Times New Roman"/>
                <w:color w:val="auto"/>
                <w:sz w:val="24"/>
                <w:shd w:val="clear" w:color="auto" w:fill="FFFFFF"/>
              </w:rPr>
              <w:t>（</w:t>
            </w:r>
            <w:r>
              <w:rPr>
                <w:rFonts w:hint="eastAsia" w:ascii="Times New Roman" w:hAnsi="Times New Roman"/>
                <w:color w:val="auto"/>
                <w:sz w:val="24"/>
                <w:shd w:val="clear" w:color="auto" w:fill="FFFFFF"/>
              </w:rPr>
              <w:t>6</w:t>
            </w:r>
            <w:r>
              <w:rPr>
                <w:rFonts w:ascii="Times New Roman" w:hAnsi="Times New Roman"/>
                <w:color w:val="auto"/>
                <w:sz w:val="24"/>
                <w:shd w:val="clear" w:color="auto" w:fill="FFFFFF"/>
              </w:rPr>
              <w:t>）依托可行性分析</w:t>
            </w:r>
          </w:p>
          <w:p>
            <w:pPr>
              <w:adjustRightInd w:val="0"/>
              <w:snapToGrid w:val="0"/>
              <w:spacing w:line="360" w:lineRule="auto"/>
              <w:ind w:firstLine="480" w:firstLineChars="200"/>
              <w:jc w:val="both"/>
              <w:rPr>
                <w:rFonts w:ascii="Times New Roman" w:hAnsi="Times New Roman"/>
                <w:color w:val="auto"/>
                <w:sz w:val="24"/>
                <w:shd w:val="clear" w:color="auto" w:fill="FFFFFF"/>
              </w:rPr>
            </w:pPr>
            <w:r>
              <w:rPr>
                <w:rFonts w:ascii="Times New Roman" w:hAnsi="Times New Roman"/>
                <w:color w:val="auto"/>
                <w:sz w:val="24"/>
                <w:shd w:val="clear" w:color="auto" w:fill="FFFFFF"/>
              </w:rPr>
              <w:t>根据油区统计数据，春光联合站的原油处理设计能力为100×10</w:t>
            </w:r>
            <w:r>
              <w:rPr>
                <w:rFonts w:ascii="Times New Roman" w:hAnsi="Times New Roman"/>
                <w:color w:val="auto"/>
                <w:sz w:val="24"/>
                <w:shd w:val="clear" w:color="auto" w:fill="FFFFFF"/>
                <w:vertAlign w:val="superscript"/>
              </w:rPr>
              <w:t>4</w:t>
            </w:r>
            <w:r>
              <w:rPr>
                <w:rFonts w:ascii="Times New Roman" w:hAnsi="Times New Roman"/>
                <w:color w:val="auto"/>
                <w:sz w:val="24"/>
                <w:shd w:val="clear" w:color="auto" w:fill="FFFFFF"/>
              </w:rPr>
              <w:t>t/a，目前实际处理油量15×10</w:t>
            </w:r>
            <w:r>
              <w:rPr>
                <w:rFonts w:ascii="Times New Roman" w:hAnsi="Times New Roman"/>
                <w:color w:val="auto"/>
                <w:sz w:val="24"/>
                <w:shd w:val="clear" w:color="auto" w:fill="FFFFFF"/>
                <w:vertAlign w:val="superscript"/>
              </w:rPr>
              <w:t>4</w:t>
            </w:r>
            <w:r>
              <w:rPr>
                <w:rFonts w:hint="eastAsia" w:ascii="Times New Roman" w:hAnsi="Times New Roman"/>
                <w:color w:val="auto"/>
                <w:sz w:val="24"/>
                <w:shd w:val="clear" w:color="auto" w:fill="FFFFFF"/>
              </w:rPr>
              <w:t>t</w:t>
            </w:r>
            <w:r>
              <w:rPr>
                <w:rFonts w:ascii="Times New Roman" w:hAnsi="Times New Roman"/>
                <w:color w:val="auto"/>
                <w:sz w:val="24"/>
                <w:shd w:val="clear" w:color="auto" w:fill="FFFFFF"/>
              </w:rPr>
              <w:t>/</w:t>
            </w:r>
            <w:r>
              <w:rPr>
                <w:rFonts w:hint="eastAsia" w:ascii="Times New Roman" w:hAnsi="Times New Roman"/>
                <w:color w:val="auto"/>
                <w:sz w:val="24"/>
                <w:shd w:val="clear" w:color="auto" w:fill="FFFFFF"/>
              </w:rPr>
              <w:t>a</w:t>
            </w:r>
            <w:r>
              <w:rPr>
                <w:rFonts w:ascii="Times New Roman" w:hAnsi="Times New Roman"/>
                <w:color w:val="auto"/>
                <w:sz w:val="24"/>
                <w:shd w:val="clear" w:color="auto" w:fill="FFFFFF"/>
              </w:rPr>
              <w:t>。本项目预计新增产能3.15×10</w:t>
            </w:r>
            <w:r>
              <w:rPr>
                <w:rFonts w:ascii="Times New Roman" w:hAnsi="Times New Roman"/>
                <w:color w:val="auto"/>
                <w:sz w:val="24"/>
                <w:shd w:val="clear" w:color="auto" w:fill="FFFFFF"/>
                <w:vertAlign w:val="superscript"/>
              </w:rPr>
              <w:t>4</w:t>
            </w:r>
            <w:r>
              <w:rPr>
                <w:rFonts w:ascii="Times New Roman" w:hAnsi="Times New Roman"/>
                <w:color w:val="auto"/>
                <w:sz w:val="24"/>
                <w:shd w:val="clear" w:color="auto" w:fill="FFFFFF"/>
              </w:rPr>
              <w:t>t/a，低于联合站剩余处理能力，因此联合站具备依托可行性。</w:t>
            </w:r>
          </w:p>
          <w:p>
            <w:pPr>
              <w:pStyle w:val="3"/>
              <w:spacing w:before="0" w:after="0" w:line="360" w:lineRule="auto"/>
              <w:ind w:firstLine="480" w:firstLineChars="200"/>
              <w:jc w:val="both"/>
              <w:rPr>
                <w:rFonts w:ascii="Times New Roman" w:hAnsi="Times New Roman"/>
                <w:b w:val="0"/>
                <w:bCs w:val="0"/>
                <w:color w:val="auto"/>
                <w:sz w:val="24"/>
                <w:szCs w:val="24"/>
              </w:rPr>
            </w:pPr>
            <w:r>
              <w:rPr>
                <w:rFonts w:ascii="Times New Roman" w:hAnsi="Times New Roman"/>
                <w:b w:val="0"/>
                <w:bCs w:val="0"/>
                <w:color w:val="auto"/>
                <w:sz w:val="24"/>
                <w:szCs w:val="24"/>
              </w:rPr>
              <w:t>春光联合站污水处理系统污水处理设计处理能力3600m</w:t>
            </w:r>
            <w:r>
              <w:rPr>
                <w:rFonts w:ascii="Times New Roman" w:hAnsi="Times New Roman"/>
                <w:b w:val="0"/>
                <w:bCs w:val="0"/>
                <w:color w:val="auto"/>
                <w:sz w:val="24"/>
                <w:szCs w:val="24"/>
                <w:vertAlign w:val="superscript"/>
              </w:rPr>
              <w:t>3</w:t>
            </w:r>
            <w:r>
              <w:rPr>
                <w:rFonts w:ascii="Times New Roman" w:hAnsi="Times New Roman"/>
                <w:b w:val="0"/>
                <w:bCs w:val="0"/>
                <w:color w:val="auto"/>
                <w:sz w:val="24"/>
                <w:szCs w:val="24"/>
              </w:rPr>
              <w:t>/d，目前实际处理规模为3000m</w:t>
            </w:r>
            <w:r>
              <w:rPr>
                <w:rFonts w:ascii="Times New Roman" w:hAnsi="Times New Roman"/>
                <w:b w:val="0"/>
                <w:bCs w:val="0"/>
                <w:color w:val="auto"/>
                <w:sz w:val="24"/>
                <w:szCs w:val="24"/>
                <w:vertAlign w:val="superscript"/>
              </w:rPr>
              <w:t>3</w:t>
            </w:r>
            <w:r>
              <w:rPr>
                <w:rFonts w:ascii="Times New Roman" w:hAnsi="Times New Roman"/>
                <w:b w:val="0"/>
                <w:bCs w:val="0"/>
                <w:color w:val="auto"/>
                <w:sz w:val="24"/>
                <w:szCs w:val="24"/>
              </w:rPr>
              <w:t>/d，剩余处理能力600m</w:t>
            </w:r>
            <w:r>
              <w:rPr>
                <w:rFonts w:ascii="Times New Roman" w:hAnsi="Times New Roman"/>
                <w:b w:val="0"/>
                <w:bCs w:val="0"/>
                <w:color w:val="auto"/>
                <w:sz w:val="24"/>
                <w:szCs w:val="24"/>
                <w:vertAlign w:val="superscript"/>
              </w:rPr>
              <w:t>3</w:t>
            </w:r>
            <w:r>
              <w:rPr>
                <w:rFonts w:ascii="Times New Roman" w:hAnsi="Times New Roman"/>
                <w:b w:val="0"/>
                <w:bCs w:val="0"/>
                <w:color w:val="auto"/>
                <w:sz w:val="24"/>
                <w:szCs w:val="24"/>
              </w:rPr>
              <w:t>/d，本项目新增采出水92 m</w:t>
            </w:r>
            <w:r>
              <w:rPr>
                <w:rFonts w:ascii="Times New Roman" w:hAnsi="Times New Roman"/>
                <w:b w:val="0"/>
                <w:bCs w:val="0"/>
                <w:color w:val="auto"/>
                <w:sz w:val="24"/>
                <w:szCs w:val="24"/>
                <w:vertAlign w:val="superscript"/>
              </w:rPr>
              <w:t>3</w:t>
            </w:r>
            <w:r>
              <w:rPr>
                <w:rFonts w:ascii="Times New Roman" w:hAnsi="Times New Roman"/>
                <w:b w:val="0"/>
                <w:bCs w:val="0"/>
                <w:color w:val="auto"/>
                <w:sz w:val="24"/>
                <w:szCs w:val="24"/>
              </w:rPr>
              <w:t>/d，新增井下作业废水570t/a，</w:t>
            </w:r>
            <w:r>
              <w:rPr>
                <w:rFonts w:ascii="宋体" w:hAnsi="宋体"/>
                <w:b w:val="0"/>
                <w:bCs w:val="0"/>
                <w:color w:val="auto"/>
                <w:sz w:val="24"/>
                <w:szCs w:val="24"/>
              </w:rPr>
              <w:t>由于油田开采为滚动式开发，在新建油井的同时也有相应的油井被关停，因</w:t>
            </w:r>
            <w:r>
              <w:rPr>
                <w:rFonts w:hint="eastAsia" w:ascii="宋体" w:hAnsi="宋体"/>
                <w:b w:val="0"/>
                <w:bCs w:val="0"/>
                <w:color w:val="auto"/>
                <w:sz w:val="24"/>
                <w:szCs w:val="24"/>
              </w:rPr>
              <w:t>此</w:t>
            </w:r>
            <w:r>
              <w:rPr>
                <w:rFonts w:ascii="Times New Roman" w:hAnsi="Times New Roman"/>
                <w:b w:val="0"/>
                <w:bCs w:val="0"/>
                <w:color w:val="auto"/>
                <w:sz w:val="24"/>
                <w:szCs w:val="24"/>
              </w:rPr>
              <w:t>可以满足本项目需求。</w:t>
            </w:r>
          </w:p>
          <w:p>
            <w:pPr>
              <w:pStyle w:val="48"/>
              <w:adjustRightInd w:val="0"/>
              <w:snapToGrid w:val="0"/>
              <w:spacing w:line="360" w:lineRule="auto"/>
              <w:ind w:firstLine="480"/>
              <w:jc w:val="both"/>
              <w:rPr>
                <w:rFonts w:ascii="Times New Roman" w:hAnsi="Times New Roman"/>
                <w:color w:val="auto"/>
                <w:shd w:val="clear" w:color="auto" w:fill="FFFFFF"/>
              </w:rPr>
            </w:pPr>
            <w:r>
              <w:rPr>
                <w:rFonts w:ascii="Times New Roman" w:hAnsi="Times New Roman"/>
                <w:color w:val="auto"/>
                <w:shd w:val="clear" w:color="auto" w:fill="FFFFFF"/>
              </w:rPr>
              <w:t>本项目依托设施能力平衡</w:t>
            </w:r>
            <w:r>
              <w:rPr>
                <w:rFonts w:hint="eastAsia" w:ascii="Times New Roman" w:hAnsi="Times New Roman"/>
                <w:color w:val="auto"/>
                <w:shd w:val="clear" w:color="auto" w:fill="FFFFFF"/>
              </w:rPr>
              <w:t>一览表</w:t>
            </w:r>
            <w:r>
              <w:rPr>
                <w:rFonts w:ascii="Times New Roman" w:hAnsi="Times New Roman"/>
                <w:color w:val="auto"/>
                <w:shd w:val="clear" w:color="auto" w:fill="FFFFFF"/>
              </w:rPr>
              <w:t>见表</w:t>
            </w:r>
            <w:r>
              <w:rPr>
                <w:rFonts w:hint="eastAsia" w:ascii="Times New Roman" w:hAnsi="Times New Roman"/>
                <w:color w:val="auto"/>
                <w:shd w:val="clear" w:color="auto" w:fill="FFFFFF"/>
              </w:rPr>
              <w:t>2-8</w:t>
            </w:r>
            <w:r>
              <w:rPr>
                <w:rFonts w:ascii="Times New Roman" w:hAnsi="Times New Roman"/>
                <w:color w:val="auto"/>
                <w:shd w:val="clear" w:color="auto" w:fill="FFFFFF"/>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2-8</w:t>
            </w:r>
            <w:r>
              <w:rPr>
                <w:rFonts w:ascii="Times New Roman" w:hAnsi="Times New Roman"/>
                <w:b/>
                <w:color w:val="auto"/>
                <w:kern w:val="0"/>
                <w:szCs w:val="21"/>
              </w:rPr>
              <w:t xml:space="preserve">  依托设施能力平衡一览表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178"/>
              <w:gridCol w:w="1178"/>
              <w:gridCol w:w="1177"/>
              <w:gridCol w:w="1177"/>
              <w:gridCol w:w="1177"/>
              <w:gridCol w:w="1177"/>
              <w:gridCol w:w="117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714"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名称</w:t>
                  </w:r>
                </w:p>
              </w:tc>
              <w:tc>
                <w:tcPr>
                  <w:tcW w:w="714"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处理系统</w:t>
                  </w:r>
                </w:p>
              </w:tc>
              <w:tc>
                <w:tcPr>
                  <w:tcW w:w="714"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单位</w:t>
                  </w:r>
                </w:p>
              </w:tc>
              <w:tc>
                <w:tcPr>
                  <w:tcW w:w="714"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设计能力</w:t>
                  </w:r>
                </w:p>
              </w:tc>
              <w:tc>
                <w:tcPr>
                  <w:tcW w:w="714"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运行现状</w:t>
                  </w:r>
                </w:p>
              </w:tc>
              <w:tc>
                <w:tcPr>
                  <w:tcW w:w="714"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富余量</w:t>
                  </w:r>
                </w:p>
              </w:tc>
              <w:tc>
                <w:tcPr>
                  <w:tcW w:w="715"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新增量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98" w:hRule="atLeast"/>
                <w:jc w:val="center"/>
              </w:trPr>
              <w:tc>
                <w:tcPr>
                  <w:tcW w:w="714" w:type="pct"/>
                  <w:vMerge w:val="restar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春光联合站</w:t>
                  </w:r>
                </w:p>
              </w:tc>
              <w:tc>
                <w:tcPr>
                  <w:tcW w:w="714"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原油处理</w:t>
                  </w:r>
                </w:p>
              </w:tc>
              <w:tc>
                <w:tcPr>
                  <w:tcW w:w="714"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×10</w:t>
                  </w:r>
                  <w:r>
                    <w:rPr>
                      <w:rFonts w:ascii="Times New Roman" w:hAnsi="Times New Roman"/>
                      <w:color w:val="auto"/>
                      <w:szCs w:val="21"/>
                      <w:shd w:val="clear" w:color="auto" w:fill="FFFFFF"/>
                      <w:vertAlign w:val="superscript"/>
                    </w:rPr>
                    <w:t>4</w:t>
                  </w:r>
                  <w:r>
                    <w:rPr>
                      <w:rFonts w:ascii="Times New Roman" w:hAnsi="Times New Roman"/>
                      <w:color w:val="auto"/>
                      <w:szCs w:val="21"/>
                      <w:shd w:val="clear" w:color="auto" w:fill="FFFFFF"/>
                    </w:rPr>
                    <w:t>t/a</w:t>
                  </w:r>
                </w:p>
              </w:tc>
              <w:tc>
                <w:tcPr>
                  <w:tcW w:w="714"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100</w:t>
                  </w:r>
                </w:p>
              </w:tc>
              <w:tc>
                <w:tcPr>
                  <w:tcW w:w="714"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15</w:t>
                  </w:r>
                </w:p>
              </w:tc>
              <w:tc>
                <w:tcPr>
                  <w:tcW w:w="714"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85</w:t>
                  </w:r>
                </w:p>
              </w:tc>
              <w:tc>
                <w:tcPr>
                  <w:tcW w:w="715"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3.15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714" w:type="pct"/>
                  <w:vMerge w:val="continue"/>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p>
              </w:tc>
              <w:tc>
                <w:tcPr>
                  <w:tcW w:w="714"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污水处理</w:t>
                  </w:r>
                </w:p>
              </w:tc>
              <w:tc>
                <w:tcPr>
                  <w:tcW w:w="714"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rPr>
                    <w:t>m</w:t>
                  </w:r>
                  <w:r>
                    <w:rPr>
                      <w:rFonts w:ascii="Times New Roman" w:hAnsi="Times New Roman"/>
                      <w:color w:val="auto"/>
                      <w:szCs w:val="21"/>
                      <w:vertAlign w:val="superscript"/>
                    </w:rPr>
                    <w:t>3</w:t>
                  </w:r>
                  <w:r>
                    <w:rPr>
                      <w:rFonts w:ascii="Times New Roman" w:hAnsi="Times New Roman"/>
                      <w:color w:val="auto"/>
                      <w:szCs w:val="21"/>
                      <w:shd w:val="clear" w:color="auto" w:fill="FFFFFF"/>
                    </w:rPr>
                    <w:t>/d</w:t>
                  </w:r>
                </w:p>
              </w:tc>
              <w:tc>
                <w:tcPr>
                  <w:tcW w:w="714"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3600</w:t>
                  </w:r>
                </w:p>
              </w:tc>
              <w:tc>
                <w:tcPr>
                  <w:tcW w:w="714"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3000</w:t>
                  </w:r>
                </w:p>
              </w:tc>
              <w:tc>
                <w:tcPr>
                  <w:tcW w:w="714" w:type="pct"/>
                  <w:shd w:val="clear" w:color="auto" w:fill="auto"/>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600</w:t>
                  </w:r>
                </w:p>
              </w:tc>
              <w:tc>
                <w:tcPr>
                  <w:tcW w:w="715" w:type="pct"/>
                  <w:shd w:val="clear" w:color="auto" w:fill="auto"/>
                  <w:tcMar>
                    <w:left w:w="0" w:type="dxa"/>
                    <w:right w:w="0" w:type="dxa"/>
                  </w:tcMar>
                  <w:vAlign w:val="center"/>
                </w:tcPr>
                <w:p>
                  <w:pPr>
                    <w:adjustRightInd w:val="0"/>
                    <w:snapToGrid w:val="0"/>
                    <w:spacing w:line="300" w:lineRule="exact"/>
                    <w:jc w:val="center"/>
                    <w:rPr>
                      <w:rFonts w:ascii="Times New Roman" w:hAnsi="Times New Roman"/>
                      <w:color w:val="auto"/>
                      <w:szCs w:val="21"/>
                      <w:shd w:val="clear" w:color="auto" w:fill="FFFFFF"/>
                    </w:rPr>
                  </w:pPr>
                  <w:r>
                    <w:rPr>
                      <w:rFonts w:ascii="Times New Roman" w:hAnsi="Times New Roman"/>
                      <w:color w:val="auto"/>
                      <w:szCs w:val="21"/>
                      <w:shd w:val="clear" w:color="auto" w:fill="FFFFFF"/>
                    </w:rPr>
                    <w:t>93.9</w:t>
                  </w:r>
                </w:p>
              </w:tc>
            </w:tr>
          </w:tbl>
          <w:p>
            <w:pPr>
              <w:pStyle w:val="48"/>
              <w:adjustRightInd w:val="0"/>
              <w:snapToGrid w:val="0"/>
              <w:spacing w:before="120" w:beforeLines="50" w:line="360" w:lineRule="auto"/>
              <w:ind w:firstLine="482"/>
              <w:jc w:val="both"/>
              <w:rPr>
                <w:rFonts w:ascii="Times New Roman" w:hAnsi="Times New Roman"/>
                <w:b/>
                <w:bCs/>
                <w:color w:val="auto"/>
                <w:shd w:val="clear" w:color="auto" w:fill="FFFFFF"/>
              </w:rPr>
            </w:pPr>
            <w:r>
              <w:rPr>
                <w:rFonts w:ascii="Times New Roman" w:hAnsi="Times New Roman"/>
                <w:b/>
                <w:bCs/>
                <w:color w:val="auto"/>
                <w:shd w:val="clear" w:color="auto" w:fill="FFFFFF"/>
              </w:rPr>
              <w:t>4.2危险废物</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本项目含油污泥处置委托新疆锦恒利废矿物油处置有限公司，新疆锦恒利废矿物油处置有限公司是以从事石油产品销售、沥青生产和销售的私营公司，注册资金</w:t>
            </w:r>
            <w:r>
              <w:rPr>
                <w:rFonts w:hint="eastAsia" w:ascii="Times New Roman" w:hAnsi="Times New Roman"/>
                <w:color w:val="auto"/>
                <w:sz w:val="24"/>
              </w:rPr>
              <w:t>1000</w:t>
            </w:r>
            <w:r>
              <w:rPr>
                <w:rFonts w:ascii="Times New Roman" w:hAnsi="Times New Roman"/>
                <w:color w:val="auto"/>
                <w:sz w:val="24"/>
              </w:rPr>
              <w:t>万人民币。</w:t>
            </w:r>
            <w:r>
              <w:rPr>
                <w:rFonts w:ascii="Times New Roman" w:hAnsi="Times New Roman" w:eastAsia="Times New Roman"/>
                <w:color w:val="auto"/>
                <w:sz w:val="24"/>
              </w:rPr>
              <w:t>2018</w:t>
            </w:r>
            <w:r>
              <w:rPr>
                <w:rFonts w:ascii="Times New Roman" w:hAnsi="Times New Roman"/>
                <w:color w:val="auto"/>
                <w:sz w:val="24"/>
              </w:rPr>
              <w:t xml:space="preserve">年 </w:t>
            </w:r>
            <w:r>
              <w:rPr>
                <w:rFonts w:ascii="Times New Roman" w:hAnsi="Times New Roman" w:eastAsia="Times New Roman"/>
                <w:color w:val="auto"/>
                <w:sz w:val="24"/>
              </w:rPr>
              <w:t xml:space="preserve">10 </w:t>
            </w:r>
            <w:r>
              <w:rPr>
                <w:rFonts w:ascii="Times New Roman" w:hAnsi="Times New Roman"/>
                <w:color w:val="auto"/>
                <w:sz w:val="24"/>
              </w:rPr>
              <w:t xml:space="preserve">月 </w:t>
            </w:r>
            <w:r>
              <w:rPr>
                <w:rFonts w:ascii="Times New Roman" w:hAnsi="Times New Roman" w:eastAsia="Times New Roman"/>
                <w:color w:val="auto"/>
                <w:sz w:val="24"/>
              </w:rPr>
              <w:t xml:space="preserve">26 </w:t>
            </w:r>
            <w:r>
              <w:rPr>
                <w:rFonts w:ascii="Times New Roman" w:hAnsi="Times New Roman"/>
                <w:color w:val="auto"/>
                <w:sz w:val="24"/>
              </w:rPr>
              <w:t>日，</w:t>
            </w:r>
            <w:r>
              <w:rPr>
                <w:rFonts w:hint="eastAsia" w:ascii="Times New Roman" w:hAnsi="Times New Roman"/>
                <w:color w:val="auto"/>
                <w:sz w:val="24"/>
              </w:rPr>
              <w:t>原</w:t>
            </w:r>
            <w:r>
              <w:rPr>
                <w:rFonts w:ascii="Times New Roman" w:hAnsi="Times New Roman"/>
                <w:color w:val="auto"/>
                <w:sz w:val="24"/>
              </w:rPr>
              <w:t>新疆生产建设兵团</w:t>
            </w:r>
            <w:r>
              <w:rPr>
                <w:rFonts w:hint="eastAsia" w:ascii="Times New Roman" w:hAnsi="Times New Roman"/>
                <w:color w:val="auto"/>
                <w:sz w:val="24"/>
              </w:rPr>
              <w:t>环境保护</w:t>
            </w:r>
            <w:r>
              <w:rPr>
                <w:rFonts w:ascii="Times New Roman" w:hAnsi="Times New Roman"/>
                <w:color w:val="auto"/>
                <w:sz w:val="24"/>
              </w:rPr>
              <w:t>局为新疆锦恒利废矿物油处置有限公司颁发了危废经营许可证</w:t>
            </w:r>
            <w:r>
              <w:rPr>
                <w:rFonts w:hint="eastAsia" w:ascii="Times New Roman" w:hAnsi="Times New Roman"/>
                <w:color w:val="auto"/>
                <w:sz w:val="24"/>
              </w:rPr>
              <w:t>，</w:t>
            </w:r>
            <w:r>
              <w:rPr>
                <w:rFonts w:ascii="Times New Roman" w:hAnsi="Times New Roman"/>
                <w:color w:val="auto"/>
                <w:sz w:val="24"/>
                <w:shd w:val="clear" w:color="auto" w:fill="FFFFFF"/>
              </w:rPr>
              <w:t>废物</w:t>
            </w:r>
            <w:r>
              <w:rPr>
                <w:rFonts w:hint="eastAsia" w:ascii="Times New Roman" w:hAnsi="Times New Roman"/>
                <w:color w:val="auto"/>
                <w:sz w:val="24"/>
                <w:shd w:val="clear" w:color="auto" w:fill="FFFFFF"/>
              </w:rPr>
              <w:t>类别HW08（</w:t>
            </w:r>
            <w:r>
              <w:rPr>
                <w:rFonts w:ascii="Times New Roman" w:hAnsi="Times New Roman"/>
                <w:color w:val="auto"/>
                <w:sz w:val="24"/>
                <w:shd w:val="clear" w:color="auto" w:fill="FFFFFF"/>
              </w:rPr>
              <w:t>071-001-08</w:t>
            </w:r>
            <w:r>
              <w:rPr>
                <w:rFonts w:hint="eastAsia" w:ascii="Times New Roman" w:hAnsi="Times New Roman"/>
                <w:color w:val="auto"/>
                <w:sz w:val="24"/>
                <w:shd w:val="clear" w:color="auto" w:fill="FFFFFF"/>
              </w:rPr>
              <w:t>），</w:t>
            </w:r>
            <w:r>
              <w:rPr>
                <w:rFonts w:ascii="Times New Roman" w:hAnsi="Times New Roman"/>
                <w:color w:val="auto"/>
                <w:sz w:val="24"/>
                <w:shd w:val="clear" w:color="auto" w:fill="FFFFFF"/>
              </w:rPr>
              <w:t>编号6607000003，有效期至2023年10月25日</w:t>
            </w:r>
            <w:r>
              <w:rPr>
                <w:rFonts w:hint="eastAsia" w:ascii="Times New Roman" w:hAnsi="Times New Roman"/>
                <w:color w:val="auto"/>
                <w:sz w:val="24"/>
                <w:shd w:val="clear" w:color="auto" w:fill="FFFFFF"/>
              </w:rPr>
              <w:t>（见附件3）</w:t>
            </w:r>
            <w:r>
              <w:rPr>
                <w:rFonts w:ascii="Times New Roman" w:hAnsi="Times New Roman"/>
                <w:color w:val="auto"/>
                <w:sz w:val="24"/>
                <w:shd w:val="clear" w:color="auto" w:fill="FFFFFF"/>
              </w:rPr>
              <w:t>。中国石油化工股份有限公司河南油田分公司新疆采油厂与新疆锦恒利废矿物油处置有限公司签订了含油污泥处置协议。</w:t>
            </w:r>
            <w:r>
              <w:rPr>
                <w:rFonts w:ascii="Times New Roman" w:hAnsi="Times New Roman"/>
                <w:color w:val="auto"/>
                <w:sz w:val="24"/>
              </w:rPr>
              <w:t>该公司主要采用“预处理（热化学洗涤）</w:t>
            </w:r>
            <w:r>
              <w:rPr>
                <w:rFonts w:ascii="Times New Roman" w:hAnsi="Times New Roman" w:eastAsia="Times New Roman"/>
                <w:color w:val="auto"/>
                <w:sz w:val="24"/>
              </w:rPr>
              <w:t>+</w:t>
            </w:r>
            <w:r>
              <w:rPr>
                <w:rFonts w:ascii="Times New Roman" w:hAnsi="Times New Roman"/>
                <w:color w:val="auto"/>
                <w:sz w:val="24"/>
              </w:rPr>
              <w:t>无氧干馏法”</w:t>
            </w:r>
            <w:r>
              <w:rPr>
                <w:rFonts w:ascii="Times New Roman" w:hAnsi="Times New Roman" w:eastAsia="Times New Roman"/>
                <w:color w:val="auto"/>
                <w:sz w:val="24"/>
              </w:rPr>
              <w:t xml:space="preserve"> </w:t>
            </w:r>
            <w:r>
              <w:rPr>
                <w:rFonts w:ascii="Times New Roman" w:hAnsi="Times New Roman"/>
                <w:color w:val="auto"/>
                <w:sz w:val="24"/>
              </w:rPr>
              <w:t>处理工艺，可年处理含油污泥</w:t>
            </w:r>
            <w:r>
              <w:rPr>
                <w:rFonts w:ascii="Times New Roman" w:hAnsi="Times New Roman" w:eastAsia="Times New Roman"/>
                <w:color w:val="auto"/>
                <w:sz w:val="24"/>
              </w:rPr>
              <w:t>5</w:t>
            </w:r>
            <w:r>
              <w:rPr>
                <w:rFonts w:ascii="Times New Roman" w:hAnsi="Times New Roman"/>
                <w:color w:val="auto"/>
                <w:sz w:val="24"/>
              </w:rPr>
              <w:t>万</w:t>
            </w:r>
            <w:r>
              <w:rPr>
                <w:rFonts w:ascii="Times New Roman" w:hAnsi="Times New Roman" w:eastAsia="Times New Roman"/>
                <w:color w:val="auto"/>
                <w:sz w:val="24"/>
              </w:rPr>
              <w:t>t</w:t>
            </w:r>
            <w:r>
              <w:rPr>
                <w:rFonts w:ascii="Times New Roman" w:hAnsi="Times New Roman"/>
                <w:color w:val="auto"/>
                <w:sz w:val="24"/>
              </w:rPr>
              <w:t xml:space="preserve">，可满足本项目含油污泥处理需求。含油污泥处置工艺流程如下： </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（1）</w:t>
            </w:r>
            <w:r>
              <w:rPr>
                <w:rFonts w:ascii="Times New Roman" w:hAnsi="Times New Roman"/>
                <w:color w:val="auto"/>
                <w:sz w:val="24"/>
              </w:rPr>
              <w:t xml:space="preserve">预处理工艺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污油泥热化学洗涤包括热水洗涤、泥水固液分离、液相油水分离等工序。该技术是根据含油污泥中油、泥沙、水的存在状态，通过向油泥中加水、加温、加药、机械搅拌辅以曝气扰动，以实现在均相条件下，改变油、砂、水的存在分布状态，降低原油与泥沙的粘附度，使油与固体物相分离，并通过强制离心等方法将固体物、油、水三相分离出来并回收。油泥经清洗处理后，原油得到了回收，最终形成的固体物含油量低，有利于后续利用。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热洗工艺一般用于油田落地油、原油罐底泥、储泥池老化油泥的预处理，经预处理后的湿油泥送往下一级无氧干馏工段。工艺流程简述： </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油泥经储存池进入热洗处理箱，经过</w:t>
            </w:r>
            <w:r>
              <w:rPr>
                <w:rFonts w:ascii="Times New Roman" w:hAnsi="Times New Roman" w:eastAsia="Times New Roman"/>
                <w:color w:val="auto"/>
              </w:rPr>
              <w:t>70-90℃</w:t>
            </w:r>
            <w:r>
              <w:rPr>
                <w:rFonts w:ascii="Times New Roman" w:hAnsi="Times New Roman"/>
                <w:color w:val="auto"/>
              </w:rPr>
              <w:t>左右热水（由热水炉循环加热）的洗涤、 沉降后经离心机实现液固分离，固相残渣含水率降至</w:t>
            </w:r>
            <w:r>
              <w:rPr>
                <w:rFonts w:ascii="Times New Roman" w:hAnsi="Times New Roman" w:eastAsia="Times New Roman"/>
                <w:color w:val="auto"/>
              </w:rPr>
              <w:t>60%</w:t>
            </w:r>
            <w:r>
              <w:rPr>
                <w:rFonts w:ascii="Times New Roman" w:hAnsi="Times New Roman"/>
                <w:color w:val="auto"/>
              </w:rPr>
              <w:t>左右进入无氧干馏反应釜进一步处理，液相油水混合物进入油水分离器。经油水分离器后，分离出的油可回收，分离出的污水收集进入废水暂存池暂存，定期由罐车拉运至河南油田注气站污水处理设施处理。污油泥热化学洗涤工艺流程图见图</w:t>
            </w:r>
            <w:r>
              <w:rPr>
                <w:rFonts w:ascii="Times New Roman" w:hAnsi="Times New Roman" w:eastAsia="Times New Roman"/>
                <w:color w:val="auto"/>
              </w:rPr>
              <w:t>2-8</w:t>
            </w:r>
            <w:r>
              <w:rPr>
                <w:rFonts w:ascii="Times New Roman" w:hAnsi="Times New Roman"/>
                <w:color w:val="auto"/>
              </w:rPr>
              <w:t>。</w:t>
            </w: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480"/>
              <w:jc w:val="both"/>
              <w:rPr>
                <w:rFonts w:ascii="Times New Roman" w:hAnsi="Times New Roman"/>
                <w:color w:val="auto"/>
              </w:rPr>
            </w:pPr>
          </w:p>
          <w:p>
            <w:pPr>
              <w:pStyle w:val="48"/>
              <w:adjustRightInd w:val="0"/>
              <w:snapToGrid w:val="0"/>
              <w:spacing w:line="360" w:lineRule="auto"/>
              <w:ind w:firstLine="0" w:firstLineChars="0"/>
              <w:jc w:val="center"/>
              <w:rPr>
                <w:rFonts w:ascii="Times New Roman" w:hAnsi="Times New Roman"/>
                <w:color w:val="auto"/>
              </w:rPr>
            </w:pPr>
            <w:r>
              <w:rPr>
                <w:rFonts w:ascii="Times New Roman" w:hAnsi="Times New Roman"/>
                <w:color w:val="auto"/>
              </w:rPr>
              <w:drawing>
                <wp:inline distT="0" distB="0" distL="114300" distR="114300">
                  <wp:extent cx="4211955" cy="2306320"/>
                  <wp:effectExtent l="9525" t="9525" r="26670" b="27305"/>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6"/>
                          <a:stretch>
                            <a:fillRect/>
                          </a:stretch>
                        </pic:blipFill>
                        <pic:spPr>
                          <a:xfrm>
                            <a:off x="0" y="0"/>
                            <a:ext cx="4211955" cy="2306320"/>
                          </a:xfrm>
                          <a:prstGeom prst="rect">
                            <a:avLst/>
                          </a:prstGeom>
                          <a:noFill/>
                          <a:ln>
                            <a:solidFill>
                              <a:schemeClr val="tx1"/>
                            </a:solidFill>
                          </a:ln>
                        </pic:spPr>
                      </pic:pic>
                    </a:graphicData>
                  </a:graphic>
                </wp:inline>
              </w:drawing>
            </w:r>
          </w:p>
          <w:p>
            <w:pPr>
              <w:pStyle w:val="48"/>
              <w:adjustRightInd w:val="0"/>
              <w:snapToGrid w:val="0"/>
              <w:spacing w:line="360" w:lineRule="auto"/>
              <w:ind w:firstLine="482"/>
              <w:jc w:val="center"/>
              <w:rPr>
                <w:rFonts w:ascii="Times New Roman" w:hAnsi="Times New Roman"/>
                <w:b/>
                <w:bCs/>
                <w:color w:val="auto"/>
              </w:rPr>
            </w:pPr>
            <w:r>
              <w:rPr>
                <w:rFonts w:ascii="Times New Roman" w:hAnsi="Times New Roman"/>
                <w:b/>
                <w:bCs/>
                <w:color w:val="auto"/>
              </w:rPr>
              <w:t>图2-8 污油泥热化学洗涤工艺流程图</w:t>
            </w:r>
          </w:p>
          <w:p>
            <w:pPr>
              <w:spacing w:line="360" w:lineRule="auto"/>
              <w:ind w:firstLine="460" w:firstLineChars="200"/>
              <w:jc w:val="both"/>
              <w:rPr>
                <w:rFonts w:ascii="Times New Roman" w:hAnsi="Times New Roman"/>
                <w:color w:val="auto"/>
                <w:sz w:val="23"/>
              </w:rPr>
            </w:pPr>
            <w:r>
              <w:rPr>
                <w:rFonts w:hint="eastAsia" w:ascii="Times New Roman" w:hAnsi="Times New Roman"/>
                <w:color w:val="auto"/>
                <w:sz w:val="23"/>
              </w:rPr>
              <w:t>（2）</w:t>
            </w:r>
            <w:r>
              <w:rPr>
                <w:rFonts w:ascii="Times New Roman" w:hAnsi="Times New Roman"/>
                <w:color w:val="auto"/>
                <w:sz w:val="23"/>
              </w:rPr>
              <w:t xml:space="preserve">污泥无氧干馏 </w:t>
            </w:r>
          </w:p>
          <w:p>
            <w:pPr>
              <w:spacing w:line="360" w:lineRule="auto"/>
              <w:ind w:firstLine="460" w:firstLineChars="200"/>
              <w:jc w:val="both"/>
              <w:rPr>
                <w:rFonts w:ascii="Times New Roman" w:hAnsi="Times New Roman"/>
                <w:color w:val="auto"/>
                <w:sz w:val="23"/>
              </w:rPr>
            </w:pPr>
            <w:r>
              <w:rPr>
                <w:rFonts w:ascii="Times New Roman" w:hAnsi="Times New Roman"/>
                <w:color w:val="auto"/>
                <w:sz w:val="23"/>
              </w:rPr>
              <w:t>油泥经过预处理热洗后含水率在</w:t>
            </w:r>
            <w:r>
              <w:rPr>
                <w:rFonts w:ascii="Times New Roman" w:hAnsi="Times New Roman" w:eastAsia="Times New Roman"/>
                <w:color w:val="auto"/>
                <w:sz w:val="23"/>
              </w:rPr>
              <w:t>60%</w:t>
            </w:r>
            <w:r>
              <w:rPr>
                <w:rFonts w:ascii="Times New Roman" w:hAnsi="Times New Roman"/>
                <w:color w:val="auto"/>
                <w:sz w:val="23"/>
              </w:rPr>
              <w:t>左右通过给料泵进入无氧干馏反应釜，干渣在密闭的反应釜中加热至</w:t>
            </w:r>
            <w:r>
              <w:rPr>
                <w:rFonts w:ascii="Times New Roman" w:hAnsi="Times New Roman" w:eastAsia="Times New Roman"/>
                <w:color w:val="auto"/>
                <w:sz w:val="23"/>
              </w:rPr>
              <w:t>500-600℃</w:t>
            </w:r>
            <w:r>
              <w:rPr>
                <w:rFonts w:ascii="Times New Roman" w:hAnsi="Times New Roman"/>
                <w:color w:val="auto"/>
                <w:sz w:val="23"/>
              </w:rPr>
              <w:t>，加热后的含油污泥通过高温无氧裂解，使油泥干渣中所含的油分中</w:t>
            </w:r>
            <w:r>
              <w:rPr>
                <w:rFonts w:ascii="Times New Roman" w:hAnsi="Times New Roman" w:eastAsia="Times New Roman"/>
                <w:color w:val="auto"/>
                <w:sz w:val="23"/>
              </w:rPr>
              <w:t>500℃</w:t>
            </w:r>
            <w:r>
              <w:rPr>
                <w:rFonts w:ascii="Times New Roman" w:hAnsi="Times New Roman"/>
                <w:color w:val="auto"/>
                <w:sz w:val="23"/>
              </w:rPr>
              <w:t>以内馏分的油品气化，在这样的温度期间所有含油污泥中所含有的细菌病虫全部烧成灰烬，含油污泥裂解后的气体通过催化反应管后经过气液分离器进入</w:t>
            </w:r>
            <w:r>
              <w:rPr>
                <w:rFonts w:ascii="Times New Roman" w:hAnsi="Times New Roman" w:eastAsia="Times New Roman"/>
                <w:color w:val="auto"/>
                <w:sz w:val="23"/>
              </w:rPr>
              <w:t>15-20℃</w:t>
            </w:r>
            <w:r>
              <w:rPr>
                <w:rFonts w:ascii="Times New Roman" w:hAnsi="Times New Roman"/>
                <w:color w:val="auto"/>
                <w:sz w:val="23"/>
              </w:rPr>
              <w:t>的冷凝器中，这些气体在这样的温度下大部分转化为液体，其液体油可回收，收集进入油罐贮存；剩余气体，裂解的过程中产生的不可凝气体（成份与天然气相似）又可以转换为热能为自身加热；蒸馏水进入循环水泵返回热洗工段，还原土由反应釜自卸装置落到出料斗，用铲车存放还原土的堆棚。其炉膛内的燃烧兰炭产生的烟气经过设备配套的水膜除尘及脱硫设施（除尘效率为</w:t>
            </w:r>
            <w:r>
              <w:rPr>
                <w:rFonts w:ascii="Times New Roman" w:hAnsi="Times New Roman" w:eastAsia="Times New Roman"/>
                <w:color w:val="auto"/>
                <w:sz w:val="23"/>
              </w:rPr>
              <w:t>90%</w:t>
            </w:r>
            <w:r>
              <w:rPr>
                <w:rFonts w:ascii="Times New Roman" w:hAnsi="Times New Roman"/>
                <w:color w:val="auto"/>
                <w:sz w:val="23"/>
              </w:rPr>
              <w:t>，脱硫效率为</w:t>
            </w:r>
            <w:r>
              <w:rPr>
                <w:rFonts w:ascii="Times New Roman" w:hAnsi="Times New Roman" w:eastAsia="Times New Roman"/>
                <w:color w:val="auto"/>
                <w:sz w:val="23"/>
              </w:rPr>
              <w:t>20%</w:t>
            </w:r>
            <w:r>
              <w:rPr>
                <w:rFonts w:ascii="Times New Roman" w:hAnsi="Times New Roman"/>
                <w:color w:val="auto"/>
                <w:sz w:val="23"/>
              </w:rPr>
              <w:t>）处理后，由</w:t>
            </w:r>
            <w:r>
              <w:rPr>
                <w:rFonts w:ascii="Times New Roman" w:hAnsi="Times New Roman" w:eastAsia="Times New Roman"/>
                <w:color w:val="auto"/>
                <w:sz w:val="23"/>
              </w:rPr>
              <w:t>15m</w:t>
            </w:r>
            <w:r>
              <w:rPr>
                <w:rFonts w:ascii="Times New Roman" w:hAnsi="Times New Roman"/>
                <w:color w:val="auto"/>
                <w:sz w:val="23"/>
              </w:rPr>
              <w:t xml:space="preserve">高的烟囱排入大气环境。 </w:t>
            </w:r>
          </w:p>
          <w:p>
            <w:pPr>
              <w:pStyle w:val="48"/>
              <w:adjustRightInd w:val="0"/>
              <w:snapToGrid w:val="0"/>
              <w:spacing w:line="360" w:lineRule="auto"/>
              <w:ind w:firstLine="460"/>
              <w:jc w:val="both"/>
              <w:rPr>
                <w:rFonts w:ascii="Times New Roman" w:hAnsi="Times New Roman"/>
                <w:color w:val="auto"/>
                <w:sz w:val="23"/>
              </w:rPr>
            </w:pPr>
            <w:r>
              <w:rPr>
                <w:rFonts w:ascii="Times New Roman" w:hAnsi="Times New Roman"/>
                <w:color w:val="auto"/>
                <w:sz w:val="23"/>
              </w:rPr>
              <w:t>无氧干馏反应原理：在绝氧条件下，通过干馏的方式将含油污泥中重质组分转化为轻质组分，进而将其中挥发有机物组分进行回收。该气化过程主要有以下两个阶段：</w:t>
            </w:r>
            <w:r>
              <w:rPr>
                <w:rFonts w:ascii="Times New Roman" w:hAnsi="Times New Roman"/>
                <w:color w:val="auto"/>
                <w:sz w:val="23"/>
              </w:rPr>
              <w:fldChar w:fldCharType="begin"/>
            </w:r>
            <w:r>
              <w:rPr>
                <w:rFonts w:ascii="Times New Roman" w:hAnsi="Times New Roman"/>
                <w:color w:val="auto"/>
                <w:sz w:val="23"/>
              </w:rPr>
              <w:instrText xml:space="preserve"> = 1 \* GB3 \* MERGEFORMAT </w:instrText>
            </w:r>
            <w:r>
              <w:rPr>
                <w:rFonts w:ascii="Times New Roman" w:hAnsi="Times New Roman"/>
                <w:color w:val="auto"/>
                <w:sz w:val="23"/>
              </w:rPr>
              <w:fldChar w:fldCharType="separate"/>
            </w:r>
            <w:r>
              <w:rPr>
                <w:color w:val="auto"/>
              </w:rPr>
              <w:t>①</w:t>
            </w:r>
            <w:r>
              <w:rPr>
                <w:rFonts w:ascii="Times New Roman" w:hAnsi="Times New Roman"/>
                <w:color w:val="auto"/>
                <w:sz w:val="23"/>
              </w:rPr>
              <w:fldChar w:fldCharType="end"/>
            </w:r>
            <w:r>
              <w:rPr>
                <w:rFonts w:ascii="Times New Roman" w:hAnsi="Times New Roman"/>
                <w:color w:val="auto"/>
                <w:sz w:val="23"/>
              </w:rPr>
              <w:t>蒸发阶段：温度低于</w:t>
            </w:r>
            <w:r>
              <w:rPr>
                <w:rFonts w:ascii="Times New Roman" w:hAnsi="Times New Roman" w:eastAsia="Times New Roman"/>
                <w:color w:val="auto"/>
                <w:sz w:val="23"/>
              </w:rPr>
              <w:t>450℃</w:t>
            </w:r>
            <w:r>
              <w:rPr>
                <w:rFonts w:ascii="Times New Roman" w:hAnsi="Times New Roman"/>
                <w:color w:val="auto"/>
                <w:sz w:val="23"/>
              </w:rPr>
              <w:t>时，低沸点的轻质烃从含油污泥中挥发出来；</w:t>
            </w:r>
            <w:r>
              <w:rPr>
                <w:rFonts w:ascii="Times New Roman" w:hAnsi="Times New Roman"/>
                <w:color w:val="auto"/>
                <w:sz w:val="23"/>
              </w:rPr>
              <w:fldChar w:fldCharType="begin"/>
            </w:r>
            <w:r>
              <w:rPr>
                <w:rFonts w:ascii="Times New Roman" w:hAnsi="Times New Roman"/>
                <w:color w:val="auto"/>
                <w:sz w:val="23"/>
              </w:rPr>
              <w:instrText xml:space="preserve"> = 2 \* GB3 \* MERGEFORMAT </w:instrText>
            </w:r>
            <w:r>
              <w:rPr>
                <w:rFonts w:ascii="Times New Roman" w:hAnsi="Times New Roman"/>
                <w:color w:val="auto"/>
                <w:sz w:val="23"/>
              </w:rPr>
              <w:fldChar w:fldCharType="separate"/>
            </w:r>
            <w:r>
              <w:rPr>
                <w:color w:val="auto"/>
              </w:rPr>
              <w:t>②</w:t>
            </w:r>
            <w:r>
              <w:rPr>
                <w:rFonts w:ascii="Times New Roman" w:hAnsi="Times New Roman"/>
                <w:color w:val="auto"/>
                <w:sz w:val="23"/>
              </w:rPr>
              <w:fldChar w:fldCharType="end"/>
            </w:r>
            <w:r>
              <w:rPr>
                <w:rFonts w:ascii="Times New Roman" w:hAnsi="Times New Roman"/>
                <w:color w:val="auto"/>
                <w:sz w:val="23"/>
              </w:rPr>
              <w:t>平行</w:t>
            </w:r>
            <w:r>
              <w:rPr>
                <w:rFonts w:ascii="Times New Roman" w:hAnsi="Times New Roman" w:eastAsia="Times New Roman"/>
                <w:color w:val="auto"/>
                <w:sz w:val="23"/>
              </w:rPr>
              <w:t>/</w:t>
            </w:r>
            <w:r>
              <w:rPr>
                <w:rFonts w:ascii="Times New Roman" w:hAnsi="Times New Roman"/>
                <w:color w:val="auto"/>
                <w:sz w:val="23"/>
              </w:rPr>
              <w:t>顺序反应阶段：当温度超过</w:t>
            </w:r>
            <w:r>
              <w:rPr>
                <w:rFonts w:ascii="Times New Roman" w:hAnsi="Times New Roman" w:eastAsia="Times New Roman"/>
                <w:color w:val="auto"/>
                <w:sz w:val="23"/>
              </w:rPr>
              <w:t>450℃</w:t>
            </w:r>
            <w:r>
              <w:rPr>
                <w:rFonts w:ascii="Times New Roman" w:hAnsi="Times New Roman"/>
                <w:color w:val="auto"/>
                <w:sz w:val="23"/>
              </w:rPr>
              <w:t>时，重质油开始裂解，</w:t>
            </w:r>
            <w:r>
              <w:rPr>
                <w:rFonts w:ascii="Times New Roman" w:hAnsi="Times New Roman" w:eastAsia="Times New Roman"/>
                <w:color w:val="auto"/>
                <w:sz w:val="23"/>
              </w:rPr>
              <w:t>500℃</w:t>
            </w:r>
            <w:r>
              <w:rPr>
                <w:rFonts w:ascii="Times New Roman" w:hAnsi="Times New Roman"/>
                <w:color w:val="auto"/>
                <w:sz w:val="23"/>
              </w:rPr>
              <w:t>左右分子会由于热活化而生成自由基，发生一系列自由基反应，一方面向着生成小分子烃类的裂解方向进行，另一方面向结焦生炭的缩合方向进行，最终生成油、水、不凝气和焦质砂砾（还原土）四种产物。系统内部采用</w:t>
            </w:r>
            <w:r>
              <w:rPr>
                <w:rFonts w:ascii="Times New Roman" w:hAnsi="Times New Roman" w:eastAsia="Times New Roman"/>
                <w:color w:val="auto"/>
                <w:sz w:val="23"/>
              </w:rPr>
              <w:t>360</w:t>
            </w:r>
            <w:r>
              <w:rPr>
                <w:rFonts w:ascii="Times New Roman" w:hAnsi="Times New Roman"/>
                <w:color w:val="auto"/>
                <w:sz w:val="23"/>
              </w:rPr>
              <w:t>度旋转结构，可防止物料粘结的作用，同时还能使反应釜整体受热，增加受热面积，提高了污油泥的裂解速度，加热系统通过火道传热无需直烧，采用清洁燃料兰炭加热。污油泥热裂解反应釜系统工艺流程图见图</w:t>
            </w:r>
            <w:r>
              <w:rPr>
                <w:rFonts w:ascii="Times New Roman" w:hAnsi="Times New Roman" w:eastAsia="Times New Roman"/>
                <w:color w:val="auto"/>
                <w:sz w:val="23"/>
              </w:rPr>
              <w:t>2-9</w:t>
            </w:r>
            <w:r>
              <w:rPr>
                <w:rFonts w:ascii="Times New Roman" w:hAnsi="Times New Roman"/>
                <w:color w:val="auto"/>
                <w:sz w:val="23"/>
              </w:rPr>
              <w:t xml:space="preserve">。 </w:t>
            </w:r>
          </w:p>
          <w:p>
            <w:pPr>
              <w:pStyle w:val="48"/>
              <w:adjustRightInd w:val="0"/>
              <w:snapToGrid w:val="0"/>
              <w:spacing w:line="360" w:lineRule="auto"/>
              <w:ind w:firstLine="480"/>
              <w:jc w:val="both"/>
              <w:rPr>
                <w:rFonts w:ascii="Times New Roman" w:hAnsi="Times New Roman"/>
                <w:color w:val="auto"/>
                <w:sz w:val="23"/>
              </w:rPr>
            </w:pPr>
            <w:r>
              <w:rPr>
                <w:rFonts w:ascii="Times New Roman" w:hAnsi="Times New Roman"/>
                <w:color w:val="auto"/>
              </w:rPr>
              <w:drawing>
                <wp:inline distT="0" distB="0" distL="114300" distR="114300">
                  <wp:extent cx="4676775" cy="2305050"/>
                  <wp:effectExtent l="9525" t="9525" r="19050" b="9525"/>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7"/>
                          <a:stretch>
                            <a:fillRect/>
                          </a:stretch>
                        </pic:blipFill>
                        <pic:spPr>
                          <a:xfrm>
                            <a:off x="0" y="0"/>
                            <a:ext cx="4676775" cy="2305050"/>
                          </a:xfrm>
                          <a:prstGeom prst="rect">
                            <a:avLst/>
                          </a:prstGeom>
                          <a:noFill/>
                          <a:ln>
                            <a:solidFill>
                              <a:schemeClr val="tx1"/>
                            </a:solidFill>
                          </a:ln>
                        </pic:spPr>
                      </pic:pic>
                    </a:graphicData>
                  </a:graphic>
                </wp:inline>
              </w:drawing>
            </w:r>
          </w:p>
          <w:p>
            <w:pPr>
              <w:pStyle w:val="48"/>
              <w:adjustRightInd w:val="0"/>
              <w:snapToGrid w:val="0"/>
              <w:spacing w:line="360" w:lineRule="auto"/>
              <w:ind w:firstLine="422"/>
              <w:jc w:val="center"/>
              <w:rPr>
                <w:rFonts w:ascii="Times New Roman" w:hAnsi="Times New Roman"/>
                <w:b/>
                <w:bCs/>
                <w:color w:val="auto"/>
                <w:sz w:val="21"/>
                <w:szCs w:val="21"/>
              </w:rPr>
            </w:pPr>
            <w:r>
              <w:rPr>
                <w:rFonts w:ascii="Times New Roman" w:hAnsi="Times New Roman"/>
                <w:b/>
                <w:bCs/>
                <w:color w:val="auto"/>
                <w:sz w:val="21"/>
                <w:szCs w:val="21"/>
              </w:rPr>
              <w:t xml:space="preserve">  </w:t>
            </w:r>
            <w:r>
              <w:rPr>
                <w:rFonts w:ascii="Times New Roman" w:hAnsi="Times New Roman"/>
                <w:b/>
                <w:bCs/>
                <w:color w:val="auto"/>
              </w:rPr>
              <w:t>图2-9  污油泥热裂解反应釜系统工艺流程图</w:t>
            </w:r>
          </w:p>
          <w:p>
            <w:pPr>
              <w:pStyle w:val="48"/>
              <w:adjustRightInd w:val="0"/>
              <w:snapToGrid w:val="0"/>
              <w:spacing w:line="360" w:lineRule="auto"/>
              <w:ind w:firstLine="480"/>
              <w:jc w:val="both"/>
              <w:rPr>
                <w:rFonts w:ascii="Times New Roman" w:hAnsi="Times New Roman"/>
                <w:color w:val="auto"/>
                <w:shd w:val="clear" w:color="auto" w:fill="FFFFFF"/>
              </w:rPr>
            </w:pPr>
            <w:r>
              <w:rPr>
                <w:rFonts w:ascii="Times New Roman" w:hAnsi="Times New Roman"/>
                <w:color w:val="auto"/>
                <w:shd w:val="clear" w:color="auto" w:fill="FFFFFF"/>
              </w:rPr>
              <w:t>本项目产生的危险废物临时储存至罐中，再由该公司的危险废物专用运输车辆进行运输、转移，并严格按照《危险废物转移管理办法》，实施危险废物转移管理制度。</w:t>
            </w:r>
          </w:p>
          <w:p>
            <w:pPr>
              <w:pStyle w:val="48"/>
              <w:adjustRightInd w:val="0"/>
              <w:snapToGrid w:val="0"/>
              <w:spacing w:line="360" w:lineRule="auto"/>
              <w:ind w:firstLine="482"/>
              <w:jc w:val="both"/>
              <w:rPr>
                <w:rFonts w:ascii="Times New Roman" w:hAnsi="Times New Roman"/>
                <w:b/>
                <w:bCs/>
                <w:color w:val="auto"/>
                <w:shd w:val="clear" w:color="auto" w:fill="FFFFFF"/>
              </w:rPr>
            </w:pPr>
            <w:r>
              <w:rPr>
                <w:rFonts w:ascii="Times New Roman" w:hAnsi="Times New Roman"/>
                <w:b/>
                <w:bCs/>
                <w:color w:val="auto"/>
                <w:shd w:val="clear" w:color="auto" w:fill="FFFFFF"/>
              </w:rPr>
              <w:t>4.3泥浆不落地系统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本项目泥浆不落地处理委托山东奥友环保工程有限责任公司，该公司主要采用“化学脱稳</w:t>
            </w:r>
            <w:r>
              <w:rPr>
                <w:rFonts w:ascii="Times New Roman" w:hAnsi="Times New Roman" w:eastAsia="Times New Roman"/>
                <w:color w:val="auto"/>
                <w:sz w:val="24"/>
              </w:rPr>
              <w:t>+</w:t>
            </w:r>
            <w:r>
              <w:rPr>
                <w:rFonts w:ascii="Times New Roman" w:hAnsi="Times New Roman"/>
                <w:color w:val="auto"/>
                <w:sz w:val="24"/>
              </w:rPr>
              <w:t>压滤离心</w:t>
            </w:r>
            <w:r>
              <w:rPr>
                <w:rFonts w:ascii="Times New Roman" w:hAnsi="Times New Roman" w:eastAsia="Times New Roman"/>
                <w:color w:val="auto"/>
                <w:sz w:val="24"/>
              </w:rPr>
              <w:t>+</w:t>
            </w:r>
            <w:r>
              <w:rPr>
                <w:rFonts w:ascii="Times New Roman" w:hAnsi="Times New Roman"/>
                <w:color w:val="auto"/>
                <w:sz w:val="24"/>
              </w:rPr>
              <w:t>混凝沉降”工艺，废弃液及岩屑进入泥浆不落地收集罐，收集罐收集的废弃泥浆通过输送至药剂罐，在药剂罐中加入絮凝剂、破胶剂，输送至压滤系统进行固液分离，分离的岩屑达到自治区环保厅排放标准，用于道路修复，分离出的压滤液用于稀释废弃泥浆，园区降尘，实现钻井废液的无害化处置和综合利用，该公司包括钻井泥浆生产线共</w:t>
            </w:r>
            <w:r>
              <w:rPr>
                <w:rFonts w:ascii="Times New Roman" w:hAnsi="Times New Roman" w:eastAsia="Times New Roman"/>
                <w:color w:val="auto"/>
                <w:sz w:val="24"/>
              </w:rPr>
              <w:t>2</w:t>
            </w:r>
            <w:r>
              <w:rPr>
                <w:rFonts w:ascii="Times New Roman" w:hAnsi="Times New Roman"/>
                <w:color w:val="auto"/>
                <w:sz w:val="24"/>
              </w:rPr>
              <w:t>条，配套</w:t>
            </w:r>
            <w:r>
              <w:rPr>
                <w:rFonts w:ascii="Times New Roman" w:hAnsi="Times New Roman" w:eastAsia="Times New Roman"/>
                <w:color w:val="auto"/>
                <w:sz w:val="24"/>
              </w:rPr>
              <w:t>3000m</w:t>
            </w:r>
            <w:r>
              <w:rPr>
                <w:rFonts w:ascii="Times New Roman" w:hAnsi="Times New Roman" w:eastAsia="Times New Roman"/>
                <w:color w:val="auto"/>
                <w:sz w:val="24"/>
                <w:vertAlign w:val="superscript"/>
              </w:rPr>
              <w:t>3</w:t>
            </w:r>
            <w:r>
              <w:rPr>
                <w:rFonts w:ascii="Times New Roman" w:hAnsi="Times New Roman"/>
                <w:color w:val="auto"/>
                <w:sz w:val="24"/>
              </w:rPr>
              <w:t>泥浆储存池</w:t>
            </w:r>
            <w:r>
              <w:rPr>
                <w:rFonts w:ascii="Times New Roman" w:hAnsi="Times New Roman" w:eastAsia="Times New Roman"/>
                <w:color w:val="auto"/>
                <w:sz w:val="24"/>
              </w:rPr>
              <w:t>3</w:t>
            </w:r>
            <w:r>
              <w:rPr>
                <w:rFonts w:ascii="Times New Roman" w:hAnsi="Times New Roman"/>
                <w:color w:val="auto"/>
                <w:sz w:val="24"/>
              </w:rPr>
              <w:t>座，不落地收集罐</w:t>
            </w:r>
            <w:r>
              <w:rPr>
                <w:rFonts w:ascii="Times New Roman" w:hAnsi="Times New Roman" w:eastAsia="Times New Roman"/>
                <w:color w:val="auto"/>
                <w:sz w:val="24"/>
              </w:rPr>
              <w:t>40</w:t>
            </w:r>
            <w:r>
              <w:rPr>
                <w:rFonts w:ascii="Times New Roman" w:hAnsi="Times New Roman"/>
                <w:color w:val="auto"/>
                <w:sz w:val="24"/>
              </w:rPr>
              <w:t>个，单井</w:t>
            </w:r>
            <w:r>
              <w:rPr>
                <w:rFonts w:ascii="Times New Roman" w:hAnsi="Times New Roman" w:eastAsia="Times New Roman"/>
                <w:color w:val="auto"/>
                <w:sz w:val="24"/>
              </w:rPr>
              <w:t>2</w:t>
            </w:r>
            <w:r>
              <w:rPr>
                <w:rFonts w:ascii="Times New Roman" w:hAnsi="Times New Roman"/>
                <w:color w:val="auto"/>
                <w:sz w:val="24"/>
              </w:rPr>
              <w:t>个，以及</w:t>
            </w:r>
            <w:r>
              <w:rPr>
                <w:rFonts w:ascii="Times New Roman" w:hAnsi="Times New Roman" w:eastAsia="Times New Roman"/>
                <w:color w:val="auto"/>
                <w:sz w:val="24"/>
              </w:rPr>
              <w:t>140×100m</w:t>
            </w:r>
            <w:r>
              <w:rPr>
                <w:rFonts w:ascii="Times New Roman" w:hAnsi="Times New Roman" w:eastAsia="Times New Roman"/>
                <w:color w:val="auto"/>
                <w:sz w:val="24"/>
                <w:vertAlign w:val="superscript"/>
              </w:rPr>
              <w:t>2</w:t>
            </w:r>
            <w:r>
              <w:rPr>
                <w:rFonts w:ascii="Times New Roman" w:hAnsi="Times New Roman"/>
                <w:color w:val="auto"/>
                <w:sz w:val="24"/>
              </w:rPr>
              <w:t>固废暂存场一座。该公司可年处理钻井废液</w:t>
            </w:r>
            <w:r>
              <w:rPr>
                <w:rFonts w:ascii="Times New Roman" w:hAnsi="Times New Roman" w:eastAsia="Times New Roman"/>
                <w:color w:val="auto"/>
                <w:sz w:val="24"/>
              </w:rPr>
              <w:t>10</w:t>
            </w:r>
            <w:r>
              <w:rPr>
                <w:rFonts w:ascii="Times New Roman" w:hAnsi="Times New Roman"/>
                <w:color w:val="auto"/>
                <w:sz w:val="24"/>
              </w:rPr>
              <w:t>万</w:t>
            </w:r>
            <w:r>
              <w:rPr>
                <w:rFonts w:ascii="Times New Roman" w:hAnsi="Times New Roman" w:eastAsia="Times New Roman"/>
                <w:color w:val="auto"/>
                <w:sz w:val="24"/>
              </w:rPr>
              <w:t>m³</w:t>
            </w:r>
            <w:r>
              <w:rPr>
                <w:rFonts w:ascii="Times New Roman" w:hAnsi="Times New Roman"/>
                <w:color w:val="auto"/>
                <w:sz w:val="24"/>
              </w:rPr>
              <w:t>，可满足本项目钻井废液处理需求。</w:t>
            </w:r>
          </w:p>
          <w:p>
            <w:pPr>
              <w:pStyle w:val="48"/>
              <w:adjustRightInd w:val="0"/>
              <w:snapToGrid w:val="0"/>
              <w:spacing w:line="360" w:lineRule="auto"/>
              <w:ind w:firstLine="480"/>
              <w:jc w:val="both"/>
              <w:rPr>
                <w:rFonts w:ascii="Times New Roman" w:hAnsi="Times New Roman"/>
                <w:color w:val="auto"/>
              </w:rPr>
            </w:pPr>
            <w:r>
              <w:rPr>
                <w:color w:val="auto"/>
              </w:rPr>
              <w:t>采用泥浆不落地技术在井场进行固液分离，分离后的液</w:t>
            </w:r>
            <w:r>
              <w:rPr>
                <w:rFonts w:hint="eastAsia"/>
                <w:color w:val="auto"/>
              </w:rPr>
              <w:t>相</w:t>
            </w:r>
            <w:r>
              <w:rPr>
                <w:color w:val="auto"/>
              </w:rPr>
              <w:t>回用于钻井液配备。</w:t>
            </w:r>
            <w:r>
              <w:rPr>
                <w:rFonts w:hint="eastAsia" w:cs="宋体"/>
                <w:color w:val="auto"/>
              </w:rPr>
              <w:t>分离后的大部分钻井废水均回用于钻井，仅少部分钻井废水与废弃泥浆、岩屑一起由罐体收集后运离井场进行专业处理。</w:t>
            </w:r>
            <w:r>
              <w:rPr>
                <w:rFonts w:ascii="Times New Roman" w:hAnsi="Times New Roman"/>
                <w:color w:val="auto"/>
              </w:rPr>
              <w:t>泥浆不落地工艺流程主要为：废弃泥浆经过稀释</w:t>
            </w:r>
            <w:r>
              <w:rPr>
                <w:rFonts w:ascii="Times New Roman" w:hAnsi="Times New Roman" w:eastAsia="Times New Roman"/>
                <w:color w:val="auto"/>
              </w:rPr>
              <w:t>—</w:t>
            </w:r>
            <w:r>
              <w:rPr>
                <w:rFonts w:ascii="Times New Roman" w:hAnsi="Times New Roman"/>
                <w:color w:val="auto"/>
              </w:rPr>
              <w:t>絮凝</w:t>
            </w:r>
            <w:r>
              <w:rPr>
                <w:rFonts w:ascii="Times New Roman" w:hAnsi="Times New Roman" w:eastAsia="Times New Roman"/>
                <w:color w:val="auto"/>
              </w:rPr>
              <w:t>—</w:t>
            </w:r>
            <w:r>
              <w:rPr>
                <w:rFonts w:ascii="Times New Roman" w:hAnsi="Times New Roman"/>
                <w:color w:val="auto"/>
              </w:rPr>
              <w:t>分离成岩屑、泥饼和水三部分，对泥浆中的固体物通过水洗、絮凝分离和化学反应处理，使岩屑和泥饼达到排放标准，泥浆中的有害物质成分和氯离子被析入水中后，再用真空吸附或挤压方式脱水制成泥饼，同时将离心分离出来的废水经气浮沉淀、过滤系统、反渗透系统进行浓缩处理，处理后达标废水可回用于钻井循环利用。从钻井废弃物中分离出的岩屑等废弃物在经过一系列的净化、干燥、回收后可作为混凝土基料加以重新利用；清洗岩屑产生的泥浆水经加药、脱稳、絮凝、固液分离后形成泥饼，可与粘土或页岩按比例掺和用来烧砖。分离出的滤液水经过脱稳、絮凝、气浮、氧化和吸附过滤等预处理工艺，去除主要污染物，可用于油田回注、回灌安全地层或达标排放；污水经污水处理系统处理后，可实现达标排放。泥浆不落地技术工艺流程见图</w:t>
            </w:r>
            <w:r>
              <w:rPr>
                <w:rFonts w:ascii="Times New Roman" w:hAnsi="Times New Roman" w:eastAsia="Times New Roman"/>
                <w:color w:val="auto"/>
              </w:rPr>
              <w:t>2-10</w:t>
            </w:r>
            <w:r>
              <w:rPr>
                <w:rFonts w:ascii="Times New Roman" w:hAnsi="Times New Roman"/>
                <w:color w:val="auto"/>
              </w:rPr>
              <w:t xml:space="preserve">。 </w:t>
            </w:r>
          </w:p>
          <w:p>
            <w:pPr>
              <w:pStyle w:val="48"/>
              <w:adjustRightInd w:val="0"/>
              <w:snapToGrid w:val="0"/>
              <w:spacing w:line="360" w:lineRule="auto"/>
              <w:ind w:firstLine="480"/>
              <w:jc w:val="center"/>
              <w:rPr>
                <w:rFonts w:ascii="Times New Roman" w:hAnsi="Times New Roman"/>
                <w:color w:val="auto"/>
              </w:rPr>
            </w:pPr>
            <w:r>
              <w:rPr>
                <w:rFonts w:ascii="Times New Roman" w:hAnsi="Times New Roman"/>
                <w:color w:val="auto"/>
              </w:rPr>
              <w:drawing>
                <wp:inline distT="0" distB="0" distL="114300" distR="114300">
                  <wp:extent cx="4171950" cy="3162300"/>
                  <wp:effectExtent l="9525" t="9525" r="9525" b="9525"/>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8"/>
                          <a:stretch>
                            <a:fillRect/>
                          </a:stretch>
                        </pic:blipFill>
                        <pic:spPr>
                          <a:xfrm>
                            <a:off x="0" y="0"/>
                            <a:ext cx="4171950" cy="3162300"/>
                          </a:xfrm>
                          <a:prstGeom prst="rect">
                            <a:avLst/>
                          </a:prstGeom>
                          <a:noFill/>
                          <a:ln>
                            <a:solidFill>
                              <a:schemeClr val="tx1"/>
                            </a:solidFill>
                          </a:ln>
                        </pic:spPr>
                      </pic:pic>
                    </a:graphicData>
                  </a:graphic>
                </wp:inline>
              </w:drawing>
            </w:r>
          </w:p>
          <w:p>
            <w:pPr>
              <w:pStyle w:val="48"/>
              <w:adjustRightInd w:val="0"/>
              <w:snapToGrid w:val="0"/>
              <w:spacing w:line="360" w:lineRule="auto"/>
              <w:ind w:firstLine="482"/>
              <w:jc w:val="center"/>
              <w:rPr>
                <w:rFonts w:ascii="Times New Roman" w:hAnsi="Times New Roman"/>
                <w:b/>
                <w:bCs/>
                <w:color w:val="auto"/>
              </w:rPr>
            </w:pPr>
            <w:r>
              <w:rPr>
                <w:rFonts w:ascii="Times New Roman" w:hAnsi="Times New Roman"/>
                <w:b/>
                <w:bCs/>
                <w:color w:val="auto"/>
              </w:rPr>
              <w:t>图2-10   泥浆不落地技术工艺流程图</w:t>
            </w:r>
          </w:p>
          <w:p>
            <w:pPr>
              <w:pStyle w:val="48"/>
              <w:spacing w:line="360" w:lineRule="auto"/>
              <w:ind w:firstLine="482"/>
              <w:jc w:val="both"/>
              <w:rPr>
                <w:rFonts w:ascii="Times New Roman" w:hAnsi="Times New Roman"/>
                <w:b/>
                <w:color w:val="auto"/>
              </w:rPr>
            </w:pPr>
            <w:r>
              <w:rPr>
                <w:rFonts w:ascii="Times New Roman" w:hAnsi="Times New Roman"/>
                <w:b/>
                <w:color w:val="auto"/>
              </w:rPr>
              <w:t>5．施工时序及建设周期</w:t>
            </w:r>
          </w:p>
          <w:p>
            <w:pPr>
              <w:pStyle w:val="48"/>
              <w:spacing w:line="360" w:lineRule="auto"/>
              <w:ind w:firstLine="480"/>
              <w:jc w:val="both"/>
              <w:rPr>
                <w:rFonts w:ascii="Times New Roman" w:hAnsi="Times New Roman"/>
                <w:color w:val="auto"/>
              </w:rPr>
            </w:pPr>
            <w:r>
              <w:rPr>
                <w:rFonts w:ascii="Times New Roman" w:hAnsi="Times New Roman"/>
                <w:color w:val="auto"/>
              </w:rPr>
              <w:t>项目</w:t>
            </w:r>
            <w:r>
              <w:rPr>
                <w:rFonts w:ascii="Times New Roman" w:hAnsi="Times New Roman"/>
                <w:bCs/>
                <w:color w:val="auto"/>
              </w:rPr>
              <w:t>施工时序依次为：施工前准备—钻前工程—钻井工程—地面工程—竣工验收。单井的钻前及钻井工程施工周期30天，施工人数30人；</w:t>
            </w:r>
            <w:r>
              <w:rPr>
                <w:rFonts w:ascii="Times New Roman" w:hAnsi="Times New Roman"/>
                <w:color w:val="auto"/>
              </w:rPr>
              <w:t>地面工程施工周期90天，施工人数30人。施工期不设施工营地，施工人员依托原有生活设施。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489" w:type="dxa"/>
            <w:vAlign w:val="center"/>
          </w:tcPr>
          <w:p>
            <w:pPr>
              <w:adjustRightInd w:val="0"/>
              <w:snapToGrid w:val="0"/>
              <w:jc w:val="center"/>
              <w:rPr>
                <w:rFonts w:ascii="Times New Roman" w:hAnsi="Times New Roman"/>
                <w:color w:val="auto"/>
                <w:kern w:val="0"/>
                <w:sz w:val="24"/>
              </w:rPr>
            </w:pPr>
            <w:r>
              <w:rPr>
                <w:rFonts w:ascii="Times New Roman" w:hAnsi="Times New Roman"/>
                <w:color w:val="auto"/>
                <w:kern w:val="0"/>
                <w:sz w:val="24"/>
              </w:rPr>
              <w:t>其他</w:t>
            </w:r>
          </w:p>
        </w:tc>
        <w:tc>
          <w:tcPr>
            <w:tcW w:w="8459" w:type="dxa"/>
            <w:vAlign w:val="center"/>
          </w:tcPr>
          <w:p>
            <w:pPr>
              <w:pStyle w:val="13"/>
              <w:spacing w:before="0" w:after="0" w:line="500" w:lineRule="exact"/>
              <w:ind w:right="0" w:firstLine="480" w:firstLineChars="200"/>
              <w:jc w:val="center"/>
              <w:rPr>
                <w:rFonts w:ascii="Times New Roman" w:hAnsi="Times New Roman"/>
                <w:color w:val="auto"/>
                <w:kern w:val="2"/>
                <w:sz w:val="24"/>
                <w:szCs w:val="24"/>
              </w:rPr>
            </w:pPr>
            <w:r>
              <w:rPr>
                <w:rFonts w:ascii="Times New Roman" w:hAnsi="Times New Roman"/>
                <w:color w:val="auto"/>
                <w:kern w:val="2"/>
                <w:sz w:val="24"/>
                <w:szCs w:val="24"/>
              </w:rPr>
              <w:t>无</w:t>
            </w:r>
          </w:p>
        </w:tc>
      </w:tr>
    </w:tbl>
    <w:p>
      <w:pPr>
        <w:pStyle w:val="33"/>
        <w:spacing w:before="0" w:beforeAutospacing="0" w:after="0" w:afterAutospacing="0"/>
        <w:ind w:firstLine="198"/>
        <w:jc w:val="center"/>
        <w:outlineLvl w:val="0"/>
        <w:rPr>
          <w:rFonts w:ascii="Times New Roman" w:hAnsi="Times New Roman" w:eastAsia="黑体"/>
          <w:snapToGrid w:val="0"/>
          <w:sz w:val="30"/>
          <w:szCs w:val="30"/>
        </w:rPr>
      </w:pPr>
      <w:r>
        <w:rPr>
          <w:rFonts w:ascii="Times New Roman" w:hAnsi="Times New Roman"/>
        </w:rPr>
        <w:br w:type="page"/>
      </w:r>
      <w:r>
        <w:rPr>
          <w:rFonts w:ascii="Times New Roman" w:hAnsi="Times New Roman" w:eastAsia="黑体"/>
          <w:snapToGrid w:val="0"/>
          <w:sz w:val="30"/>
          <w:szCs w:val="30"/>
        </w:rPr>
        <w:t>三、生态环境现状、保护目标及评价标准</w:t>
      </w:r>
    </w:p>
    <w:tbl>
      <w:tblPr>
        <w:tblStyle w:val="37"/>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84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71" w:hRule="atLeast"/>
        </w:trPr>
        <w:tc>
          <w:tcPr>
            <w:tcW w:w="254" w:type="pct"/>
            <w:vAlign w:val="center"/>
          </w:tcPr>
          <w:p>
            <w:pPr>
              <w:adjustRightInd w:val="0"/>
              <w:snapToGrid w:val="0"/>
              <w:jc w:val="both"/>
              <w:rPr>
                <w:rFonts w:ascii="Times New Roman" w:hAnsi="Times New Roman"/>
                <w:color w:val="auto"/>
                <w:kern w:val="0"/>
                <w:sz w:val="24"/>
              </w:rPr>
            </w:pPr>
            <w:r>
              <w:rPr>
                <w:rFonts w:ascii="Times New Roman" w:hAnsi="Times New Roman"/>
                <w:color w:val="auto"/>
                <w:kern w:val="0"/>
                <w:sz w:val="24"/>
              </w:rPr>
              <w:t>生态环境现状</w:t>
            </w:r>
          </w:p>
        </w:tc>
        <w:tc>
          <w:tcPr>
            <w:tcW w:w="4745" w:type="pct"/>
            <w:vAlign w:val="center"/>
          </w:tcPr>
          <w:p>
            <w:pPr>
              <w:pStyle w:val="48"/>
              <w:adjustRightInd w:val="0"/>
              <w:snapToGrid w:val="0"/>
              <w:spacing w:line="360" w:lineRule="auto"/>
              <w:ind w:firstLine="482"/>
              <w:jc w:val="both"/>
              <w:rPr>
                <w:rFonts w:ascii="Times New Roman" w:hAnsi="Times New Roman"/>
                <w:b/>
                <w:color w:val="auto"/>
                <w:kern w:val="0"/>
              </w:rPr>
            </w:pPr>
            <w:r>
              <w:rPr>
                <w:rFonts w:ascii="Times New Roman" w:hAnsi="Times New Roman"/>
                <w:b/>
                <w:color w:val="auto"/>
                <w:kern w:val="0"/>
              </w:rPr>
              <w:t>1.主体功能区划情况</w:t>
            </w:r>
          </w:p>
          <w:p>
            <w:pPr>
              <w:pStyle w:val="48"/>
              <w:snapToGrid w:val="0"/>
              <w:spacing w:line="360" w:lineRule="auto"/>
              <w:ind w:firstLine="480"/>
              <w:jc w:val="both"/>
              <w:rPr>
                <w:rFonts w:ascii="Times New Roman" w:hAnsi="Times New Roman"/>
                <w:color w:val="auto"/>
                <w:kern w:val="0"/>
              </w:rPr>
            </w:pPr>
            <w:r>
              <w:rPr>
                <w:rFonts w:hint="eastAsia" w:ascii="Times New Roman" w:hAnsi="Times New Roman"/>
                <w:color w:val="auto"/>
                <w:kern w:val="0"/>
              </w:rPr>
              <w:t>兵团国土空间分为重点开发区域、限制开发区域（包括农产品主产区和重点生态功能区）和禁止开发区域，并分为国家和兵团两个层面，其中：国家层面主体功能区根据《全国主体功能区规划》划定，兵团层面主体功能区根据《新疆维吾尔自治区主体功能区规划》划定。</w:t>
            </w:r>
          </w:p>
          <w:p>
            <w:pPr>
              <w:pStyle w:val="48"/>
              <w:snapToGrid w:val="0"/>
              <w:spacing w:line="360" w:lineRule="auto"/>
              <w:ind w:firstLine="480"/>
              <w:jc w:val="both"/>
              <w:rPr>
                <w:rFonts w:ascii="Times New Roman" w:hAnsi="Times New Roman"/>
                <w:color w:val="auto"/>
                <w:kern w:val="0"/>
              </w:rPr>
            </w:pPr>
            <w:r>
              <w:rPr>
                <w:rFonts w:ascii="Times New Roman" w:hAnsi="Times New Roman"/>
                <w:color w:val="auto"/>
                <w:kern w:val="0"/>
              </w:rPr>
              <w:t>本项目位于</w:t>
            </w:r>
            <w:r>
              <w:rPr>
                <w:rFonts w:ascii="Times New Roman" w:hAnsi="Times New Roman"/>
                <w:snapToGrid w:val="0"/>
                <w:color w:val="auto"/>
              </w:rPr>
              <w:t>新疆生产建设兵团第七师123团境内，在</w:t>
            </w:r>
            <w:r>
              <w:rPr>
                <w:rFonts w:ascii="Times New Roman" w:hAnsi="Times New Roman"/>
                <w:color w:val="auto"/>
                <w:kern w:val="0"/>
              </w:rPr>
              <w:t>《新疆</w:t>
            </w:r>
            <w:r>
              <w:rPr>
                <w:rFonts w:hint="eastAsia" w:ascii="Times New Roman" w:hAnsi="Times New Roman"/>
                <w:color w:val="auto"/>
                <w:kern w:val="0"/>
              </w:rPr>
              <w:t>生产建设兵团</w:t>
            </w:r>
            <w:r>
              <w:rPr>
                <w:rFonts w:ascii="Times New Roman" w:hAnsi="Times New Roman"/>
                <w:color w:val="auto"/>
                <w:kern w:val="0"/>
              </w:rPr>
              <w:t>主体功能区规划》</w:t>
            </w:r>
            <w:r>
              <w:rPr>
                <w:rFonts w:hint="eastAsia" w:ascii="Times New Roman" w:hAnsi="Times New Roman"/>
                <w:color w:val="auto"/>
                <w:kern w:val="0"/>
              </w:rPr>
              <w:t>限制</w:t>
            </w:r>
            <w:r>
              <w:rPr>
                <w:rFonts w:ascii="Times New Roman" w:hAnsi="Times New Roman"/>
                <w:color w:val="auto"/>
                <w:kern w:val="0"/>
              </w:rPr>
              <w:t>开发区域</w:t>
            </w:r>
            <w:r>
              <w:rPr>
                <w:rFonts w:hint="eastAsia" w:ascii="Times New Roman" w:hAnsi="Times New Roman"/>
                <w:color w:val="auto"/>
                <w:kern w:val="0"/>
              </w:rPr>
              <w:t>（农产品主产区）内</w:t>
            </w:r>
            <w:r>
              <w:rPr>
                <w:rFonts w:ascii="Times New Roman" w:hAnsi="Times New Roman"/>
                <w:bCs/>
                <w:color w:val="auto"/>
              </w:rPr>
              <w:t>，</w:t>
            </w:r>
            <w:r>
              <w:rPr>
                <w:rFonts w:hint="eastAsia" w:ascii="Times New Roman" w:hAnsi="Times New Roman"/>
                <w:bCs/>
                <w:color w:val="auto"/>
              </w:rPr>
              <w:t>该区域的功能定位是：保障农产品供给安全的区域，全国现代农业示范基地、节水灌溉示范推广基地和农业机械化推广基地，职工群众安居乐业的家园，屯垦戍边新型团场建设的示范区。</w:t>
            </w:r>
          </w:p>
          <w:p>
            <w:pPr>
              <w:pStyle w:val="48"/>
              <w:snapToGrid w:val="0"/>
              <w:spacing w:line="360" w:lineRule="auto"/>
              <w:ind w:firstLine="480"/>
              <w:jc w:val="both"/>
              <w:rPr>
                <w:rFonts w:ascii="Times New Roman" w:hAnsi="Times New Roman"/>
                <w:bCs/>
                <w:color w:val="auto"/>
              </w:rPr>
            </w:pPr>
            <w:r>
              <w:rPr>
                <w:rFonts w:hint="eastAsia" w:ascii="Times New Roman" w:hAnsi="Times New Roman"/>
                <w:bCs/>
                <w:color w:val="auto"/>
              </w:rPr>
              <w:t>本项目为石油开采项目，</w:t>
            </w:r>
            <w:r>
              <w:rPr>
                <w:rFonts w:ascii="monospace" w:hAnsi="monospace" w:eastAsia="monospace" w:cs="monospace"/>
                <w:color w:val="auto"/>
                <w:shd w:val="clear" w:color="auto" w:fill="FFFFFF"/>
              </w:rPr>
              <w:t>主要建设</w:t>
            </w:r>
            <w:r>
              <w:rPr>
                <w:rFonts w:hint="eastAsia" w:ascii="monospace" w:hAnsi="monospace" w:cs="monospace"/>
                <w:color w:val="auto"/>
                <w:shd w:val="clear" w:color="auto" w:fill="FFFFFF"/>
              </w:rPr>
              <w:t>采油井</w:t>
            </w:r>
            <w:r>
              <w:rPr>
                <w:rFonts w:ascii="monospace" w:hAnsi="monospace" w:eastAsia="monospace" w:cs="monospace"/>
                <w:color w:val="auto"/>
                <w:shd w:val="clear" w:color="auto" w:fill="FFFFFF"/>
              </w:rPr>
              <w:t>和</w:t>
            </w:r>
            <w:r>
              <w:rPr>
                <w:rFonts w:hint="eastAsia" w:ascii="monospace" w:hAnsi="monospace" w:cs="monospace"/>
                <w:color w:val="auto"/>
                <w:shd w:val="clear" w:color="auto" w:fill="FFFFFF"/>
              </w:rPr>
              <w:t>单井</w:t>
            </w:r>
            <w:r>
              <w:rPr>
                <w:rFonts w:ascii="monospace" w:hAnsi="monospace" w:eastAsia="monospace" w:cs="monospace"/>
                <w:color w:val="auto"/>
                <w:shd w:val="clear" w:color="auto" w:fill="FFFFFF"/>
              </w:rPr>
              <w:t>集输管线，开发强度不会超过区域规划目标。项目施工过程中严格控制施工占地，井场建设和管线敷设完成后，采取措施及时恢复临时占</w:t>
            </w:r>
            <w:r>
              <w:rPr>
                <w:rFonts w:hint="eastAsia" w:ascii="monospace" w:hAnsi="monospace" w:cs="monospace"/>
                <w:color w:val="auto"/>
                <w:shd w:val="clear" w:color="auto" w:fill="FFFFFF"/>
              </w:rPr>
              <w:t>用耕地</w:t>
            </w:r>
            <w:r>
              <w:rPr>
                <w:rFonts w:ascii="monospace" w:hAnsi="monospace" w:eastAsia="monospace" w:cs="monospace"/>
                <w:color w:val="auto"/>
                <w:shd w:val="clear" w:color="auto" w:fill="FFFFFF"/>
              </w:rPr>
              <w:t>，尽可能减少对区域生态环境的影响</w:t>
            </w:r>
            <w:r>
              <w:rPr>
                <w:rFonts w:hint="eastAsia" w:ascii="monospace" w:hAnsi="monospace" w:cs="monospace"/>
                <w:color w:val="auto"/>
                <w:shd w:val="clear" w:color="auto" w:fill="FFFFFF"/>
              </w:rPr>
              <w:t>，闭井期对井场占地进行耕地复垦</w:t>
            </w:r>
            <w:r>
              <w:rPr>
                <w:rFonts w:ascii="monospace" w:hAnsi="monospace" w:eastAsia="monospace" w:cs="monospace"/>
                <w:color w:val="auto"/>
                <w:shd w:val="clear" w:color="auto" w:fill="FFFFFF"/>
              </w:rPr>
              <w:t>。综上所述，项目未处于主体功能区划中的禁止开发区，与区域主体功能区中限制开发区域规划目标相一致，</w:t>
            </w:r>
            <w:r>
              <w:rPr>
                <w:rFonts w:ascii="Times New Roman" w:hAnsi="Times New Roman"/>
                <w:bCs/>
                <w:color w:val="auto"/>
              </w:rPr>
              <w:t>符合《新疆</w:t>
            </w:r>
            <w:r>
              <w:rPr>
                <w:rFonts w:hint="eastAsia" w:ascii="Times New Roman" w:hAnsi="Times New Roman"/>
                <w:bCs/>
                <w:color w:val="auto"/>
              </w:rPr>
              <w:t>生产建设兵团</w:t>
            </w:r>
            <w:r>
              <w:rPr>
                <w:rFonts w:ascii="Times New Roman" w:hAnsi="Times New Roman"/>
                <w:bCs/>
                <w:color w:val="auto"/>
              </w:rPr>
              <w:t>主体功能区规划》。</w:t>
            </w:r>
          </w:p>
          <w:p>
            <w:pPr>
              <w:pStyle w:val="48"/>
              <w:adjustRightInd w:val="0"/>
              <w:snapToGrid w:val="0"/>
              <w:spacing w:line="360" w:lineRule="auto"/>
              <w:ind w:firstLine="482"/>
              <w:jc w:val="both"/>
              <w:rPr>
                <w:rFonts w:ascii="Times New Roman" w:hAnsi="Times New Roman"/>
                <w:b/>
                <w:color w:val="auto"/>
                <w:kern w:val="0"/>
              </w:rPr>
            </w:pPr>
            <w:r>
              <w:rPr>
                <w:rFonts w:ascii="Times New Roman" w:hAnsi="Times New Roman"/>
                <w:b/>
                <w:color w:val="auto"/>
                <w:kern w:val="0"/>
              </w:rPr>
              <w:t>2．生态功能区划情况</w:t>
            </w:r>
          </w:p>
          <w:p>
            <w:pPr>
              <w:pStyle w:val="130"/>
              <w:spacing w:line="360" w:lineRule="auto"/>
              <w:ind w:firstLine="480"/>
              <w:jc w:val="both"/>
              <w:rPr>
                <w:rFonts w:ascii="Times New Roman" w:hAnsi="Times New Roman"/>
                <w:color w:val="auto"/>
              </w:rPr>
            </w:pPr>
            <w:r>
              <w:rPr>
                <w:rFonts w:ascii="Times New Roman" w:hAnsi="Times New Roman"/>
                <w:color w:val="auto"/>
              </w:rPr>
              <w:t>根据《新疆生产建设兵团生态功能区划》，项目所在区域生态功能区属于Ⅱ3六、七、八、十二师准噶尔盆地南部灌木、半灌木荒漠、绿洲农业生态亚区。</w:t>
            </w:r>
            <w:bookmarkStart w:id="3" w:name="_Ref474659032"/>
            <w:r>
              <w:rPr>
                <w:rFonts w:ascii="Times New Roman" w:hAnsi="Times New Roman"/>
                <w:color w:val="auto"/>
              </w:rPr>
              <w:t>项目所在区域生态功能区划简表见表3-1，项目所在区域生态功能区划图见附图</w:t>
            </w:r>
            <w:r>
              <w:rPr>
                <w:rFonts w:hint="eastAsia" w:ascii="Times New Roman" w:hAnsi="Times New Roman"/>
                <w:color w:val="auto"/>
              </w:rPr>
              <w:t>9</w:t>
            </w:r>
            <w:r>
              <w:rPr>
                <w:rFonts w:ascii="Times New Roman" w:hAnsi="Times New Roman"/>
                <w:color w:val="auto"/>
              </w:rPr>
              <w:t>。</w:t>
            </w:r>
          </w:p>
          <w:p>
            <w:pPr>
              <w:pStyle w:val="130"/>
              <w:spacing w:line="360" w:lineRule="auto"/>
              <w:ind w:firstLine="422"/>
              <w:jc w:val="center"/>
              <w:rPr>
                <w:rFonts w:ascii="Times New Roman" w:hAnsi="Times New Roman"/>
                <w:b/>
                <w:bCs/>
                <w:color w:val="auto"/>
                <w:sz w:val="21"/>
                <w:szCs w:val="21"/>
              </w:rPr>
            </w:pPr>
            <w:r>
              <w:rPr>
                <w:rFonts w:ascii="Times New Roman" w:hAnsi="Times New Roman"/>
                <w:b/>
                <w:bCs/>
                <w:color w:val="auto"/>
                <w:sz w:val="21"/>
                <w:szCs w:val="21"/>
              </w:rPr>
              <w:t>表3-1  项目所在区域生态功能区划简表</w:t>
            </w:r>
          </w:p>
          <w:tbl>
            <w:tblPr>
              <w:tblStyle w:val="3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60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pStyle w:val="130"/>
                    <w:spacing w:line="28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主要生态服务功能</w:t>
                  </w:r>
                </w:p>
              </w:tc>
              <w:tc>
                <w:tcPr>
                  <w:tcW w:w="6048" w:type="dxa"/>
                  <w:vAlign w:val="center"/>
                </w:tcPr>
                <w:p>
                  <w:pPr>
                    <w:pStyle w:val="130"/>
                    <w:spacing w:line="28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工农畜产品生产、人居环境、荒漠化控制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pStyle w:val="130"/>
                    <w:spacing w:line="28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主要生态环境问题</w:t>
                  </w:r>
                </w:p>
              </w:tc>
              <w:tc>
                <w:tcPr>
                  <w:tcW w:w="6048" w:type="dxa"/>
                  <w:vAlign w:val="center"/>
                </w:tcPr>
                <w:p>
                  <w:pPr>
                    <w:pStyle w:val="130"/>
                    <w:spacing w:line="28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地下水超采、荒漠植被退化、河流萎缩断流、土地荒漠化与盐渍化、工业污染严重、绿洲外围受到沙漠化威胁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pStyle w:val="130"/>
                    <w:spacing w:line="28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主要保护目标</w:t>
                  </w:r>
                </w:p>
              </w:tc>
              <w:tc>
                <w:tcPr>
                  <w:tcW w:w="6048" w:type="dxa"/>
                  <w:vAlign w:val="center"/>
                </w:tcPr>
                <w:p>
                  <w:pPr>
                    <w:pStyle w:val="130"/>
                    <w:spacing w:line="28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保护绿洲农田生态系统及农田土壤环境质量、保护城市环境质量、保护荒漠植被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pStyle w:val="130"/>
                    <w:spacing w:line="28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主要保护措施</w:t>
                  </w:r>
                </w:p>
              </w:tc>
              <w:tc>
                <w:tcPr>
                  <w:tcW w:w="6048" w:type="dxa"/>
                  <w:vAlign w:val="center"/>
                </w:tcPr>
                <w:p>
                  <w:pPr>
                    <w:pStyle w:val="130"/>
                    <w:spacing w:line="28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节水灌溉、合理控制地下水开采，各类污染物达标排放、提高城市环境质量，保护绿洲外围荒漠植被、完善防护林体系、加强农田投入品的使用管理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pStyle w:val="130"/>
                    <w:spacing w:line="28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主要发展方向</w:t>
                  </w:r>
                </w:p>
              </w:tc>
              <w:tc>
                <w:tcPr>
                  <w:tcW w:w="6048" w:type="dxa"/>
                  <w:vAlign w:val="center"/>
                </w:tcPr>
                <w:p>
                  <w:pPr>
                    <w:pStyle w:val="130"/>
                    <w:spacing w:line="28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发展以棉花为主导的优质、高效、特色农业；加快高标准城镇（市）化建设；发展和做强棉纺业、塑化节水器材产业、化工业等重要工业的建设。</w:t>
                  </w:r>
                </w:p>
              </w:tc>
            </w:tr>
            <w:bookmarkEnd w:id="3"/>
          </w:tbl>
          <w:p>
            <w:pPr>
              <w:pStyle w:val="48"/>
              <w:adjustRightInd w:val="0"/>
              <w:snapToGrid w:val="0"/>
              <w:spacing w:before="120" w:beforeLines="50" w:line="360" w:lineRule="auto"/>
              <w:ind w:firstLine="482"/>
              <w:jc w:val="both"/>
              <w:rPr>
                <w:rFonts w:ascii="Times New Roman" w:hAnsi="Times New Roman"/>
                <w:b/>
                <w:color w:val="auto"/>
                <w:kern w:val="0"/>
              </w:rPr>
            </w:pPr>
            <w:r>
              <w:rPr>
                <w:rFonts w:ascii="Times New Roman" w:hAnsi="Times New Roman"/>
                <w:b/>
                <w:color w:val="auto"/>
                <w:kern w:val="0"/>
              </w:rPr>
              <w:t>3．生态环境质量现状</w:t>
            </w:r>
          </w:p>
          <w:p>
            <w:pPr>
              <w:pStyle w:val="48"/>
              <w:adjustRightInd w:val="0"/>
              <w:snapToGrid w:val="0"/>
              <w:spacing w:line="360" w:lineRule="auto"/>
              <w:ind w:firstLine="480"/>
              <w:jc w:val="both"/>
              <w:rPr>
                <w:rFonts w:ascii="Times New Roman" w:hAnsi="Times New Roman"/>
                <w:color w:val="auto"/>
                <w:kern w:val="0"/>
              </w:rPr>
            </w:pPr>
            <w:r>
              <w:rPr>
                <w:rFonts w:ascii="Times New Roman" w:hAnsi="Times New Roman"/>
                <w:color w:val="auto"/>
                <w:kern w:val="0"/>
              </w:rPr>
              <w:t>（1）土地利用类型</w:t>
            </w:r>
          </w:p>
          <w:p>
            <w:pPr>
              <w:pStyle w:val="74"/>
              <w:spacing w:line="360" w:lineRule="auto"/>
              <w:ind w:firstLine="480"/>
              <w:jc w:val="both"/>
              <w:outlineLvl w:val="9"/>
              <w:rPr>
                <w:rFonts w:ascii="Times New Roman" w:hAnsi="Times New Roman"/>
                <w:b w:val="0"/>
                <w:color w:val="auto"/>
                <w:kern w:val="2"/>
                <w:szCs w:val="24"/>
              </w:rPr>
            </w:pPr>
            <w:r>
              <w:rPr>
                <w:rFonts w:ascii="Times New Roman" w:hAnsi="Times New Roman"/>
                <w:b w:val="0"/>
                <w:color w:val="auto"/>
                <w:kern w:val="2"/>
                <w:szCs w:val="24"/>
              </w:rPr>
              <w:t>参照全国土地利用现状调查技术规程、全国土地利用现状分类系统，通过现场踏勘及收集资料绘制项目区的土地利用类型示意图，项目区土地利用类型主要为耕地，</w:t>
            </w:r>
            <w:r>
              <w:rPr>
                <w:rFonts w:hint="eastAsia" w:ascii="Times New Roman" w:hAnsi="Times New Roman"/>
                <w:b w:val="0"/>
                <w:color w:val="auto"/>
                <w:kern w:val="2"/>
                <w:szCs w:val="24"/>
              </w:rPr>
              <w:t>项目区土地利用现状示意图见</w:t>
            </w:r>
            <w:r>
              <w:rPr>
                <w:rFonts w:ascii="Times New Roman" w:hAnsi="Times New Roman"/>
                <w:b w:val="0"/>
                <w:color w:val="auto"/>
                <w:kern w:val="2"/>
                <w:szCs w:val="24"/>
              </w:rPr>
              <w:t>附图</w:t>
            </w:r>
            <w:r>
              <w:rPr>
                <w:rFonts w:hint="eastAsia" w:ascii="Times New Roman" w:hAnsi="Times New Roman"/>
                <w:b w:val="0"/>
                <w:color w:val="auto"/>
                <w:kern w:val="2"/>
                <w:szCs w:val="24"/>
              </w:rPr>
              <w:t>10</w:t>
            </w:r>
            <w:r>
              <w:rPr>
                <w:rFonts w:ascii="Times New Roman" w:hAnsi="Times New Roman"/>
                <w:b w:val="0"/>
                <w:color w:val="auto"/>
                <w:kern w:val="2"/>
                <w:szCs w:val="24"/>
              </w:rPr>
              <w:t>。</w:t>
            </w:r>
          </w:p>
          <w:p>
            <w:pPr>
              <w:pStyle w:val="48"/>
              <w:adjustRightInd w:val="0"/>
              <w:snapToGrid w:val="0"/>
              <w:spacing w:line="360" w:lineRule="auto"/>
              <w:ind w:firstLine="480"/>
              <w:jc w:val="both"/>
              <w:rPr>
                <w:rFonts w:ascii="Times New Roman" w:hAnsi="Times New Roman"/>
                <w:color w:val="auto"/>
                <w:kern w:val="0"/>
              </w:rPr>
            </w:pPr>
            <w:r>
              <w:rPr>
                <w:rFonts w:ascii="Times New Roman" w:hAnsi="Times New Roman"/>
                <w:color w:val="auto"/>
                <w:kern w:val="0"/>
              </w:rPr>
              <w:t>（2）植被类型</w:t>
            </w:r>
          </w:p>
          <w:p>
            <w:pPr>
              <w:pStyle w:val="48"/>
              <w:adjustRightInd w:val="0"/>
              <w:snapToGrid w:val="0"/>
              <w:spacing w:line="360" w:lineRule="auto"/>
              <w:ind w:firstLine="480"/>
              <w:jc w:val="both"/>
              <w:rPr>
                <w:rFonts w:ascii="Times New Roman" w:hAnsi="Times New Roman"/>
                <w:color w:val="auto"/>
                <w:kern w:val="0"/>
              </w:rPr>
            </w:pPr>
            <w:r>
              <w:rPr>
                <w:rFonts w:ascii="Times New Roman" w:hAnsi="Times New Roman"/>
                <w:color w:val="auto"/>
                <w:kern w:val="0"/>
              </w:rPr>
              <w:t>项目区地貌类型为冲积平原和湖积平原，海拔270～310m，项目区属于农业区，主要占地类型为农田，项目区周边农田种植的农作物主要为棉花、玉米等</w:t>
            </w:r>
            <w:r>
              <w:rPr>
                <w:rFonts w:hint="eastAsia" w:ascii="Times New Roman" w:hAnsi="Times New Roman"/>
                <w:color w:val="auto"/>
                <w:kern w:val="0"/>
              </w:rPr>
              <w:t>，项目区植被覆盖率在80%</w:t>
            </w:r>
            <w:r>
              <w:rPr>
                <w:rFonts w:ascii="Times New Roman" w:hAnsi="Times New Roman"/>
                <w:color w:val="auto"/>
                <w:kern w:val="0"/>
              </w:rPr>
              <w:t>～</w:t>
            </w:r>
            <w:r>
              <w:rPr>
                <w:rFonts w:hint="eastAsia" w:ascii="Times New Roman" w:hAnsi="Times New Roman"/>
                <w:color w:val="auto"/>
                <w:kern w:val="0"/>
              </w:rPr>
              <w:t>90%之间</w:t>
            </w:r>
            <w:r>
              <w:rPr>
                <w:rFonts w:ascii="Times New Roman" w:hAnsi="Times New Roman"/>
                <w:color w:val="auto"/>
                <w:kern w:val="0"/>
              </w:rPr>
              <w:t>。区域气候干旱，未利用荒地主要植被为芦苇，同时生存的建群植物有骆驼刺、琵琶柴、柽柳、沙枣刺、铃铛刺、碱灰藜等旱生、超旱生的灌木、小灌木、半灌木及旱生的一年草本、多年生草本和中生短命植物等荒漠植物</w:t>
            </w:r>
            <w:r>
              <w:rPr>
                <w:rFonts w:hint="eastAsia" w:ascii="Times New Roman" w:hAnsi="Times New Roman"/>
                <w:color w:val="auto"/>
                <w:kern w:val="0"/>
              </w:rPr>
              <w:t>，项目区域未见国家及自治区保护植物。项目区</w:t>
            </w:r>
            <w:r>
              <w:rPr>
                <w:rFonts w:ascii="Times New Roman" w:hAnsi="Times New Roman"/>
                <w:color w:val="auto"/>
              </w:rPr>
              <w:t>植被类型</w:t>
            </w:r>
            <w:r>
              <w:rPr>
                <w:rFonts w:hint="eastAsia" w:ascii="Times New Roman" w:hAnsi="Times New Roman"/>
                <w:color w:val="auto"/>
              </w:rPr>
              <w:t>示意</w:t>
            </w:r>
            <w:r>
              <w:rPr>
                <w:rFonts w:ascii="Times New Roman" w:hAnsi="Times New Roman"/>
                <w:color w:val="auto"/>
              </w:rPr>
              <w:t>图见附图1</w:t>
            </w:r>
            <w:r>
              <w:rPr>
                <w:rFonts w:hint="eastAsia" w:ascii="Times New Roman" w:hAnsi="Times New Roman"/>
                <w:color w:val="auto"/>
              </w:rPr>
              <w:t>1</w:t>
            </w:r>
            <w:r>
              <w:rPr>
                <w:rFonts w:ascii="Times New Roman" w:hAnsi="Times New Roman"/>
                <w:color w:val="auto"/>
              </w:rPr>
              <w:t>。</w:t>
            </w:r>
          </w:p>
          <w:p>
            <w:pPr>
              <w:keepNext/>
              <w:keepLines/>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（3）野生动物现状</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据现场调查，目前项目区几乎没有大型野生动物，小型动物也较少，但其周边区域栖息着一些野生动物，如：麻雀等一般鸟类及鼠类、兔类等常见动物</w:t>
            </w:r>
            <w:r>
              <w:rPr>
                <w:rFonts w:ascii="Times New Roman" w:hAnsi="Times New Roman"/>
                <w:color w:val="auto"/>
                <w:kern w:val="0"/>
                <w:sz w:val="24"/>
              </w:rPr>
              <w:t>，动物组成简单，数量不多，</w:t>
            </w:r>
            <w:r>
              <w:rPr>
                <w:rFonts w:ascii="Times New Roman" w:hAnsi="Times New Roman"/>
                <w:color w:val="auto"/>
                <w:sz w:val="24"/>
              </w:rPr>
              <w:t>没有国家及自治区级保护动物。</w:t>
            </w:r>
          </w:p>
          <w:p>
            <w:pPr>
              <w:adjustRightInd w:val="0"/>
              <w:snapToGrid w:val="0"/>
              <w:spacing w:line="360" w:lineRule="auto"/>
              <w:ind w:firstLine="480" w:firstLineChars="200"/>
              <w:jc w:val="both"/>
              <w:rPr>
                <w:rFonts w:ascii="Times New Roman" w:hAnsi="Times New Roman"/>
                <w:color w:val="auto"/>
                <w:sz w:val="24"/>
                <w:szCs w:val="20"/>
              </w:rPr>
            </w:pPr>
            <w:r>
              <w:rPr>
                <w:rFonts w:ascii="Times New Roman" w:hAnsi="Times New Roman"/>
                <w:color w:val="auto"/>
                <w:sz w:val="24"/>
                <w:szCs w:val="20"/>
              </w:rPr>
              <w:t>（4）土壤类型</w:t>
            </w:r>
          </w:p>
          <w:p>
            <w:pPr>
              <w:pStyle w:val="121"/>
              <w:spacing w:line="360" w:lineRule="auto"/>
              <w:ind w:firstLine="480"/>
              <w:jc w:val="both"/>
              <w:rPr>
                <w:rFonts w:ascii="Times New Roman" w:hAnsi="Times New Roman"/>
                <w:color w:val="auto"/>
              </w:rPr>
            </w:pPr>
            <w:r>
              <w:rPr>
                <w:rFonts w:ascii="Times New Roman" w:hAnsi="Times New Roman"/>
                <w:color w:val="auto"/>
              </w:rPr>
              <w:t>项目区土壤类型为灰色草甸土，草甸土发育于地势低平、受地下水或潜水的直接浸润并生长草甸植物的土壤。属半水成土。其主要特征是有机质含量较高，腐殖质层较厚，土壤团粒结构较好，水分较充分。</w:t>
            </w:r>
          </w:p>
          <w:p>
            <w:pPr>
              <w:pStyle w:val="121"/>
              <w:spacing w:line="360" w:lineRule="auto"/>
              <w:ind w:firstLine="480"/>
              <w:jc w:val="both"/>
              <w:rPr>
                <w:rFonts w:ascii="Times New Roman" w:hAnsi="Times New Roman"/>
                <w:color w:val="auto"/>
              </w:rPr>
            </w:pPr>
            <w:r>
              <w:rPr>
                <w:rFonts w:ascii="Times New Roman" w:hAnsi="Times New Roman"/>
                <w:color w:val="auto"/>
              </w:rPr>
              <w:t>草甸土的基本发生层是腐殖质层（A）和锈色斑纹层（Cu）。腐殖质层厚度一般为30-70cm，最厚可达100cm，干态色调呈暗棕灰色-浊黄橙色，多团粒或屑粒状结构，松软，根系多。锈色斑纹层干色为灰黄棕色-黄橙色，其出现深度与潜水位上升高度有关，潜水位最高若达到1m左右，通常在20-30cm开始出现锈斑；40-50cm可见大量锈斑。有的还具有铁锰结核。潜水位最高若为2m左右，则在土体下层方能出现锈色斑纹，所以锈色斑纹层一般出现在50-80cm。</w:t>
            </w:r>
          </w:p>
          <w:p>
            <w:pPr>
              <w:pStyle w:val="121"/>
              <w:spacing w:line="360" w:lineRule="auto"/>
              <w:ind w:firstLine="420"/>
              <w:jc w:val="both"/>
              <w:rPr>
                <w:rFonts w:ascii="Times New Roman" w:hAnsi="Times New Roman"/>
                <w:color w:val="auto"/>
              </w:rPr>
            </w:pPr>
            <w:r>
              <w:rPr>
                <w:rStyle w:val="42"/>
                <w:rFonts w:hint="eastAsia" w:ascii="Times New Roman" w:hAnsi="Times New Roman"/>
                <w:color w:val="auto"/>
                <w:kern w:val="0"/>
                <w:szCs w:val="24"/>
              </w:rPr>
              <w:t>项目区</w:t>
            </w:r>
            <w:r>
              <w:rPr>
                <w:rFonts w:ascii="Times New Roman" w:hAnsi="Times New Roman"/>
                <w:color w:val="auto"/>
              </w:rPr>
              <w:t>土壤类型</w:t>
            </w:r>
            <w:r>
              <w:rPr>
                <w:rFonts w:hint="eastAsia" w:ascii="Times New Roman" w:hAnsi="Times New Roman"/>
                <w:color w:val="auto"/>
              </w:rPr>
              <w:t>示意图</w:t>
            </w:r>
            <w:r>
              <w:rPr>
                <w:rFonts w:ascii="Times New Roman" w:hAnsi="Times New Roman"/>
                <w:color w:val="auto"/>
              </w:rPr>
              <w:t>见附图</w:t>
            </w:r>
            <w:r>
              <w:rPr>
                <w:rFonts w:hint="eastAsia" w:ascii="Times New Roman" w:hAnsi="Times New Roman"/>
                <w:color w:val="auto"/>
              </w:rPr>
              <w:t>12</w:t>
            </w:r>
            <w:r>
              <w:rPr>
                <w:rFonts w:ascii="Times New Roman" w:hAnsi="Times New Roman"/>
                <w:color w:val="auto"/>
              </w:rPr>
              <w:t>。</w:t>
            </w:r>
          </w:p>
          <w:p>
            <w:pPr>
              <w:pStyle w:val="121"/>
              <w:spacing w:line="360" w:lineRule="auto"/>
              <w:ind w:firstLine="482"/>
              <w:jc w:val="both"/>
              <w:rPr>
                <w:rFonts w:ascii="Times New Roman" w:hAnsi="Times New Roman"/>
                <w:b/>
                <w:color w:val="auto"/>
              </w:rPr>
            </w:pPr>
            <w:r>
              <w:rPr>
                <w:rFonts w:ascii="Times New Roman" w:hAnsi="Times New Roman"/>
                <w:b/>
                <w:color w:val="auto"/>
              </w:rPr>
              <w:t>4．</w:t>
            </w:r>
            <w:r>
              <w:rPr>
                <w:rFonts w:ascii="Times New Roman" w:hAnsi="Times New Roman"/>
                <w:b/>
                <w:color w:val="auto"/>
                <w:szCs w:val="24"/>
              </w:rPr>
              <w:t>大气环境质量现状调查与评价</w:t>
            </w:r>
          </w:p>
          <w:p>
            <w:pPr>
              <w:pStyle w:val="141"/>
              <w:spacing w:line="360" w:lineRule="auto"/>
              <w:ind w:firstLine="480"/>
              <w:jc w:val="both"/>
              <w:rPr>
                <w:rFonts w:ascii="Times New Roman" w:hAnsi="Times New Roman"/>
                <w:color w:val="auto"/>
              </w:rPr>
            </w:pPr>
            <w:bookmarkStart w:id="4" w:name="_Hlk65841486"/>
            <w:r>
              <w:rPr>
                <w:rFonts w:ascii="Times New Roman" w:hAnsi="Times New Roman"/>
                <w:color w:val="auto"/>
              </w:rPr>
              <w:t>（1）达标情况判定</w:t>
            </w:r>
          </w:p>
          <w:bookmarkEnd w:id="4"/>
          <w:p>
            <w:pPr>
              <w:autoSpaceDE w:val="0"/>
              <w:autoSpaceDN w:val="0"/>
              <w:adjustRightInd w:val="0"/>
              <w:spacing w:line="360" w:lineRule="auto"/>
              <w:ind w:firstLine="480" w:firstLineChars="200"/>
              <w:jc w:val="both"/>
              <w:rPr>
                <w:rFonts w:ascii="Times New Roman" w:hAnsi="Times New Roman"/>
                <w:color w:val="auto"/>
                <w:sz w:val="24"/>
              </w:rPr>
            </w:pPr>
            <w:r>
              <w:rPr>
                <w:rFonts w:ascii="Times New Roman" w:hAnsi="Times New Roman"/>
                <w:color w:val="auto"/>
                <w:sz w:val="24"/>
              </w:rPr>
              <w:t>《环境影响评价技术导则 大气环境》（HJ2.2-2018）规定：“城市环境空气质量达标情况评价指标为SO</w:t>
            </w:r>
            <w:r>
              <w:rPr>
                <w:rFonts w:ascii="Times New Roman" w:hAnsi="Times New Roman"/>
                <w:color w:val="auto"/>
                <w:sz w:val="24"/>
                <w:vertAlign w:val="subscript"/>
              </w:rPr>
              <w:t>2</w:t>
            </w:r>
            <w:r>
              <w:rPr>
                <w:rFonts w:ascii="Times New Roman" w:hAnsi="Times New Roman"/>
                <w:color w:val="auto"/>
                <w:sz w:val="24"/>
              </w:rPr>
              <w:t>、NO</w:t>
            </w:r>
            <w:r>
              <w:rPr>
                <w:rFonts w:ascii="Times New Roman" w:hAnsi="Times New Roman"/>
                <w:color w:val="auto"/>
                <w:sz w:val="24"/>
                <w:vertAlign w:val="subscript"/>
              </w:rPr>
              <w:t>2</w:t>
            </w:r>
            <w:r>
              <w:rPr>
                <w:rFonts w:ascii="Times New Roman" w:hAnsi="Times New Roman"/>
                <w:color w:val="auto"/>
                <w:sz w:val="24"/>
              </w:rPr>
              <w:t>、PM</w:t>
            </w:r>
            <w:r>
              <w:rPr>
                <w:rFonts w:ascii="Times New Roman" w:hAnsi="Times New Roman"/>
                <w:color w:val="auto"/>
                <w:sz w:val="24"/>
                <w:vertAlign w:val="subscript"/>
              </w:rPr>
              <w:t>10</w:t>
            </w:r>
            <w:r>
              <w:rPr>
                <w:rFonts w:ascii="Times New Roman" w:hAnsi="Times New Roman"/>
                <w:color w:val="auto"/>
                <w:sz w:val="24"/>
              </w:rPr>
              <w:t>、PM</w:t>
            </w:r>
            <w:r>
              <w:rPr>
                <w:rFonts w:ascii="Times New Roman" w:hAnsi="Times New Roman"/>
                <w:color w:val="auto"/>
                <w:sz w:val="24"/>
                <w:vertAlign w:val="subscript"/>
              </w:rPr>
              <w:t>2.5</w:t>
            </w:r>
            <w:r>
              <w:rPr>
                <w:rFonts w:ascii="Times New Roman" w:hAnsi="Times New Roman"/>
                <w:color w:val="auto"/>
                <w:sz w:val="24"/>
              </w:rPr>
              <w:t>、CO和O</w:t>
            </w:r>
            <w:r>
              <w:rPr>
                <w:rFonts w:ascii="Times New Roman" w:hAnsi="Times New Roman"/>
                <w:color w:val="auto"/>
                <w:sz w:val="24"/>
                <w:vertAlign w:val="subscript"/>
              </w:rPr>
              <w:t>3</w:t>
            </w:r>
            <w:r>
              <w:rPr>
                <w:rFonts w:ascii="Times New Roman" w:hAnsi="Times New Roman"/>
                <w:color w:val="auto"/>
                <w:sz w:val="24"/>
              </w:rPr>
              <w:t>，六项污染物全部达标即为城市环境空气质量达标”。</w:t>
            </w:r>
          </w:p>
          <w:p>
            <w:pPr>
              <w:autoSpaceDE w:val="0"/>
              <w:autoSpaceDN w:val="0"/>
              <w:adjustRightIn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根据《环境影响评价技术导则 大气环境》（H.J2.2-2018）对环境质量现状数据的要求，选取生态环境部环境工程评估中心环境空气质量模型技术支持服务系统发布数据，</w:t>
            </w:r>
            <w:r>
              <w:rPr>
                <w:rFonts w:ascii="Times New Roman" w:hAnsi="Times New Roman"/>
                <w:bCs/>
                <w:color w:val="auto"/>
                <w:sz w:val="24"/>
              </w:rPr>
              <w:t>选择距离项目最近的国控监测站克拉玛依监测站数据，</w:t>
            </w:r>
            <w:r>
              <w:rPr>
                <w:rFonts w:ascii="Times New Roman" w:hAnsi="Times New Roman"/>
                <w:color w:val="auto"/>
                <w:sz w:val="24"/>
              </w:rPr>
              <w:t>克拉玛依市2020年SO</w:t>
            </w:r>
            <w:r>
              <w:rPr>
                <w:rFonts w:ascii="Times New Roman" w:hAnsi="Times New Roman"/>
                <w:color w:val="auto"/>
                <w:sz w:val="24"/>
                <w:vertAlign w:val="subscript"/>
              </w:rPr>
              <w:t>2</w:t>
            </w:r>
            <w:r>
              <w:rPr>
                <w:rFonts w:ascii="Times New Roman" w:hAnsi="Times New Roman"/>
                <w:color w:val="auto"/>
                <w:sz w:val="24"/>
              </w:rPr>
              <w:t>、NO</w:t>
            </w:r>
            <w:r>
              <w:rPr>
                <w:rFonts w:ascii="Times New Roman" w:hAnsi="Times New Roman"/>
                <w:color w:val="auto"/>
                <w:sz w:val="24"/>
                <w:vertAlign w:val="subscript"/>
              </w:rPr>
              <w:t>2</w:t>
            </w:r>
            <w:r>
              <w:rPr>
                <w:rFonts w:ascii="Times New Roman" w:hAnsi="Times New Roman"/>
                <w:color w:val="auto"/>
                <w:sz w:val="24"/>
              </w:rPr>
              <w:t>、PM</w:t>
            </w:r>
            <w:r>
              <w:rPr>
                <w:rFonts w:ascii="Times New Roman" w:hAnsi="Times New Roman"/>
                <w:color w:val="auto"/>
                <w:sz w:val="24"/>
                <w:vertAlign w:val="subscript"/>
              </w:rPr>
              <w:t>10</w:t>
            </w:r>
            <w:r>
              <w:rPr>
                <w:rFonts w:ascii="Times New Roman" w:hAnsi="Times New Roman"/>
                <w:color w:val="auto"/>
                <w:sz w:val="24"/>
              </w:rPr>
              <w:t>、PM</w:t>
            </w:r>
            <w:r>
              <w:rPr>
                <w:rFonts w:ascii="Times New Roman" w:hAnsi="Times New Roman"/>
                <w:color w:val="auto"/>
                <w:sz w:val="24"/>
                <w:vertAlign w:val="subscript"/>
              </w:rPr>
              <w:t>2.5</w:t>
            </w:r>
            <w:r>
              <w:rPr>
                <w:rFonts w:ascii="Times New Roman" w:hAnsi="Times New Roman"/>
                <w:color w:val="auto"/>
                <w:sz w:val="24"/>
              </w:rPr>
              <w:t>年均浓度分别为6μg/m</w:t>
            </w:r>
            <w:r>
              <w:rPr>
                <w:rFonts w:ascii="Times New Roman" w:hAnsi="Times New Roman"/>
                <w:color w:val="auto"/>
                <w:sz w:val="24"/>
                <w:vertAlign w:val="superscript"/>
              </w:rPr>
              <w:t>3</w:t>
            </w:r>
            <w:r>
              <w:rPr>
                <w:rFonts w:ascii="Times New Roman" w:hAnsi="Times New Roman"/>
                <w:color w:val="auto"/>
                <w:sz w:val="24"/>
              </w:rPr>
              <w:t>、21μg/m</w:t>
            </w:r>
            <w:r>
              <w:rPr>
                <w:rFonts w:ascii="Times New Roman" w:hAnsi="Times New Roman"/>
                <w:color w:val="auto"/>
                <w:sz w:val="24"/>
                <w:vertAlign w:val="superscript"/>
              </w:rPr>
              <w:t>3</w:t>
            </w:r>
            <w:r>
              <w:rPr>
                <w:rFonts w:ascii="Times New Roman" w:hAnsi="Times New Roman"/>
                <w:color w:val="auto"/>
                <w:sz w:val="24"/>
              </w:rPr>
              <w:t>、54μg/m</w:t>
            </w:r>
            <w:r>
              <w:rPr>
                <w:rFonts w:ascii="Times New Roman" w:hAnsi="Times New Roman"/>
                <w:color w:val="auto"/>
                <w:sz w:val="24"/>
                <w:vertAlign w:val="superscript"/>
              </w:rPr>
              <w:t>3</w:t>
            </w:r>
            <w:r>
              <w:rPr>
                <w:rFonts w:ascii="Times New Roman" w:hAnsi="Times New Roman"/>
                <w:color w:val="auto"/>
                <w:sz w:val="24"/>
              </w:rPr>
              <w:t>、26μg/m</w:t>
            </w:r>
            <w:r>
              <w:rPr>
                <w:rFonts w:ascii="Times New Roman" w:hAnsi="Times New Roman"/>
                <w:color w:val="auto"/>
                <w:sz w:val="24"/>
                <w:vertAlign w:val="superscript"/>
              </w:rPr>
              <w:t>3</w:t>
            </w:r>
            <w:r>
              <w:rPr>
                <w:rFonts w:ascii="Times New Roman" w:hAnsi="Times New Roman"/>
                <w:color w:val="auto"/>
                <w:sz w:val="24"/>
              </w:rPr>
              <w:t>；CO24小时平均第95百分位数为1.4mg/m</w:t>
            </w:r>
            <w:r>
              <w:rPr>
                <w:rFonts w:ascii="Times New Roman" w:hAnsi="Times New Roman"/>
                <w:color w:val="auto"/>
                <w:sz w:val="24"/>
                <w:vertAlign w:val="superscript"/>
              </w:rPr>
              <w:t>3</w:t>
            </w:r>
            <w:r>
              <w:rPr>
                <w:rFonts w:ascii="Times New Roman" w:hAnsi="Times New Roman"/>
                <w:color w:val="auto"/>
                <w:sz w:val="24"/>
              </w:rPr>
              <w:t>，O</w:t>
            </w:r>
            <w:r>
              <w:rPr>
                <w:rFonts w:ascii="Times New Roman" w:hAnsi="Times New Roman"/>
                <w:color w:val="auto"/>
                <w:sz w:val="24"/>
                <w:vertAlign w:val="subscript"/>
              </w:rPr>
              <w:t>3</w:t>
            </w:r>
            <w:r>
              <w:rPr>
                <w:rFonts w:ascii="Times New Roman" w:hAnsi="Times New Roman"/>
                <w:color w:val="auto"/>
                <w:sz w:val="24"/>
              </w:rPr>
              <w:t>日最大8小时平均第90百分位数为117μg/m</w:t>
            </w:r>
            <w:r>
              <w:rPr>
                <w:rFonts w:ascii="Times New Roman" w:hAnsi="Times New Roman"/>
                <w:color w:val="auto"/>
                <w:sz w:val="24"/>
                <w:vertAlign w:val="superscript"/>
              </w:rPr>
              <w:t>3</w:t>
            </w:r>
            <w:r>
              <w:rPr>
                <w:rFonts w:ascii="Times New Roman" w:hAnsi="Times New Roman"/>
                <w:color w:val="auto"/>
                <w:sz w:val="24"/>
              </w:rPr>
              <w:t>；各污染物平均浓度均优于《环境空气质量标准》（GB3095-2012）中二级标准限值，属于达标区。</w:t>
            </w:r>
          </w:p>
          <w:p>
            <w:pPr>
              <w:pStyle w:val="74"/>
              <w:adjustRightInd w:val="0"/>
              <w:snapToGrid w:val="0"/>
              <w:spacing w:line="240" w:lineRule="auto"/>
              <w:ind w:firstLine="422"/>
              <w:jc w:val="center"/>
              <w:outlineLvl w:val="9"/>
              <w:rPr>
                <w:rFonts w:ascii="Times New Roman" w:hAnsi="Times New Roman"/>
                <w:color w:val="auto"/>
                <w:sz w:val="21"/>
                <w:szCs w:val="21"/>
              </w:rPr>
            </w:pPr>
            <w:r>
              <w:rPr>
                <w:rFonts w:ascii="Times New Roman" w:hAnsi="Times New Roman"/>
                <w:color w:val="auto"/>
                <w:sz w:val="21"/>
                <w:szCs w:val="21"/>
              </w:rPr>
              <w:t>表3-2  项目所在区域基本污染物环境质量现状监测结果统计表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829"/>
              <w:gridCol w:w="2763"/>
              <w:gridCol w:w="1339"/>
              <w:gridCol w:w="1271"/>
              <w:gridCol w:w="1139"/>
              <w:gridCol w:w="94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00"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监测因子</w:t>
                  </w:r>
                </w:p>
              </w:tc>
              <w:tc>
                <w:tcPr>
                  <w:tcW w:w="16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年评价指标</w:t>
                  </w:r>
                </w:p>
              </w:tc>
              <w:tc>
                <w:tcPr>
                  <w:tcW w:w="80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现状浓度</w:t>
                  </w:r>
                </w:p>
                <w:p>
                  <w:pPr>
                    <w:pStyle w:val="71"/>
                    <w:widowControl w:val="0"/>
                    <w:snapToGrid w:val="0"/>
                    <w:rPr>
                      <w:rFonts w:ascii="Times New Roman" w:hAnsi="Times New Roman"/>
                      <w:color w:val="auto"/>
                      <w:sz w:val="21"/>
                      <w:szCs w:val="21"/>
                    </w:rPr>
                  </w:pPr>
                  <w:r>
                    <w:rPr>
                      <w:rFonts w:ascii="Times New Roman" w:hAnsi="Times New Roman"/>
                      <w:color w:val="auto"/>
                      <w:sz w:val="21"/>
                      <w:szCs w:val="21"/>
                    </w:rPr>
                    <w:t>（μg/m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7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标准值</w:t>
                  </w:r>
                </w:p>
                <w:p>
                  <w:pPr>
                    <w:pStyle w:val="71"/>
                    <w:widowControl w:val="0"/>
                    <w:snapToGrid w:val="0"/>
                    <w:rPr>
                      <w:rFonts w:ascii="Times New Roman" w:hAnsi="Times New Roman"/>
                      <w:color w:val="auto"/>
                      <w:sz w:val="21"/>
                      <w:szCs w:val="21"/>
                    </w:rPr>
                  </w:pPr>
                  <w:r>
                    <w:rPr>
                      <w:rFonts w:ascii="Times New Roman" w:hAnsi="Times New Roman"/>
                      <w:color w:val="auto"/>
                      <w:sz w:val="21"/>
                      <w:szCs w:val="21"/>
                    </w:rPr>
                    <w:t>（μg/m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68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占标率</w:t>
                  </w:r>
                </w:p>
                <w:p>
                  <w:pPr>
                    <w:pStyle w:val="71"/>
                    <w:widowControl w:val="0"/>
                    <w:snapToGrid w:val="0"/>
                    <w:rPr>
                      <w:rFonts w:ascii="Times New Roman" w:hAnsi="Times New Roman"/>
                      <w:color w:val="auto"/>
                      <w:sz w:val="21"/>
                      <w:szCs w:val="21"/>
                    </w:rPr>
                  </w:pPr>
                  <w:r>
                    <w:rPr>
                      <w:rFonts w:ascii="Times New Roman" w:hAnsi="Times New Roman"/>
                      <w:color w:val="auto"/>
                      <w:sz w:val="21"/>
                      <w:szCs w:val="21"/>
                    </w:rPr>
                    <w:t>（%）</w:t>
                  </w:r>
                </w:p>
              </w:tc>
              <w:tc>
                <w:tcPr>
                  <w:tcW w:w="56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00"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SO</w:t>
                  </w:r>
                  <w:r>
                    <w:rPr>
                      <w:rFonts w:ascii="Times New Roman" w:hAnsi="Times New Roman"/>
                      <w:color w:val="auto"/>
                      <w:sz w:val="21"/>
                      <w:szCs w:val="21"/>
                      <w:vertAlign w:val="subscript"/>
                    </w:rPr>
                    <w:t>2</w:t>
                  </w:r>
                </w:p>
              </w:tc>
              <w:tc>
                <w:tcPr>
                  <w:tcW w:w="16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年平均值</w:t>
                  </w:r>
                </w:p>
              </w:tc>
              <w:tc>
                <w:tcPr>
                  <w:tcW w:w="80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6</w:t>
                  </w:r>
                </w:p>
              </w:tc>
              <w:tc>
                <w:tcPr>
                  <w:tcW w:w="7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60</w:t>
                  </w:r>
                </w:p>
              </w:tc>
              <w:tc>
                <w:tcPr>
                  <w:tcW w:w="68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10</w:t>
                  </w:r>
                </w:p>
              </w:tc>
              <w:tc>
                <w:tcPr>
                  <w:tcW w:w="56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00"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NO</w:t>
                  </w:r>
                  <w:r>
                    <w:rPr>
                      <w:rFonts w:ascii="Times New Roman" w:hAnsi="Times New Roman"/>
                      <w:color w:val="auto"/>
                      <w:sz w:val="21"/>
                      <w:szCs w:val="21"/>
                      <w:vertAlign w:val="subscript"/>
                    </w:rPr>
                    <w:t>2</w:t>
                  </w:r>
                </w:p>
              </w:tc>
              <w:tc>
                <w:tcPr>
                  <w:tcW w:w="16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年平均值</w:t>
                  </w:r>
                </w:p>
              </w:tc>
              <w:tc>
                <w:tcPr>
                  <w:tcW w:w="80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21</w:t>
                  </w:r>
                </w:p>
              </w:tc>
              <w:tc>
                <w:tcPr>
                  <w:tcW w:w="7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40</w:t>
                  </w:r>
                </w:p>
              </w:tc>
              <w:tc>
                <w:tcPr>
                  <w:tcW w:w="68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52.5</w:t>
                  </w:r>
                </w:p>
              </w:tc>
              <w:tc>
                <w:tcPr>
                  <w:tcW w:w="56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00"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10</w:t>
                  </w:r>
                </w:p>
              </w:tc>
              <w:tc>
                <w:tcPr>
                  <w:tcW w:w="16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年平均值</w:t>
                  </w:r>
                </w:p>
              </w:tc>
              <w:tc>
                <w:tcPr>
                  <w:tcW w:w="80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54</w:t>
                  </w:r>
                </w:p>
              </w:tc>
              <w:tc>
                <w:tcPr>
                  <w:tcW w:w="7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70</w:t>
                  </w:r>
                </w:p>
              </w:tc>
              <w:tc>
                <w:tcPr>
                  <w:tcW w:w="68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77.14</w:t>
                  </w:r>
                </w:p>
              </w:tc>
              <w:tc>
                <w:tcPr>
                  <w:tcW w:w="56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00"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PM</w:t>
                  </w:r>
                  <w:r>
                    <w:rPr>
                      <w:rFonts w:ascii="Times New Roman" w:hAnsi="Times New Roman"/>
                      <w:color w:val="auto"/>
                      <w:sz w:val="21"/>
                      <w:szCs w:val="21"/>
                      <w:vertAlign w:val="subscript"/>
                    </w:rPr>
                    <w:t>2.5</w:t>
                  </w:r>
                </w:p>
              </w:tc>
              <w:tc>
                <w:tcPr>
                  <w:tcW w:w="16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年平均值</w:t>
                  </w:r>
                </w:p>
              </w:tc>
              <w:tc>
                <w:tcPr>
                  <w:tcW w:w="80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26</w:t>
                  </w:r>
                </w:p>
              </w:tc>
              <w:tc>
                <w:tcPr>
                  <w:tcW w:w="7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35</w:t>
                  </w:r>
                </w:p>
              </w:tc>
              <w:tc>
                <w:tcPr>
                  <w:tcW w:w="68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74.29</w:t>
                  </w:r>
                </w:p>
              </w:tc>
              <w:tc>
                <w:tcPr>
                  <w:tcW w:w="56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00" w:type="pct"/>
                  <w:vMerge w:val="restar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CO</w:t>
                  </w:r>
                </w:p>
              </w:tc>
              <w:tc>
                <w:tcPr>
                  <w:tcW w:w="16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年平均</w:t>
                  </w:r>
                </w:p>
              </w:tc>
              <w:tc>
                <w:tcPr>
                  <w:tcW w:w="80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w:t>
                  </w:r>
                </w:p>
              </w:tc>
              <w:tc>
                <w:tcPr>
                  <w:tcW w:w="7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w:t>
                  </w:r>
                </w:p>
              </w:tc>
              <w:tc>
                <w:tcPr>
                  <w:tcW w:w="68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w:t>
                  </w:r>
                </w:p>
              </w:tc>
              <w:tc>
                <w:tcPr>
                  <w:tcW w:w="56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00" w:type="pct"/>
                  <w:vMerge w:val="continue"/>
                  <w:shd w:val="clear" w:color="auto" w:fill="auto"/>
                  <w:vAlign w:val="center"/>
                </w:tcPr>
                <w:p>
                  <w:pPr>
                    <w:pStyle w:val="71"/>
                    <w:widowControl w:val="0"/>
                    <w:snapToGrid w:val="0"/>
                    <w:rPr>
                      <w:rFonts w:ascii="Times New Roman" w:hAnsi="Times New Roman"/>
                      <w:color w:val="auto"/>
                      <w:sz w:val="21"/>
                      <w:szCs w:val="21"/>
                    </w:rPr>
                  </w:pPr>
                </w:p>
              </w:tc>
              <w:tc>
                <w:tcPr>
                  <w:tcW w:w="16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24小时平均第95百分位数</w:t>
                  </w:r>
                </w:p>
              </w:tc>
              <w:tc>
                <w:tcPr>
                  <w:tcW w:w="80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1.4（mg/m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7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4（mg/m</w:t>
                  </w:r>
                  <w:r>
                    <w:rPr>
                      <w:rFonts w:ascii="Times New Roman" w:hAnsi="Times New Roman"/>
                      <w:color w:val="auto"/>
                      <w:sz w:val="21"/>
                      <w:szCs w:val="21"/>
                      <w:vertAlign w:val="superscript"/>
                    </w:rPr>
                    <w:t>3</w:t>
                  </w:r>
                  <w:r>
                    <w:rPr>
                      <w:rFonts w:ascii="Times New Roman" w:hAnsi="Times New Roman"/>
                      <w:color w:val="auto"/>
                      <w:sz w:val="21"/>
                      <w:szCs w:val="21"/>
                    </w:rPr>
                    <w:t>）</w:t>
                  </w:r>
                </w:p>
              </w:tc>
              <w:tc>
                <w:tcPr>
                  <w:tcW w:w="68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 xml:space="preserve">35 </w:t>
                  </w:r>
                </w:p>
              </w:tc>
              <w:tc>
                <w:tcPr>
                  <w:tcW w:w="56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00" w:type="pct"/>
                  <w:vMerge w:val="restar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O</w:t>
                  </w:r>
                  <w:r>
                    <w:rPr>
                      <w:rFonts w:ascii="Times New Roman" w:hAnsi="Times New Roman"/>
                      <w:color w:val="auto"/>
                      <w:sz w:val="21"/>
                      <w:szCs w:val="21"/>
                      <w:vertAlign w:val="subscript"/>
                    </w:rPr>
                    <w:t>3</w:t>
                  </w:r>
                </w:p>
              </w:tc>
              <w:tc>
                <w:tcPr>
                  <w:tcW w:w="16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年平均</w:t>
                  </w:r>
                </w:p>
              </w:tc>
              <w:tc>
                <w:tcPr>
                  <w:tcW w:w="80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w:t>
                  </w:r>
                </w:p>
              </w:tc>
              <w:tc>
                <w:tcPr>
                  <w:tcW w:w="7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w:t>
                  </w:r>
                </w:p>
              </w:tc>
              <w:tc>
                <w:tcPr>
                  <w:tcW w:w="68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w:t>
                  </w:r>
                </w:p>
              </w:tc>
              <w:tc>
                <w:tcPr>
                  <w:tcW w:w="56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00" w:type="pct"/>
                  <w:vMerge w:val="continue"/>
                  <w:shd w:val="clear" w:color="auto" w:fill="auto"/>
                  <w:vAlign w:val="center"/>
                </w:tcPr>
                <w:p>
                  <w:pPr>
                    <w:pStyle w:val="71"/>
                    <w:widowControl w:val="0"/>
                    <w:snapToGrid w:val="0"/>
                    <w:rPr>
                      <w:rFonts w:ascii="Times New Roman" w:hAnsi="Times New Roman"/>
                      <w:color w:val="auto"/>
                      <w:sz w:val="21"/>
                      <w:szCs w:val="21"/>
                    </w:rPr>
                  </w:pPr>
                </w:p>
              </w:tc>
              <w:tc>
                <w:tcPr>
                  <w:tcW w:w="16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最大8小时平均第90百分位数</w:t>
                  </w:r>
                </w:p>
              </w:tc>
              <w:tc>
                <w:tcPr>
                  <w:tcW w:w="80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117</w:t>
                  </w:r>
                </w:p>
              </w:tc>
              <w:tc>
                <w:tcPr>
                  <w:tcW w:w="76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160</w:t>
                  </w:r>
                </w:p>
              </w:tc>
              <w:tc>
                <w:tcPr>
                  <w:tcW w:w="687"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73.13</w:t>
                  </w:r>
                </w:p>
              </w:tc>
              <w:tc>
                <w:tcPr>
                  <w:tcW w:w="568" w:type="pct"/>
                  <w:shd w:val="clear" w:color="auto" w:fill="auto"/>
                  <w:vAlign w:val="center"/>
                </w:tcPr>
                <w:p>
                  <w:pPr>
                    <w:pStyle w:val="71"/>
                    <w:widowControl w:val="0"/>
                    <w:snapToGrid w:val="0"/>
                    <w:rPr>
                      <w:rFonts w:ascii="Times New Roman" w:hAnsi="Times New Roman"/>
                      <w:color w:val="auto"/>
                      <w:sz w:val="21"/>
                      <w:szCs w:val="21"/>
                    </w:rPr>
                  </w:pPr>
                  <w:r>
                    <w:rPr>
                      <w:rFonts w:ascii="Times New Roman" w:hAnsi="Times New Roman"/>
                      <w:color w:val="auto"/>
                      <w:sz w:val="21"/>
                      <w:szCs w:val="21"/>
                    </w:rPr>
                    <w:t>达标</w:t>
                  </w:r>
                </w:p>
              </w:tc>
            </w:tr>
          </w:tbl>
          <w:p>
            <w:pPr>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t>根据上表可知，各污染物平均浓度均优于《环境空气质量标准》（GB3095-2012）中二级标准限值，</w:t>
            </w:r>
            <w:r>
              <w:rPr>
                <w:rFonts w:ascii="Times New Roman" w:hAnsi="Times New Roman"/>
                <w:color w:val="auto"/>
                <w:kern w:val="0"/>
                <w:sz w:val="24"/>
              </w:rPr>
              <w:t>因此项目所在区域为达标区</w:t>
            </w:r>
            <w:r>
              <w:rPr>
                <w:rFonts w:ascii="Times New Roman" w:hAnsi="Times New Roman"/>
                <w:color w:val="auto"/>
                <w:sz w:val="24"/>
              </w:rPr>
              <w:t>。</w:t>
            </w:r>
          </w:p>
          <w:p>
            <w:pPr>
              <w:spacing w:line="360" w:lineRule="auto"/>
              <w:ind w:firstLine="480" w:firstLineChars="200"/>
              <w:jc w:val="both"/>
              <w:rPr>
                <w:rFonts w:ascii="Times New Roman" w:hAnsi="Times New Roman"/>
                <w:color w:val="auto"/>
                <w:sz w:val="24"/>
                <w:szCs w:val="20"/>
                <w:lang w:bidi="ar"/>
              </w:rPr>
            </w:pPr>
            <w:r>
              <w:rPr>
                <w:rFonts w:ascii="Times New Roman" w:hAnsi="Times New Roman"/>
                <w:color w:val="auto"/>
                <w:sz w:val="24"/>
                <w:szCs w:val="20"/>
                <w:lang w:bidi="ar"/>
              </w:rPr>
              <w:t>（2）其他污染物环境质量现状评价</w:t>
            </w:r>
          </w:p>
          <w:p>
            <w:pPr>
              <w:pStyle w:val="43"/>
              <w:spacing w:line="360" w:lineRule="auto"/>
              <w:ind w:firstLine="480" w:firstLineChars="200"/>
              <w:jc w:val="left"/>
              <w:rPr>
                <w:rFonts w:ascii="Times New Roman" w:hAnsi="Times New Roman"/>
                <w:color w:val="auto"/>
                <w:sz w:val="24"/>
                <w:szCs w:val="24"/>
              </w:rPr>
            </w:pPr>
            <w:bookmarkStart w:id="5" w:name="_Hlk67497890"/>
            <w:r>
              <w:rPr>
                <w:rFonts w:ascii="Times New Roman" w:hAnsi="Times New Roman"/>
                <w:color w:val="auto"/>
                <w:sz w:val="24"/>
                <w:szCs w:val="24"/>
              </w:rPr>
              <w:fldChar w:fldCharType="begin"/>
            </w:r>
            <w:r>
              <w:rPr>
                <w:rFonts w:ascii="Times New Roman" w:hAnsi="Times New Roman"/>
                <w:color w:val="auto"/>
                <w:sz w:val="24"/>
                <w:szCs w:val="24"/>
              </w:rPr>
              <w:instrText xml:space="preserve"> = 1 \* GB3 \* MERGEFORMAT </w:instrText>
            </w:r>
            <w:r>
              <w:rPr>
                <w:rFonts w:ascii="Times New Roman" w:hAnsi="Times New Roman"/>
                <w:color w:val="auto"/>
                <w:sz w:val="24"/>
                <w:szCs w:val="24"/>
              </w:rPr>
              <w:fldChar w:fldCharType="separate"/>
            </w:r>
            <w:r>
              <w:rPr>
                <w:rFonts w:ascii="Times New Roman" w:hAnsi="Times New Roman"/>
                <w:color w:val="auto"/>
                <w:sz w:val="24"/>
                <w:szCs w:val="24"/>
              </w:rPr>
              <w:t>①</w:t>
            </w:r>
            <w:r>
              <w:rPr>
                <w:rFonts w:ascii="Times New Roman" w:hAnsi="Times New Roman"/>
                <w:color w:val="auto"/>
                <w:sz w:val="24"/>
                <w:szCs w:val="24"/>
              </w:rPr>
              <w:fldChar w:fldCharType="end"/>
            </w:r>
            <w:r>
              <w:rPr>
                <w:rFonts w:ascii="Times New Roman" w:hAnsi="Times New Roman"/>
                <w:color w:val="auto"/>
                <w:sz w:val="24"/>
                <w:szCs w:val="24"/>
              </w:rPr>
              <w:t>监测点位与监测</w:t>
            </w:r>
            <w:r>
              <w:rPr>
                <w:rFonts w:hint="eastAsia" w:ascii="Times New Roman" w:hAnsi="Times New Roman"/>
                <w:color w:val="auto"/>
                <w:sz w:val="24"/>
                <w:szCs w:val="24"/>
              </w:rPr>
              <w:t>因子</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本项目特征监测因子为非甲烷总烃，本次布设一个监测点，监测因子为非甲烷总烃，监测单位为新疆锡水金山环境科技有限公司，监测时间为2022年2月17</w:t>
            </w:r>
            <w:r>
              <w:rPr>
                <w:rFonts w:hint="eastAsia" w:ascii="Times New Roman" w:hAnsi="Times New Roman"/>
                <w:color w:val="auto"/>
                <w:sz w:val="24"/>
              </w:rPr>
              <w:t>-</w:t>
            </w:r>
            <w:r>
              <w:rPr>
                <w:rFonts w:ascii="Times New Roman" w:hAnsi="Times New Roman"/>
                <w:color w:val="auto"/>
                <w:sz w:val="24"/>
              </w:rPr>
              <w:t>19日</w:t>
            </w:r>
            <w:r>
              <w:rPr>
                <w:rFonts w:hint="eastAsia" w:ascii="Times New Roman" w:hAnsi="Times New Roman"/>
                <w:color w:val="auto"/>
                <w:sz w:val="24"/>
              </w:rPr>
              <w:t>（见附件7）</w:t>
            </w:r>
            <w:r>
              <w:rPr>
                <w:rFonts w:ascii="Times New Roman" w:hAnsi="Times New Roman"/>
                <w:color w:val="auto"/>
                <w:sz w:val="24"/>
              </w:rPr>
              <w:t>，监测点位经纬度坐标见表3-3，具体监测点位见附图1</w:t>
            </w:r>
            <w:r>
              <w:rPr>
                <w:rFonts w:hint="eastAsia" w:ascii="Times New Roman" w:hAnsi="Times New Roman"/>
                <w:color w:val="auto"/>
                <w:sz w:val="24"/>
              </w:rPr>
              <w:t>3</w:t>
            </w:r>
            <w:r>
              <w:rPr>
                <w:rFonts w:ascii="Times New Roman" w:hAnsi="Times New Roman"/>
                <w:color w:val="auto"/>
                <w:sz w:val="24"/>
              </w:rPr>
              <w:t>。</w:t>
            </w:r>
          </w:p>
          <w:p>
            <w:pPr>
              <w:ind w:firstLine="422" w:firstLineChars="200"/>
              <w:jc w:val="center"/>
              <w:rPr>
                <w:rFonts w:ascii="Times New Roman" w:hAnsi="Times New Roman"/>
                <w:b/>
                <w:bCs/>
                <w:color w:val="auto"/>
                <w:szCs w:val="21"/>
              </w:rPr>
            </w:pPr>
            <w:r>
              <w:rPr>
                <w:rFonts w:ascii="Times New Roman" w:hAnsi="Times New Roman"/>
                <w:b/>
                <w:bCs/>
                <w:color w:val="auto"/>
                <w:szCs w:val="21"/>
              </w:rPr>
              <w:t>表3-3 非甲烷总烃监测布点一览表</w:t>
            </w:r>
          </w:p>
          <w:tbl>
            <w:tblPr>
              <w:tblStyle w:val="3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3225"/>
              <w:gridCol w:w="336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Align w:val="bottom"/>
                </w:tcPr>
                <w:p>
                  <w:pPr>
                    <w:jc w:val="center"/>
                    <w:rPr>
                      <w:rFonts w:ascii="Times New Roman" w:hAnsi="Times New Roman"/>
                      <w:color w:val="auto"/>
                      <w:szCs w:val="21"/>
                    </w:rPr>
                  </w:pPr>
                  <w:r>
                    <w:rPr>
                      <w:rFonts w:ascii="Times New Roman" w:hAnsi="Times New Roman"/>
                      <w:color w:val="auto"/>
                      <w:szCs w:val="21"/>
                    </w:rPr>
                    <w:t>监测点位</w:t>
                  </w:r>
                </w:p>
              </w:tc>
              <w:tc>
                <w:tcPr>
                  <w:tcW w:w="1947" w:type="pct"/>
                  <w:vAlign w:val="bottom"/>
                </w:tcPr>
                <w:p>
                  <w:pPr>
                    <w:jc w:val="center"/>
                    <w:rPr>
                      <w:rFonts w:ascii="Times New Roman" w:hAnsi="Times New Roman"/>
                      <w:color w:val="auto"/>
                      <w:szCs w:val="21"/>
                    </w:rPr>
                  </w:pPr>
                  <w:r>
                    <w:rPr>
                      <w:rFonts w:ascii="Times New Roman" w:hAnsi="Times New Roman"/>
                      <w:color w:val="auto"/>
                      <w:szCs w:val="21"/>
                    </w:rPr>
                    <w:t>坐标</w:t>
                  </w:r>
                </w:p>
              </w:tc>
              <w:tc>
                <w:tcPr>
                  <w:tcW w:w="2034" w:type="pct"/>
                  <w:vAlign w:val="bottom"/>
                </w:tcPr>
                <w:p>
                  <w:pPr>
                    <w:jc w:val="center"/>
                    <w:rPr>
                      <w:rFonts w:ascii="Times New Roman" w:hAnsi="Times New Roman"/>
                      <w:color w:val="auto"/>
                      <w:szCs w:val="21"/>
                    </w:rPr>
                  </w:pPr>
                  <w:r>
                    <w:rPr>
                      <w:rFonts w:ascii="Times New Roman" w:hAnsi="Times New Roman"/>
                      <w:color w:val="auto"/>
                      <w:szCs w:val="21"/>
                    </w:rPr>
                    <w:t>与本项目位置关系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8" w:type="pct"/>
                  <w:vAlign w:val="center"/>
                </w:tcPr>
                <w:p>
                  <w:pPr>
                    <w:jc w:val="center"/>
                    <w:rPr>
                      <w:rFonts w:ascii="Times New Roman" w:hAnsi="Times New Roman"/>
                      <w:b/>
                      <w:bCs/>
                      <w:color w:val="auto"/>
                      <w:szCs w:val="21"/>
                    </w:rPr>
                  </w:pPr>
                  <w:r>
                    <w:rPr>
                      <w:rFonts w:ascii="Times New Roman" w:hAnsi="Times New Roman"/>
                      <w:color w:val="auto"/>
                      <w:szCs w:val="21"/>
                    </w:rPr>
                    <w:t>G1</w:t>
                  </w:r>
                </w:p>
              </w:tc>
              <w:tc>
                <w:tcPr>
                  <w:tcW w:w="1947" w:type="pct"/>
                  <w:vAlign w:val="center"/>
                </w:tcPr>
                <w:p>
                  <w:pPr>
                    <w:jc w:val="center"/>
                    <w:rPr>
                      <w:rFonts w:ascii="Times New Roman" w:hAnsi="Times New Roman"/>
                      <w:color w:val="auto"/>
                      <w:szCs w:val="21"/>
                    </w:rPr>
                  </w:pPr>
                  <w:r>
                    <w:rPr>
                      <w:rFonts w:ascii="Times New Roman" w:hAnsi="Times New Roman"/>
                      <w:color w:val="auto"/>
                      <w:szCs w:val="21"/>
                    </w:rPr>
                    <w:t>E84°32′4.66″</w:t>
                  </w:r>
                </w:p>
                <w:p>
                  <w:pPr>
                    <w:jc w:val="center"/>
                    <w:rPr>
                      <w:rFonts w:ascii="Times New Roman" w:hAnsi="Times New Roman"/>
                      <w:b/>
                      <w:bCs/>
                      <w:color w:val="auto"/>
                      <w:szCs w:val="21"/>
                    </w:rPr>
                  </w:pPr>
                  <w:r>
                    <w:rPr>
                      <w:rFonts w:ascii="Times New Roman" w:hAnsi="Times New Roman"/>
                      <w:color w:val="auto"/>
                      <w:szCs w:val="21"/>
                    </w:rPr>
                    <w:t>N45°0′1.82″</w:t>
                  </w:r>
                </w:p>
              </w:tc>
              <w:tc>
                <w:tcPr>
                  <w:tcW w:w="2034" w:type="pct"/>
                  <w:vAlign w:val="center"/>
                </w:tcPr>
                <w:p>
                  <w:pPr>
                    <w:jc w:val="center"/>
                    <w:rPr>
                      <w:rFonts w:ascii="Times New Roman" w:hAnsi="Times New Roman"/>
                      <w:b/>
                      <w:bCs/>
                      <w:color w:val="auto"/>
                      <w:szCs w:val="21"/>
                    </w:rPr>
                  </w:pPr>
                  <w:r>
                    <w:rPr>
                      <w:rFonts w:ascii="Times New Roman" w:hAnsi="Times New Roman"/>
                      <w:color w:val="auto"/>
                      <w:szCs w:val="21"/>
                    </w:rPr>
                    <w:t>排19-7井场北侧1.5km</w:t>
                  </w:r>
                </w:p>
              </w:tc>
            </w:tr>
          </w:tbl>
          <w:p>
            <w:pPr>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2 \* GB3 \* MERGEFORMAT </w:instrText>
            </w:r>
            <w:r>
              <w:rPr>
                <w:rFonts w:ascii="Times New Roman" w:hAnsi="Times New Roman"/>
                <w:color w:val="auto"/>
                <w:sz w:val="24"/>
              </w:rPr>
              <w:fldChar w:fldCharType="separate"/>
            </w:r>
            <w:r>
              <w:rPr>
                <w:rFonts w:ascii="Times New Roman" w:hAnsi="Times New Roman"/>
                <w:color w:val="auto"/>
                <w:sz w:val="24"/>
              </w:rPr>
              <w:t>②</w:t>
            </w:r>
            <w:r>
              <w:rPr>
                <w:rFonts w:ascii="Times New Roman" w:hAnsi="Times New Roman"/>
                <w:color w:val="auto"/>
                <w:sz w:val="24"/>
              </w:rPr>
              <w:fldChar w:fldCharType="end"/>
            </w:r>
            <w:r>
              <w:rPr>
                <w:rFonts w:ascii="Times New Roman" w:hAnsi="Times New Roman"/>
                <w:color w:val="auto"/>
                <w:sz w:val="24"/>
              </w:rPr>
              <w:t>评价标准、评价方法</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非甲烷总烃评价标准参照《大气污染物综合排放标</w:t>
            </w:r>
            <w:r>
              <w:rPr>
                <w:rFonts w:ascii="Times New Roman" w:hAnsi="Times New Roman"/>
                <w:bCs/>
                <w:color w:val="auto"/>
                <w:sz w:val="24"/>
              </w:rPr>
              <w:t>准详解》中的推荐值2.0mg/m</w:t>
            </w:r>
            <w:r>
              <w:rPr>
                <w:rFonts w:ascii="Times New Roman" w:hAnsi="Times New Roman"/>
                <w:bCs/>
                <w:color w:val="auto"/>
                <w:sz w:val="24"/>
                <w:vertAlign w:val="superscript"/>
              </w:rPr>
              <w:t>3</w:t>
            </w:r>
            <w:r>
              <w:rPr>
                <w:rFonts w:ascii="Times New Roman" w:hAnsi="Times New Roman"/>
                <w:bCs/>
                <w:color w:val="auto"/>
                <w:sz w:val="24"/>
              </w:rPr>
              <w:t>，</w:t>
            </w:r>
            <w:r>
              <w:rPr>
                <w:rFonts w:ascii="Times New Roman" w:hAnsi="Times New Roman"/>
                <w:color w:val="auto"/>
                <w:sz w:val="24"/>
              </w:rPr>
              <w:t>评价方法具体如下：</w:t>
            </w:r>
          </w:p>
          <w:p>
            <w:pPr>
              <w:spacing w:line="360" w:lineRule="auto"/>
              <w:ind w:firstLine="420" w:firstLineChars="200"/>
              <w:jc w:val="center"/>
              <w:rPr>
                <w:rFonts w:ascii="Times New Roman" w:hAnsi="Times New Roman"/>
                <w:color w:val="auto"/>
                <w:kern w:val="0"/>
                <w:sz w:val="24"/>
              </w:rPr>
            </w:pPr>
            <w:r>
              <w:rPr>
                <w:rFonts w:ascii="Times New Roman" w:hAnsi="Times New Roman"/>
                <w:color w:val="auto"/>
              </w:rPr>
              <w:drawing>
                <wp:inline distT="0" distB="0" distL="0" distR="0">
                  <wp:extent cx="1009015" cy="39941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1009524" cy="400000"/>
                          </a:xfrm>
                          <a:prstGeom prst="rect">
                            <a:avLst/>
                          </a:prstGeom>
                        </pic:spPr>
                      </pic:pic>
                    </a:graphicData>
                  </a:graphic>
                </wp:inline>
              </w:drawing>
            </w:r>
          </w:p>
          <w:p>
            <w:pPr>
              <w:spacing w:line="360" w:lineRule="auto"/>
              <w:ind w:firstLine="480" w:firstLineChars="200"/>
              <w:jc w:val="both"/>
              <w:rPr>
                <w:rFonts w:ascii="Times New Roman" w:hAnsi="Times New Roman"/>
                <w:color w:val="auto"/>
                <w:spacing w:val="1"/>
                <w:kern w:val="0"/>
                <w:position w:val="-3"/>
                <w:sz w:val="24"/>
              </w:rPr>
            </w:pPr>
            <w:r>
              <w:rPr>
                <w:rFonts w:ascii="Times New Roman" w:hAnsi="Times New Roman"/>
                <w:i/>
                <w:iCs/>
                <w:color w:val="auto"/>
                <w:kern w:val="0"/>
                <w:sz w:val="24"/>
              </w:rPr>
              <w:t>P</w:t>
            </w:r>
            <w:r>
              <w:rPr>
                <w:rFonts w:ascii="Times New Roman" w:hAnsi="Times New Roman"/>
                <w:i/>
                <w:iCs/>
                <w:color w:val="auto"/>
                <w:kern w:val="0"/>
                <w:sz w:val="24"/>
                <w:vertAlign w:val="subscript"/>
              </w:rPr>
              <w:t>i</w:t>
            </w:r>
            <w:r>
              <w:rPr>
                <w:rFonts w:ascii="Times New Roman" w:hAnsi="Times New Roman"/>
                <w:color w:val="auto"/>
                <w:spacing w:val="1"/>
                <w:kern w:val="0"/>
                <w:position w:val="-3"/>
                <w:sz w:val="24"/>
              </w:rPr>
              <w:t>—第i种污染物的最大地面空气质量浓度占标率，%；</w:t>
            </w:r>
          </w:p>
          <w:p>
            <w:pPr>
              <w:spacing w:line="360" w:lineRule="auto"/>
              <w:ind w:firstLine="480" w:firstLineChars="200"/>
              <w:jc w:val="both"/>
              <w:rPr>
                <w:rFonts w:ascii="Times New Roman" w:hAnsi="Times New Roman"/>
                <w:color w:val="auto"/>
                <w:sz w:val="24"/>
              </w:rPr>
            </w:pPr>
            <w:r>
              <w:rPr>
                <w:rFonts w:ascii="Times New Roman" w:hAnsi="Times New Roman"/>
                <w:i/>
                <w:color w:val="auto"/>
                <w:sz w:val="24"/>
              </w:rPr>
              <w:t>C</w:t>
            </w:r>
            <w:r>
              <w:rPr>
                <w:rFonts w:ascii="Times New Roman" w:hAnsi="Times New Roman"/>
                <w:i/>
                <w:color w:val="auto"/>
                <w:sz w:val="24"/>
                <w:vertAlign w:val="subscript"/>
              </w:rPr>
              <w:t>i</w:t>
            </w:r>
            <w:r>
              <w:rPr>
                <w:rFonts w:ascii="Times New Roman" w:hAnsi="Times New Roman"/>
                <w:color w:val="auto"/>
                <w:sz w:val="24"/>
              </w:rPr>
              <w:t>—非甲烷总烃实测浓度，μg/m</w:t>
            </w:r>
            <w:r>
              <w:rPr>
                <w:rFonts w:ascii="Times New Roman" w:hAnsi="Times New Roman"/>
                <w:color w:val="auto"/>
                <w:sz w:val="24"/>
                <w:vertAlign w:val="superscript"/>
              </w:rPr>
              <w:t>3</w:t>
            </w:r>
            <w:r>
              <w:rPr>
                <w:rFonts w:ascii="Times New Roman" w:hAnsi="Times New Roman"/>
                <w:color w:val="auto"/>
                <w:sz w:val="24"/>
              </w:rPr>
              <w:t>；</w:t>
            </w:r>
          </w:p>
          <w:p>
            <w:pPr>
              <w:spacing w:line="360" w:lineRule="auto"/>
              <w:ind w:firstLine="480" w:firstLineChars="200"/>
              <w:jc w:val="both"/>
              <w:rPr>
                <w:rFonts w:ascii="Times New Roman" w:hAnsi="Times New Roman"/>
                <w:color w:val="auto"/>
                <w:sz w:val="24"/>
              </w:rPr>
            </w:pPr>
            <w:r>
              <w:rPr>
                <w:rFonts w:ascii="Times New Roman" w:hAnsi="Times New Roman"/>
                <w:i/>
                <w:color w:val="auto"/>
                <w:sz w:val="24"/>
              </w:rPr>
              <w:t>C</w:t>
            </w:r>
            <w:r>
              <w:rPr>
                <w:rFonts w:ascii="Times New Roman" w:hAnsi="Times New Roman"/>
                <w:i/>
                <w:color w:val="auto"/>
                <w:sz w:val="24"/>
                <w:vertAlign w:val="subscript"/>
              </w:rPr>
              <w:t>oi</w:t>
            </w:r>
            <w:r>
              <w:rPr>
                <w:rFonts w:ascii="Times New Roman" w:hAnsi="Times New Roman"/>
                <w:color w:val="auto"/>
                <w:sz w:val="24"/>
              </w:rPr>
              <w:t>—某种污染物的环境空气标准浓度，μg/m</w:t>
            </w:r>
            <w:r>
              <w:rPr>
                <w:rFonts w:ascii="Times New Roman" w:hAnsi="Times New Roman"/>
                <w:color w:val="auto"/>
                <w:sz w:val="24"/>
                <w:vertAlign w:val="superscript"/>
              </w:rPr>
              <w:t>3</w:t>
            </w:r>
            <w:r>
              <w:rPr>
                <w:rFonts w:ascii="Times New Roman" w:hAnsi="Times New Roman"/>
                <w:color w:val="auto"/>
                <w:sz w:val="24"/>
              </w:rPr>
              <w:t>。</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3 \* GB3 \* MERGEFORMAT </w:instrText>
            </w:r>
            <w:r>
              <w:rPr>
                <w:rFonts w:ascii="Times New Roman" w:hAnsi="Times New Roman"/>
                <w:color w:val="auto"/>
                <w:sz w:val="24"/>
              </w:rPr>
              <w:fldChar w:fldCharType="separate"/>
            </w:r>
            <w:r>
              <w:rPr>
                <w:rFonts w:ascii="Times New Roman" w:hAnsi="Times New Roman"/>
                <w:color w:val="auto"/>
                <w:sz w:val="24"/>
              </w:rPr>
              <w:t>③</w:t>
            </w:r>
            <w:r>
              <w:rPr>
                <w:rFonts w:ascii="Times New Roman" w:hAnsi="Times New Roman"/>
                <w:color w:val="auto"/>
                <w:sz w:val="24"/>
              </w:rPr>
              <w:fldChar w:fldCharType="end"/>
            </w:r>
            <w:r>
              <w:rPr>
                <w:rFonts w:ascii="Times New Roman" w:hAnsi="Times New Roman"/>
                <w:color w:val="auto"/>
                <w:sz w:val="24"/>
              </w:rPr>
              <w:t>评价结果</w:t>
            </w:r>
          </w:p>
          <w:p>
            <w:pPr>
              <w:spacing w:line="360" w:lineRule="auto"/>
              <w:ind w:firstLine="480" w:firstLineChars="200"/>
              <w:jc w:val="both"/>
              <w:rPr>
                <w:rFonts w:ascii="Times New Roman" w:hAnsi="Times New Roman"/>
                <w:color w:val="auto"/>
                <w:sz w:val="24"/>
                <w:lang w:bidi="ar"/>
              </w:rPr>
            </w:pPr>
            <w:r>
              <w:rPr>
                <w:rFonts w:hint="eastAsia" w:ascii="Times New Roman" w:hAnsi="Times New Roman"/>
                <w:color w:val="auto"/>
                <w:sz w:val="24"/>
              </w:rPr>
              <w:t>大气</w:t>
            </w:r>
            <w:r>
              <w:rPr>
                <w:rFonts w:ascii="Times New Roman" w:hAnsi="Times New Roman"/>
                <w:color w:val="auto"/>
                <w:sz w:val="24"/>
              </w:rPr>
              <w:t>监测</w:t>
            </w:r>
            <w:r>
              <w:rPr>
                <w:rFonts w:hint="eastAsia" w:ascii="Times New Roman" w:hAnsi="Times New Roman"/>
                <w:color w:val="auto"/>
                <w:sz w:val="24"/>
              </w:rPr>
              <w:t>及</w:t>
            </w:r>
            <w:r>
              <w:rPr>
                <w:rFonts w:ascii="Times New Roman" w:hAnsi="Times New Roman"/>
                <w:color w:val="auto"/>
                <w:sz w:val="24"/>
              </w:rPr>
              <w:t>评价结果见表</w:t>
            </w:r>
            <w:r>
              <w:rPr>
                <w:rFonts w:hint="eastAsia" w:ascii="Times New Roman" w:hAnsi="Times New Roman"/>
                <w:color w:val="auto"/>
                <w:sz w:val="24"/>
              </w:rPr>
              <w:t>3-4</w:t>
            </w:r>
            <w:r>
              <w:rPr>
                <w:rFonts w:ascii="Times New Roman" w:hAnsi="Times New Roman"/>
                <w:color w:val="auto"/>
                <w:sz w:val="24"/>
              </w:rPr>
              <w:t>。</w:t>
            </w:r>
            <w:bookmarkEnd w:id="5"/>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3-4</w:t>
            </w:r>
            <w:r>
              <w:rPr>
                <w:rFonts w:ascii="Times New Roman" w:hAnsi="Times New Roman"/>
                <w:b/>
                <w:color w:val="auto"/>
                <w:kern w:val="0"/>
                <w:szCs w:val="21"/>
              </w:rPr>
              <w:t xml:space="preserve">  大气监测</w:t>
            </w:r>
            <w:r>
              <w:rPr>
                <w:rFonts w:hint="eastAsia" w:ascii="Times New Roman" w:hAnsi="Times New Roman"/>
                <w:b/>
                <w:color w:val="auto"/>
                <w:kern w:val="0"/>
                <w:szCs w:val="21"/>
              </w:rPr>
              <w:t>及</w:t>
            </w:r>
            <w:r>
              <w:rPr>
                <w:rFonts w:ascii="Times New Roman" w:hAnsi="Times New Roman"/>
                <w:b/>
                <w:color w:val="auto"/>
                <w:kern w:val="0"/>
                <w:szCs w:val="21"/>
              </w:rPr>
              <w:t>评价结果一览表</w:t>
            </w:r>
          </w:p>
          <w:tbl>
            <w:tblPr>
              <w:tblStyle w:val="37"/>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6" w:type="dxa"/>
                <w:bottom w:w="0" w:type="dxa"/>
                <w:right w:w="6" w:type="dxa"/>
              </w:tblCellMar>
            </w:tblPr>
            <w:tblGrid>
              <w:gridCol w:w="729"/>
              <w:gridCol w:w="1170"/>
              <w:gridCol w:w="1170"/>
              <w:gridCol w:w="1170"/>
              <w:gridCol w:w="1323"/>
              <w:gridCol w:w="1170"/>
              <w:gridCol w:w="880"/>
              <w:gridCol w:w="66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 w:type="dxa"/>
                  <w:bottom w:w="0" w:type="dxa"/>
                  <w:right w:w="6" w:type="dxa"/>
                </w:tblCellMar>
              </w:tblPrEx>
              <w:trPr>
                <w:trHeight w:val="340" w:hRule="atLeast"/>
                <w:tblHeader/>
                <w:jc w:val="center"/>
              </w:trPr>
              <w:tc>
                <w:tcPr>
                  <w:tcW w:w="440"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点位</w:t>
                  </w:r>
                </w:p>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编号</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监测</w:t>
                  </w:r>
                  <w:r>
                    <w:rPr>
                      <w:rFonts w:hint="eastAsia" w:ascii="Times New Roman" w:hAnsi="Times New Roman"/>
                      <w:color w:val="auto"/>
                      <w:szCs w:val="21"/>
                    </w:rPr>
                    <w:t>项目</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平均时间</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评价标准</w:t>
                  </w:r>
                </w:p>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（m</w:t>
                  </w:r>
                  <w:r>
                    <w:rPr>
                      <w:rFonts w:ascii="Times New Roman" w:hAnsi="Times New Roman"/>
                      <w:color w:val="auto"/>
                      <w:szCs w:val="21"/>
                      <w:lang w:val="zh-CN"/>
                    </w:rPr>
                    <w:t>g/m</w:t>
                  </w:r>
                  <w:r>
                    <w:rPr>
                      <w:rFonts w:ascii="Times New Roman" w:hAnsi="Times New Roman"/>
                      <w:color w:val="auto"/>
                      <w:szCs w:val="21"/>
                      <w:vertAlign w:val="superscript"/>
                      <w:lang w:val="zh-CN"/>
                    </w:rPr>
                    <w:t>3</w:t>
                  </w:r>
                  <w:r>
                    <w:rPr>
                      <w:rFonts w:ascii="Times New Roman" w:hAnsi="Times New Roman"/>
                      <w:color w:val="auto"/>
                      <w:szCs w:val="21"/>
                    </w:rPr>
                    <w:t>）</w:t>
                  </w:r>
                </w:p>
              </w:tc>
              <w:tc>
                <w:tcPr>
                  <w:tcW w:w="798"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浓度范围</w:t>
                  </w:r>
                </w:p>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（m</w:t>
                  </w:r>
                  <w:r>
                    <w:rPr>
                      <w:rFonts w:ascii="Times New Roman" w:hAnsi="Times New Roman"/>
                      <w:color w:val="auto"/>
                      <w:szCs w:val="21"/>
                      <w:lang w:val="zh-CN"/>
                    </w:rPr>
                    <w:t>g/m</w:t>
                  </w:r>
                  <w:r>
                    <w:rPr>
                      <w:rFonts w:ascii="Times New Roman" w:hAnsi="Times New Roman"/>
                      <w:color w:val="auto"/>
                      <w:szCs w:val="21"/>
                      <w:vertAlign w:val="superscript"/>
                      <w:lang w:val="zh-CN"/>
                    </w:rPr>
                    <w:t>3</w:t>
                  </w:r>
                  <w:r>
                    <w:rPr>
                      <w:rFonts w:ascii="Times New Roman" w:hAnsi="Times New Roman"/>
                      <w:color w:val="auto"/>
                      <w:szCs w:val="21"/>
                    </w:rPr>
                    <w:t>）</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最大值占标率（%）</w:t>
                  </w:r>
                </w:p>
              </w:tc>
              <w:tc>
                <w:tcPr>
                  <w:tcW w:w="530"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超标率（%）</w:t>
                  </w:r>
                </w:p>
              </w:tc>
              <w:tc>
                <w:tcPr>
                  <w:tcW w:w="403"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达标</w:t>
                  </w:r>
                </w:p>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6" w:type="dxa"/>
                  <w:bottom w:w="0" w:type="dxa"/>
                  <w:right w:w="6" w:type="dxa"/>
                </w:tblCellMar>
              </w:tblPrEx>
              <w:trPr>
                <w:trHeight w:val="340" w:hRule="atLeast"/>
                <w:jc w:val="center"/>
              </w:trPr>
              <w:tc>
                <w:tcPr>
                  <w:tcW w:w="440"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G1</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非甲烷总烃</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1h平均</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2</w:t>
                  </w:r>
                </w:p>
              </w:tc>
              <w:tc>
                <w:tcPr>
                  <w:tcW w:w="798"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0.29~0.84</w:t>
                  </w:r>
                </w:p>
              </w:tc>
              <w:tc>
                <w:tcPr>
                  <w:tcW w:w="706"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42</w:t>
                  </w:r>
                </w:p>
              </w:tc>
              <w:tc>
                <w:tcPr>
                  <w:tcW w:w="530"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0</w:t>
                  </w:r>
                </w:p>
              </w:tc>
              <w:tc>
                <w:tcPr>
                  <w:tcW w:w="403" w:type="pct"/>
                  <w:shd w:val="clear" w:color="auto" w:fill="auto"/>
                  <w:vAlign w:val="center"/>
                </w:tcPr>
                <w:p>
                  <w:pPr>
                    <w:pStyle w:val="105"/>
                    <w:adjustRightInd w:val="0"/>
                    <w:snapToGrid w:val="0"/>
                    <w:spacing w:line="300" w:lineRule="exact"/>
                    <w:rPr>
                      <w:rFonts w:ascii="Times New Roman" w:hAnsi="Times New Roman"/>
                      <w:color w:val="auto"/>
                      <w:szCs w:val="21"/>
                    </w:rPr>
                  </w:pPr>
                  <w:r>
                    <w:rPr>
                      <w:rFonts w:ascii="Times New Roman" w:hAnsi="Times New Roman"/>
                      <w:color w:val="auto"/>
                      <w:szCs w:val="21"/>
                    </w:rPr>
                    <w:t>达标</w:t>
                  </w:r>
                </w:p>
              </w:tc>
            </w:tr>
          </w:tbl>
          <w:p>
            <w:pPr>
              <w:pStyle w:val="48"/>
              <w:spacing w:before="120" w:beforeLines="50" w:line="360" w:lineRule="auto"/>
              <w:ind w:firstLine="480"/>
              <w:jc w:val="both"/>
              <w:rPr>
                <w:rFonts w:ascii="Times New Roman" w:hAnsi="Times New Roman"/>
                <w:color w:val="auto"/>
                <w:lang w:bidi="ar"/>
              </w:rPr>
            </w:pPr>
            <w:r>
              <w:rPr>
                <w:rFonts w:ascii="Times New Roman" w:hAnsi="Times New Roman"/>
                <w:bCs/>
                <w:color w:val="auto"/>
              </w:rPr>
              <w:t>由表</w:t>
            </w:r>
            <w:r>
              <w:rPr>
                <w:rFonts w:hint="eastAsia" w:ascii="Times New Roman" w:hAnsi="Times New Roman"/>
                <w:bCs/>
                <w:color w:val="auto"/>
              </w:rPr>
              <w:t>3-4</w:t>
            </w:r>
            <w:r>
              <w:rPr>
                <w:rFonts w:ascii="Times New Roman" w:hAnsi="Times New Roman"/>
                <w:bCs/>
                <w:color w:val="auto"/>
              </w:rPr>
              <w:t>可知，项目区非甲烷总烃</w:t>
            </w:r>
            <w:r>
              <w:rPr>
                <w:rFonts w:ascii="Times New Roman" w:hAnsi="Times New Roman"/>
                <w:color w:val="auto"/>
                <w:lang w:bidi="ar"/>
              </w:rPr>
              <w:t>满足《大气污染物综合排放标</w:t>
            </w:r>
            <w:r>
              <w:rPr>
                <w:rFonts w:ascii="Times New Roman" w:hAnsi="Times New Roman"/>
                <w:bCs/>
                <w:color w:val="auto"/>
                <w:lang w:val="zh-CN" w:bidi="ar"/>
              </w:rPr>
              <w:t>准详解》中推荐值</w:t>
            </w:r>
            <w:r>
              <w:rPr>
                <w:rFonts w:ascii="Times New Roman" w:hAnsi="Times New Roman"/>
                <w:bCs/>
                <w:color w:val="auto"/>
                <w:lang w:bidi="ar"/>
              </w:rPr>
              <w:t>2.0mg/m</w:t>
            </w:r>
            <w:r>
              <w:rPr>
                <w:rFonts w:ascii="Times New Roman" w:hAnsi="Times New Roman"/>
                <w:bCs/>
                <w:color w:val="auto"/>
                <w:vertAlign w:val="superscript"/>
                <w:lang w:bidi="ar"/>
              </w:rPr>
              <w:t>3</w:t>
            </w:r>
            <w:r>
              <w:rPr>
                <w:rFonts w:ascii="Times New Roman" w:hAnsi="Times New Roman"/>
                <w:color w:val="auto"/>
                <w:lang w:bidi="ar"/>
              </w:rPr>
              <w:t>要求。</w:t>
            </w:r>
          </w:p>
          <w:p>
            <w:pPr>
              <w:pStyle w:val="48"/>
              <w:numPr>
                <w:ilvl w:val="0"/>
                <w:numId w:val="4"/>
              </w:numPr>
              <w:spacing w:line="360" w:lineRule="auto"/>
              <w:ind w:firstLine="482"/>
              <w:jc w:val="both"/>
              <w:rPr>
                <w:rFonts w:ascii="Times New Roman" w:hAnsi="Times New Roman"/>
                <w:b/>
                <w:bCs/>
                <w:color w:val="auto"/>
                <w:lang w:bidi="ar"/>
              </w:rPr>
            </w:pPr>
            <w:r>
              <w:rPr>
                <w:rFonts w:ascii="Times New Roman" w:hAnsi="Times New Roman"/>
                <w:b/>
                <w:bCs/>
                <w:color w:val="auto"/>
                <w:lang w:bidi="ar"/>
              </w:rPr>
              <w:t>声环境质量现状调查与评价</w:t>
            </w:r>
          </w:p>
          <w:p>
            <w:pPr>
              <w:numPr>
                <w:ilvl w:val="0"/>
                <w:numId w:val="5"/>
              </w:numPr>
              <w:spacing w:line="360" w:lineRule="auto"/>
              <w:ind w:firstLine="480" w:firstLineChars="200"/>
              <w:jc w:val="both"/>
              <w:rPr>
                <w:rFonts w:ascii="Times New Roman" w:hAnsi="Times New Roman"/>
                <w:color w:val="auto"/>
                <w:kern w:val="0"/>
                <w:sz w:val="24"/>
                <w:lang w:bidi="ar"/>
              </w:rPr>
            </w:pPr>
            <w:r>
              <w:rPr>
                <w:rFonts w:ascii="Times New Roman" w:hAnsi="Times New Roman"/>
                <w:color w:val="auto"/>
                <w:kern w:val="0"/>
                <w:sz w:val="24"/>
                <w:lang w:bidi="ar"/>
              </w:rPr>
              <w:t>监测点位与监测因子</w:t>
            </w:r>
          </w:p>
          <w:p>
            <w:pPr>
              <w:spacing w:line="360" w:lineRule="auto"/>
              <w:ind w:firstLine="480" w:firstLineChars="200"/>
              <w:jc w:val="both"/>
              <w:rPr>
                <w:rFonts w:ascii="Times New Roman" w:hAnsi="Times New Roman"/>
                <w:color w:val="auto"/>
              </w:rPr>
            </w:pPr>
            <w:r>
              <w:rPr>
                <w:rFonts w:ascii="Times New Roman" w:hAnsi="Times New Roman"/>
                <w:color w:val="auto"/>
                <w:kern w:val="0"/>
                <w:sz w:val="24"/>
                <w:lang w:bidi="ar"/>
              </w:rPr>
              <w:t>根据《建设项目环境影响报告表编制技术指南（污染影响类）》（试行）区域环境质量现状对声环境的监测要求为，厂界外周边50m范围内存在声环境保护目标的建设项目，应监测保护目标声环境质量现状并评价达标情况。本项目仅春99-2/春99-3井厂厂界外50m存在声环境保护目标，为了解项目区的声环境现状，本项目对123团场居民点和春99-6井场进行了声环境现状监测，</w:t>
            </w:r>
            <w:r>
              <w:rPr>
                <w:rFonts w:ascii="Times New Roman" w:hAnsi="Times New Roman"/>
                <w:color w:val="auto"/>
                <w:sz w:val="24"/>
              </w:rPr>
              <w:t>监测单位为新疆锡水金山环境科技有限公司</w:t>
            </w:r>
            <w:r>
              <w:rPr>
                <w:rFonts w:hint="eastAsia" w:ascii="Times New Roman" w:hAnsi="Times New Roman"/>
                <w:color w:val="auto"/>
                <w:sz w:val="24"/>
              </w:rPr>
              <w:t>（见附件7）</w:t>
            </w:r>
            <w:r>
              <w:rPr>
                <w:rFonts w:ascii="Times New Roman" w:hAnsi="Times New Roman"/>
                <w:color w:val="auto"/>
                <w:kern w:val="0"/>
                <w:sz w:val="24"/>
                <w:lang w:bidi="ar"/>
              </w:rPr>
              <w:t xml:space="preserve">。 </w:t>
            </w:r>
          </w:p>
          <w:p>
            <w:pPr>
              <w:pStyle w:val="43"/>
              <w:spacing w:line="360" w:lineRule="auto"/>
              <w:ind w:firstLine="480" w:firstLineChars="200"/>
              <w:jc w:val="both"/>
              <w:rPr>
                <w:rFonts w:ascii="Times New Roman" w:hAnsi="Times New Roman"/>
                <w:color w:val="auto"/>
                <w:sz w:val="24"/>
                <w:szCs w:val="24"/>
              </w:rPr>
            </w:pPr>
            <w:r>
              <w:rPr>
                <w:rFonts w:ascii="Times New Roman" w:hAnsi="Times New Roman"/>
                <w:color w:val="auto"/>
                <w:sz w:val="24"/>
                <w:szCs w:val="24"/>
              </w:rPr>
              <w:t>本次布设2个噪声监测点位，噪声监测点位置与监测</w:t>
            </w:r>
            <w:r>
              <w:rPr>
                <w:rFonts w:hint="eastAsia" w:ascii="Times New Roman" w:hAnsi="Times New Roman"/>
                <w:color w:val="auto"/>
                <w:sz w:val="24"/>
                <w:szCs w:val="24"/>
              </w:rPr>
              <w:t>项目</w:t>
            </w:r>
            <w:r>
              <w:rPr>
                <w:rFonts w:ascii="Times New Roman" w:hAnsi="Times New Roman"/>
                <w:color w:val="auto"/>
                <w:sz w:val="24"/>
                <w:szCs w:val="24"/>
              </w:rPr>
              <w:t>见表</w:t>
            </w:r>
            <w:r>
              <w:rPr>
                <w:rFonts w:hint="eastAsia" w:ascii="Times New Roman" w:hAnsi="Times New Roman"/>
                <w:color w:val="auto"/>
                <w:sz w:val="24"/>
                <w:szCs w:val="24"/>
              </w:rPr>
              <w:t>3-5</w:t>
            </w:r>
            <w:r>
              <w:rPr>
                <w:rFonts w:ascii="Times New Roman" w:hAnsi="Times New Roman"/>
                <w:color w:val="auto"/>
                <w:sz w:val="24"/>
                <w:szCs w:val="24"/>
              </w:rPr>
              <w:t>，</w:t>
            </w:r>
            <w:r>
              <w:rPr>
                <w:rFonts w:hint="eastAsia" w:ascii="Times New Roman" w:hAnsi="Times New Roman"/>
                <w:color w:val="auto"/>
                <w:sz w:val="24"/>
                <w:szCs w:val="24"/>
              </w:rPr>
              <w:t>具体</w:t>
            </w:r>
            <w:r>
              <w:rPr>
                <w:rFonts w:ascii="Times New Roman" w:hAnsi="Times New Roman"/>
                <w:color w:val="auto"/>
                <w:sz w:val="24"/>
                <w:szCs w:val="24"/>
              </w:rPr>
              <w:t>监测点位见附图1</w:t>
            </w:r>
            <w:r>
              <w:rPr>
                <w:rFonts w:hint="eastAsia" w:ascii="Times New Roman" w:hAnsi="Times New Roman"/>
                <w:color w:val="auto"/>
                <w:sz w:val="24"/>
                <w:szCs w:val="24"/>
              </w:rPr>
              <w:t>3</w:t>
            </w:r>
            <w:r>
              <w:rPr>
                <w:rFonts w:ascii="Times New Roman" w:hAnsi="Times New Roman"/>
                <w:color w:val="auto"/>
                <w:sz w:val="24"/>
                <w:szCs w:val="24"/>
              </w:rPr>
              <w:t>。</w:t>
            </w:r>
          </w:p>
          <w:p>
            <w:pPr>
              <w:pStyle w:val="43"/>
              <w:spacing w:line="240" w:lineRule="auto"/>
              <w:ind w:firstLine="422" w:firstLineChars="200"/>
              <w:rPr>
                <w:rFonts w:ascii="Times New Roman" w:hAnsi="Times New Roman"/>
                <w:color w:val="auto"/>
                <w:sz w:val="24"/>
                <w:szCs w:val="24"/>
              </w:rPr>
            </w:pPr>
            <w:r>
              <w:rPr>
                <w:rFonts w:ascii="Times New Roman" w:hAnsi="Times New Roman"/>
                <w:b/>
                <w:color w:val="auto"/>
                <w:szCs w:val="21"/>
              </w:rPr>
              <w:t>表</w:t>
            </w:r>
            <w:r>
              <w:rPr>
                <w:rFonts w:hint="eastAsia" w:ascii="Times New Roman" w:hAnsi="Times New Roman"/>
                <w:b/>
                <w:color w:val="auto"/>
                <w:szCs w:val="21"/>
              </w:rPr>
              <w:t>3-5</w:t>
            </w:r>
            <w:r>
              <w:rPr>
                <w:rFonts w:ascii="Times New Roman" w:hAnsi="Times New Roman"/>
                <w:b/>
                <w:color w:val="auto"/>
                <w:szCs w:val="21"/>
              </w:rPr>
              <w:t xml:space="preserve">  噪声监测点位置与监测项目</w:t>
            </w:r>
          </w:p>
          <w:tbl>
            <w:tblPr>
              <w:tblStyle w:val="3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467"/>
              <w:gridCol w:w="3441"/>
              <w:gridCol w:w="18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319" w:type="pct"/>
                  <w:vAlign w:val="center"/>
                </w:tcPr>
                <w:p>
                  <w:pPr>
                    <w:pStyle w:val="111"/>
                    <w:spacing w:before="24" w:after="24"/>
                    <w:ind w:left="-111" w:leftChars="-53" w:right="-90" w:rightChars="-43"/>
                    <w:rPr>
                      <w:rFonts w:ascii="Times New Roman" w:hAnsi="Times New Roman"/>
                      <w:color w:val="auto"/>
                    </w:rPr>
                  </w:pPr>
                  <w:r>
                    <w:rPr>
                      <w:rFonts w:ascii="Times New Roman" w:hAnsi="Times New Roman"/>
                      <w:color w:val="auto"/>
                    </w:rPr>
                    <w:t>序号</w:t>
                  </w:r>
                </w:p>
              </w:tc>
              <w:tc>
                <w:tcPr>
                  <w:tcW w:w="1489" w:type="pct"/>
                  <w:vAlign w:val="center"/>
                </w:tcPr>
                <w:p>
                  <w:pPr>
                    <w:pStyle w:val="111"/>
                    <w:spacing w:before="24" w:after="24"/>
                    <w:ind w:left="-111" w:leftChars="-53" w:right="-88" w:rightChars="-42"/>
                    <w:rPr>
                      <w:rFonts w:ascii="Times New Roman" w:hAnsi="Times New Roman"/>
                      <w:color w:val="auto"/>
                    </w:rPr>
                  </w:pPr>
                  <w:r>
                    <w:rPr>
                      <w:rFonts w:ascii="Times New Roman" w:hAnsi="Times New Roman"/>
                      <w:color w:val="auto"/>
                    </w:rPr>
                    <w:t>监测点位</w:t>
                  </w:r>
                </w:p>
              </w:tc>
              <w:tc>
                <w:tcPr>
                  <w:tcW w:w="2077" w:type="pct"/>
                  <w:vAlign w:val="center"/>
                </w:tcPr>
                <w:p>
                  <w:pPr>
                    <w:pStyle w:val="111"/>
                    <w:spacing w:before="24" w:after="24"/>
                    <w:ind w:left="-111" w:leftChars="-53" w:right="-88" w:rightChars="-42"/>
                    <w:rPr>
                      <w:rFonts w:ascii="Times New Roman" w:hAnsi="Times New Roman"/>
                      <w:color w:val="auto"/>
                    </w:rPr>
                  </w:pPr>
                  <w:r>
                    <w:rPr>
                      <w:rFonts w:ascii="Times New Roman" w:hAnsi="Times New Roman"/>
                      <w:color w:val="auto"/>
                    </w:rPr>
                    <w:t>地理坐标</w:t>
                  </w:r>
                </w:p>
              </w:tc>
              <w:tc>
                <w:tcPr>
                  <w:tcW w:w="1113" w:type="pct"/>
                  <w:vAlign w:val="center"/>
                </w:tcPr>
                <w:p>
                  <w:pPr>
                    <w:adjustRightInd w:val="0"/>
                    <w:snapToGrid w:val="0"/>
                    <w:spacing w:line="320" w:lineRule="exact"/>
                    <w:jc w:val="center"/>
                    <w:rPr>
                      <w:rFonts w:ascii="Times New Roman" w:hAnsi="Times New Roman"/>
                      <w:color w:val="auto"/>
                      <w:szCs w:val="21"/>
                    </w:rPr>
                  </w:pPr>
                  <w:r>
                    <w:rPr>
                      <w:rFonts w:ascii="Times New Roman" w:hAnsi="Times New Roman"/>
                      <w:color w:val="auto"/>
                      <w:szCs w:val="21"/>
                    </w:rPr>
                    <w:t>监测</w:t>
                  </w:r>
                  <w:r>
                    <w:rPr>
                      <w:rFonts w:hint="eastAsia" w:ascii="Times New Roman" w:hAnsi="Times New Roman"/>
                      <w:color w:val="auto"/>
                      <w:szCs w:val="21"/>
                    </w:rPr>
                    <w:t>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319" w:type="pct"/>
                  <w:vAlign w:val="center"/>
                </w:tcPr>
                <w:p>
                  <w:pPr>
                    <w:pStyle w:val="111"/>
                    <w:spacing w:before="24" w:after="24"/>
                    <w:ind w:left="-111" w:leftChars="-53" w:right="-88" w:rightChars="-42"/>
                    <w:rPr>
                      <w:rFonts w:ascii="Times New Roman" w:hAnsi="Times New Roman"/>
                      <w:color w:val="auto"/>
                    </w:rPr>
                  </w:pPr>
                  <w:r>
                    <w:rPr>
                      <w:rFonts w:ascii="Times New Roman" w:hAnsi="Times New Roman"/>
                      <w:color w:val="auto"/>
                    </w:rPr>
                    <w:t>1</w:t>
                  </w:r>
                </w:p>
              </w:tc>
              <w:tc>
                <w:tcPr>
                  <w:tcW w:w="1489" w:type="pct"/>
                  <w:vAlign w:val="center"/>
                </w:tcPr>
                <w:p>
                  <w:pPr>
                    <w:jc w:val="center"/>
                    <w:rPr>
                      <w:rFonts w:ascii="Times New Roman" w:hAnsi="Times New Roman"/>
                      <w:color w:val="auto"/>
                    </w:rPr>
                  </w:pPr>
                  <w:r>
                    <w:rPr>
                      <w:rFonts w:ascii="Times New Roman" w:hAnsi="Times New Roman"/>
                      <w:color w:val="auto"/>
                      <w:szCs w:val="21"/>
                    </w:rPr>
                    <w:t>123团居民点</w:t>
                  </w:r>
                </w:p>
              </w:tc>
              <w:tc>
                <w:tcPr>
                  <w:tcW w:w="2077" w:type="pct"/>
                  <w:vAlign w:val="center"/>
                </w:tcPr>
                <w:p>
                  <w:pPr>
                    <w:jc w:val="center"/>
                    <w:rPr>
                      <w:rFonts w:ascii="Times New Roman" w:hAnsi="Times New Roman"/>
                      <w:color w:val="auto"/>
                    </w:rPr>
                  </w:pPr>
                  <w:r>
                    <w:rPr>
                      <w:rFonts w:ascii="Times New Roman" w:hAnsi="Times New Roman"/>
                      <w:color w:val="auto"/>
                    </w:rPr>
                    <w:t>E84°29′17.86″</w:t>
                  </w:r>
                </w:p>
                <w:p>
                  <w:pPr>
                    <w:jc w:val="center"/>
                    <w:rPr>
                      <w:rFonts w:ascii="Times New Roman" w:hAnsi="Times New Roman"/>
                      <w:color w:val="auto"/>
                    </w:rPr>
                  </w:pPr>
                  <w:r>
                    <w:rPr>
                      <w:rFonts w:ascii="Times New Roman" w:hAnsi="Times New Roman"/>
                      <w:color w:val="auto"/>
                    </w:rPr>
                    <w:t>N44°58′3.67″</w:t>
                  </w:r>
                </w:p>
              </w:tc>
              <w:tc>
                <w:tcPr>
                  <w:tcW w:w="1113" w:type="pct"/>
                  <w:vMerge w:val="restart"/>
                  <w:vAlign w:val="center"/>
                </w:tcPr>
                <w:p>
                  <w:pPr>
                    <w:snapToGrid w:val="0"/>
                    <w:spacing w:line="320" w:lineRule="exact"/>
                    <w:ind w:firstLine="105" w:firstLineChars="50"/>
                    <w:jc w:val="center"/>
                    <w:rPr>
                      <w:rFonts w:ascii="Times New Roman" w:hAnsi="Times New Roman"/>
                      <w:color w:val="auto"/>
                      <w:szCs w:val="21"/>
                    </w:rPr>
                  </w:pPr>
                  <w:r>
                    <w:rPr>
                      <w:rFonts w:ascii="Times New Roman" w:hAnsi="Times New Roman"/>
                      <w:color w:val="auto"/>
                      <w:szCs w:val="21"/>
                    </w:rPr>
                    <w:t>昼间、夜间的等效连续A声级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19" w:type="pct"/>
                  <w:vAlign w:val="center"/>
                </w:tcPr>
                <w:p>
                  <w:pPr>
                    <w:pStyle w:val="111"/>
                    <w:spacing w:before="24" w:after="24"/>
                    <w:ind w:left="-111" w:leftChars="-53" w:right="-88" w:rightChars="-42"/>
                    <w:rPr>
                      <w:rFonts w:ascii="Times New Roman" w:hAnsi="Times New Roman"/>
                      <w:color w:val="auto"/>
                    </w:rPr>
                  </w:pPr>
                  <w:r>
                    <w:rPr>
                      <w:rFonts w:ascii="Times New Roman" w:hAnsi="Times New Roman"/>
                      <w:color w:val="auto"/>
                    </w:rPr>
                    <w:t>2</w:t>
                  </w:r>
                </w:p>
              </w:tc>
              <w:tc>
                <w:tcPr>
                  <w:tcW w:w="1489" w:type="pct"/>
                  <w:vAlign w:val="center"/>
                </w:tcPr>
                <w:p>
                  <w:pPr>
                    <w:jc w:val="center"/>
                    <w:rPr>
                      <w:rFonts w:ascii="Times New Roman" w:hAnsi="Times New Roman"/>
                      <w:color w:val="auto"/>
                    </w:rPr>
                  </w:pPr>
                  <w:r>
                    <w:rPr>
                      <w:rFonts w:ascii="Times New Roman" w:hAnsi="Times New Roman"/>
                      <w:color w:val="auto"/>
                      <w:szCs w:val="21"/>
                    </w:rPr>
                    <w:t>春99-6井场</w:t>
                  </w:r>
                </w:p>
              </w:tc>
              <w:tc>
                <w:tcPr>
                  <w:tcW w:w="2077" w:type="pct"/>
                  <w:vAlign w:val="center"/>
                </w:tcPr>
                <w:p>
                  <w:pPr>
                    <w:jc w:val="center"/>
                    <w:rPr>
                      <w:rFonts w:ascii="Times New Roman" w:hAnsi="Times New Roman"/>
                      <w:color w:val="auto"/>
                    </w:rPr>
                  </w:pPr>
                  <w:r>
                    <w:rPr>
                      <w:rFonts w:ascii="Times New Roman" w:hAnsi="Times New Roman"/>
                      <w:color w:val="auto"/>
                    </w:rPr>
                    <w:t>E84°29′49.54″</w:t>
                  </w:r>
                </w:p>
                <w:p>
                  <w:pPr>
                    <w:jc w:val="center"/>
                    <w:rPr>
                      <w:rFonts w:ascii="Times New Roman" w:hAnsi="Times New Roman"/>
                      <w:color w:val="auto"/>
                    </w:rPr>
                  </w:pPr>
                  <w:r>
                    <w:rPr>
                      <w:rFonts w:ascii="Times New Roman" w:hAnsi="Times New Roman"/>
                      <w:color w:val="auto"/>
                    </w:rPr>
                    <w:t>N44°57′48.18″</w:t>
                  </w:r>
                </w:p>
              </w:tc>
              <w:tc>
                <w:tcPr>
                  <w:tcW w:w="1113" w:type="pct"/>
                  <w:vMerge w:val="continue"/>
                  <w:vAlign w:val="center"/>
                </w:tcPr>
                <w:p>
                  <w:pPr>
                    <w:pStyle w:val="111"/>
                    <w:spacing w:before="24" w:after="24"/>
                    <w:ind w:left="-111" w:leftChars="-53" w:right="-88" w:rightChars="-42"/>
                    <w:rPr>
                      <w:rFonts w:ascii="Times New Roman" w:hAnsi="Times New Roman"/>
                      <w:color w:val="auto"/>
                    </w:rPr>
                  </w:pPr>
                </w:p>
              </w:tc>
            </w:tr>
          </w:tbl>
          <w:p>
            <w:pPr>
              <w:spacing w:before="120" w:beforeLines="50" w:line="360" w:lineRule="auto"/>
              <w:ind w:firstLine="480" w:firstLineChars="200"/>
              <w:jc w:val="both"/>
              <w:rPr>
                <w:rFonts w:ascii="Times New Roman" w:hAnsi="Times New Roman"/>
                <w:color w:val="auto"/>
              </w:rPr>
            </w:pPr>
            <w:r>
              <w:rPr>
                <w:rFonts w:ascii="Times New Roman" w:hAnsi="Times New Roman"/>
                <w:color w:val="auto"/>
                <w:kern w:val="0"/>
                <w:sz w:val="24"/>
                <w:lang w:bidi="ar"/>
              </w:rPr>
              <w:t xml:space="preserve">（2）监测时间 </w:t>
            </w:r>
          </w:p>
          <w:p>
            <w:pPr>
              <w:spacing w:line="360" w:lineRule="auto"/>
              <w:ind w:firstLine="480" w:firstLineChars="200"/>
              <w:jc w:val="both"/>
              <w:rPr>
                <w:rFonts w:ascii="Times New Roman" w:hAnsi="Times New Roman"/>
                <w:color w:val="auto"/>
              </w:rPr>
            </w:pPr>
            <w:r>
              <w:rPr>
                <w:rFonts w:ascii="Times New Roman" w:hAnsi="Times New Roman"/>
                <w:color w:val="auto"/>
                <w:kern w:val="0"/>
                <w:sz w:val="24"/>
                <w:lang w:bidi="ar"/>
              </w:rPr>
              <w:t>声环境质量现状监测时间为2022年2月18日</w:t>
            </w:r>
            <w:r>
              <w:rPr>
                <w:rFonts w:hint="eastAsia" w:ascii="Times New Roman" w:hAnsi="Times New Roman"/>
                <w:color w:val="auto"/>
                <w:kern w:val="0"/>
                <w:sz w:val="24"/>
                <w:lang w:bidi="ar"/>
              </w:rPr>
              <w:t>-</w:t>
            </w:r>
            <w:r>
              <w:rPr>
                <w:rFonts w:ascii="Times New Roman" w:hAnsi="Times New Roman"/>
                <w:color w:val="auto"/>
                <w:kern w:val="0"/>
                <w:sz w:val="24"/>
                <w:lang w:bidi="ar"/>
              </w:rPr>
              <w:t xml:space="preserve">2月19日，连续监测2天，分昼间和夜间两个时段进行。 </w:t>
            </w:r>
          </w:p>
          <w:p>
            <w:pPr>
              <w:spacing w:line="360" w:lineRule="auto"/>
              <w:ind w:firstLine="480" w:firstLineChars="200"/>
              <w:jc w:val="both"/>
              <w:rPr>
                <w:rFonts w:ascii="Times New Roman" w:hAnsi="Times New Roman"/>
                <w:color w:val="auto"/>
              </w:rPr>
            </w:pPr>
            <w:r>
              <w:rPr>
                <w:rFonts w:ascii="Times New Roman" w:hAnsi="Times New Roman"/>
                <w:color w:val="auto"/>
                <w:kern w:val="0"/>
                <w:sz w:val="24"/>
                <w:lang w:bidi="ar"/>
              </w:rPr>
              <w:t xml:space="preserve">（3）监测方法 </w:t>
            </w:r>
          </w:p>
          <w:p>
            <w:pPr>
              <w:spacing w:line="360" w:lineRule="auto"/>
              <w:ind w:firstLine="480" w:firstLineChars="200"/>
              <w:jc w:val="both"/>
              <w:rPr>
                <w:rFonts w:ascii="Times New Roman" w:hAnsi="Times New Roman"/>
                <w:color w:val="auto"/>
              </w:rPr>
            </w:pPr>
            <w:r>
              <w:rPr>
                <w:rFonts w:ascii="Times New Roman" w:hAnsi="Times New Roman"/>
                <w:color w:val="auto"/>
                <w:kern w:val="0"/>
                <w:sz w:val="24"/>
                <w:lang w:bidi="ar"/>
              </w:rPr>
              <w:t xml:space="preserve">本 次 噪 声 测 量仪器 采 用 AWA5688 多 功 能 声 级 计 ， 按 照 《 声 环 境 质 量 标 准 》（GB3096-2008）的要求进行测量。噪声测量值为 A 声级，采用等效连续 A 声级 Leq 作为评价量。 </w:t>
            </w:r>
          </w:p>
          <w:p>
            <w:pPr>
              <w:spacing w:line="360" w:lineRule="auto"/>
              <w:ind w:firstLine="480" w:firstLineChars="200"/>
              <w:jc w:val="both"/>
              <w:rPr>
                <w:rFonts w:ascii="Times New Roman" w:hAnsi="Times New Roman"/>
                <w:color w:val="auto"/>
              </w:rPr>
            </w:pPr>
            <w:r>
              <w:rPr>
                <w:rFonts w:ascii="Times New Roman" w:hAnsi="Times New Roman"/>
                <w:color w:val="auto"/>
                <w:kern w:val="0"/>
                <w:sz w:val="24"/>
                <w:lang w:bidi="ar"/>
              </w:rPr>
              <w:t xml:space="preserve">（4）评价标准 </w:t>
            </w:r>
          </w:p>
          <w:p>
            <w:pPr>
              <w:spacing w:line="360" w:lineRule="auto"/>
              <w:ind w:firstLine="480" w:firstLineChars="200"/>
              <w:jc w:val="both"/>
              <w:rPr>
                <w:rFonts w:ascii="Times New Roman" w:hAnsi="Times New Roman"/>
                <w:color w:val="auto"/>
              </w:rPr>
            </w:pPr>
            <w:r>
              <w:rPr>
                <w:rFonts w:ascii="Times New Roman" w:hAnsi="Times New Roman"/>
                <w:color w:val="auto"/>
                <w:kern w:val="0"/>
                <w:sz w:val="24"/>
                <w:lang w:bidi="ar"/>
              </w:rPr>
              <w:t xml:space="preserve">评价区声环境现状执行《声环境质量标准》（GB3096-2008）中2类标准，即昼间 60dB（A），夜间 50dB（A）。 </w:t>
            </w:r>
          </w:p>
          <w:p>
            <w:pPr>
              <w:spacing w:line="360" w:lineRule="auto"/>
              <w:ind w:firstLine="480" w:firstLineChars="200"/>
              <w:jc w:val="both"/>
              <w:rPr>
                <w:rFonts w:ascii="Times New Roman" w:hAnsi="Times New Roman"/>
                <w:color w:val="auto"/>
              </w:rPr>
            </w:pPr>
            <w:r>
              <w:rPr>
                <w:rFonts w:ascii="Times New Roman" w:hAnsi="Times New Roman"/>
                <w:color w:val="auto"/>
                <w:kern w:val="0"/>
                <w:sz w:val="24"/>
                <w:lang w:bidi="ar"/>
              </w:rPr>
              <w:t xml:space="preserve">（5）评价方法 </w:t>
            </w:r>
          </w:p>
          <w:p>
            <w:pPr>
              <w:spacing w:line="360" w:lineRule="auto"/>
              <w:ind w:firstLine="480" w:firstLineChars="200"/>
              <w:jc w:val="both"/>
              <w:rPr>
                <w:rFonts w:ascii="Times New Roman" w:hAnsi="Times New Roman"/>
                <w:color w:val="auto"/>
              </w:rPr>
            </w:pPr>
            <w:r>
              <w:rPr>
                <w:rFonts w:ascii="Times New Roman" w:hAnsi="Times New Roman"/>
                <w:color w:val="auto"/>
                <w:kern w:val="0"/>
                <w:sz w:val="24"/>
                <w:lang w:bidi="ar"/>
              </w:rPr>
              <w:t xml:space="preserve">评价方法采用直接对标法。 </w:t>
            </w:r>
          </w:p>
          <w:p>
            <w:pPr>
              <w:spacing w:line="360" w:lineRule="auto"/>
              <w:ind w:firstLine="480" w:firstLineChars="200"/>
              <w:jc w:val="both"/>
              <w:rPr>
                <w:rFonts w:ascii="Times New Roman" w:hAnsi="Times New Roman"/>
                <w:color w:val="auto"/>
              </w:rPr>
            </w:pPr>
            <w:r>
              <w:rPr>
                <w:rFonts w:ascii="Times New Roman" w:hAnsi="Times New Roman"/>
                <w:color w:val="auto"/>
                <w:kern w:val="0"/>
                <w:sz w:val="24"/>
                <w:lang w:bidi="ar"/>
              </w:rPr>
              <w:t xml:space="preserve">（6）监测及评价结果 </w:t>
            </w:r>
          </w:p>
          <w:p>
            <w:pPr>
              <w:spacing w:line="360" w:lineRule="auto"/>
              <w:ind w:firstLine="480" w:firstLineChars="200"/>
              <w:jc w:val="both"/>
              <w:rPr>
                <w:rFonts w:ascii="Times New Roman" w:hAnsi="Times New Roman"/>
                <w:color w:val="auto"/>
                <w:kern w:val="0"/>
                <w:sz w:val="24"/>
                <w:lang w:bidi="ar"/>
              </w:rPr>
            </w:pPr>
            <w:r>
              <w:rPr>
                <w:rFonts w:ascii="Times New Roman" w:hAnsi="Times New Roman"/>
                <w:color w:val="auto"/>
                <w:kern w:val="0"/>
                <w:sz w:val="24"/>
                <w:lang w:bidi="ar"/>
              </w:rPr>
              <w:t>声环境现状监测及评价结果表见表</w:t>
            </w:r>
            <w:r>
              <w:rPr>
                <w:rFonts w:hint="eastAsia" w:ascii="Times New Roman" w:hAnsi="Times New Roman"/>
                <w:color w:val="auto"/>
                <w:kern w:val="0"/>
                <w:sz w:val="24"/>
                <w:lang w:bidi="ar"/>
              </w:rPr>
              <w:t>3-6</w:t>
            </w:r>
            <w:r>
              <w:rPr>
                <w:rFonts w:ascii="Times New Roman" w:hAnsi="Times New Roman"/>
                <w:color w:val="auto"/>
                <w:kern w:val="0"/>
                <w:sz w:val="24"/>
                <w:lang w:bidi="ar"/>
              </w:rPr>
              <w:t>。</w:t>
            </w:r>
          </w:p>
          <w:p>
            <w:pPr>
              <w:ind w:firstLine="422" w:firstLineChars="200"/>
              <w:jc w:val="center"/>
              <w:rPr>
                <w:rFonts w:ascii="Times New Roman" w:hAnsi="Times New Roman"/>
                <w:b/>
                <w:bCs/>
                <w:color w:val="auto"/>
                <w:kern w:val="0"/>
                <w:szCs w:val="21"/>
                <w:lang w:bidi="ar"/>
              </w:rPr>
            </w:pPr>
            <w:r>
              <w:rPr>
                <w:rFonts w:ascii="Times New Roman" w:hAnsi="Times New Roman"/>
                <w:b/>
                <w:bCs/>
                <w:color w:val="auto"/>
                <w:kern w:val="0"/>
                <w:szCs w:val="21"/>
                <w:lang w:bidi="ar"/>
              </w:rPr>
              <w:t>表</w:t>
            </w:r>
            <w:r>
              <w:rPr>
                <w:rFonts w:hint="eastAsia" w:ascii="Times New Roman" w:hAnsi="Times New Roman"/>
                <w:b/>
                <w:bCs/>
                <w:color w:val="auto"/>
                <w:kern w:val="0"/>
                <w:szCs w:val="21"/>
                <w:lang w:bidi="ar"/>
              </w:rPr>
              <w:t>3-6</w:t>
            </w:r>
            <w:r>
              <w:rPr>
                <w:rFonts w:ascii="Times New Roman" w:hAnsi="Times New Roman"/>
                <w:b/>
                <w:bCs/>
                <w:color w:val="auto"/>
                <w:kern w:val="0"/>
                <w:szCs w:val="21"/>
                <w:lang w:bidi="ar"/>
              </w:rPr>
              <w:t xml:space="preserve"> 声环境现状监测</w:t>
            </w:r>
            <w:r>
              <w:rPr>
                <w:rFonts w:hint="eastAsia" w:ascii="Times New Roman" w:hAnsi="Times New Roman"/>
                <w:b/>
                <w:bCs/>
                <w:color w:val="auto"/>
                <w:kern w:val="0"/>
                <w:szCs w:val="21"/>
                <w:lang w:bidi="ar"/>
              </w:rPr>
              <w:t>及评价</w:t>
            </w:r>
            <w:r>
              <w:rPr>
                <w:rFonts w:ascii="Times New Roman" w:hAnsi="Times New Roman"/>
                <w:b/>
                <w:bCs/>
                <w:color w:val="auto"/>
                <w:kern w:val="0"/>
                <w:szCs w:val="21"/>
                <w:lang w:bidi="ar"/>
              </w:rPr>
              <w:t>结果表</w:t>
            </w:r>
          </w:p>
          <w:tbl>
            <w:tblPr>
              <w:tblStyle w:val="3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625"/>
              <w:gridCol w:w="1809"/>
              <w:gridCol w:w="1261"/>
              <w:gridCol w:w="885"/>
              <w:gridCol w:w="1193"/>
              <w:gridCol w:w="9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312" w:type="pct"/>
                  <w:vMerge w:val="restar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编号</w:t>
                  </w:r>
                </w:p>
              </w:tc>
              <w:tc>
                <w:tcPr>
                  <w:tcW w:w="981" w:type="pct"/>
                  <w:vMerge w:val="restar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测试点位</w:t>
                  </w:r>
                </w:p>
              </w:tc>
              <w:tc>
                <w:tcPr>
                  <w:tcW w:w="1092" w:type="pct"/>
                  <w:vMerge w:val="restart"/>
                  <w:tcBorders>
                    <w:left w:val="single" w:color="auto" w:sz="2" w:space="0"/>
                  </w:tcBorders>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监测时间</w:t>
                  </w:r>
                </w:p>
              </w:tc>
              <w:tc>
                <w:tcPr>
                  <w:tcW w:w="1295" w:type="pct"/>
                  <w:gridSpan w:val="2"/>
                  <w:tcBorders>
                    <w:left w:val="single" w:color="auto" w:sz="2" w:space="0"/>
                  </w:tcBorders>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昼间</w:t>
                  </w:r>
                </w:p>
              </w:tc>
              <w:tc>
                <w:tcPr>
                  <w:tcW w:w="1315" w:type="pct"/>
                  <w:gridSpan w:val="2"/>
                  <w:tcBorders>
                    <w:left w:val="single" w:color="auto" w:sz="2" w:space="0"/>
                  </w:tcBorders>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312" w:type="pct"/>
                  <w:vMerge w:val="continue"/>
                  <w:vAlign w:val="center"/>
                </w:tcPr>
                <w:p>
                  <w:pPr>
                    <w:adjustRightInd w:val="0"/>
                    <w:snapToGrid w:val="0"/>
                    <w:spacing w:line="240" w:lineRule="exact"/>
                    <w:jc w:val="center"/>
                    <w:rPr>
                      <w:rFonts w:ascii="Times New Roman" w:hAnsi="Times New Roman"/>
                      <w:bCs/>
                      <w:color w:val="auto"/>
                      <w:szCs w:val="21"/>
                    </w:rPr>
                  </w:pPr>
                </w:p>
              </w:tc>
              <w:tc>
                <w:tcPr>
                  <w:tcW w:w="981" w:type="pct"/>
                  <w:vMerge w:val="continue"/>
                  <w:vAlign w:val="center"/>
                </w:tcPr>
                <w:p>
                  <w:pPr>
                    <w:adjustRightInd w:val="0"/>
                    <w:snapToGrid w:val="0"/>
                    <w:spacing w:line="240" w:lineRule="exact"/>
                    <w:jc w:val="center"/>
                    <w:rPr>
                      <w:rFonts w:ascii="Times New Roman" w:hAnsi="Times New Roman"/>
                      <w:bCs/>
                      <w:color w:val="auto"/>
                      <w:szCs w:val="21"/>
                    </w:rPr>
                  </w:pPr>
                </w:p>
              </w:tc>
              <w:tc>
                <w:tcPr>
                  <w:tcW w:w="1092" w:type="pct"/>
                  <w:vMerge w:val="continue"/>
                  <w:tcBorders>
                    <w:left w:val="single" w:color="auto" w:sz="2" w:space="0"/>
                  </w:tcBorders>
                  <w:vAlign w:val="center"/>
                </w:tcPr>
                <w:p>
                  <w:pPr>
                    <w:adjustRightInd w:val="0"/>
                    <w:snapToGrid w:val="0"/>
                    <w:spacing w:line="240" w:lineRule="exact"/>
                    <w:jc w:val="center"/>
                    <w:rPr>
                      <w:rFonts w:ascii="Times New Roman" w:hAnsi="Times New Roman"/>
                      <w:bCs/>
                      <w:color w:val="auto"/>
                      <w:szCs w:val="21"/>
                    </w:rPr>
                  </w:pPr>
                </w:p>
              </w:tc>
              <w:tc>
                <w:tcPr>
                  <w:tcW w:w="761" w:type="pct"/>
                  <w:tcBorders>
                    <w:left w:val="single" w:color="auto" w:sz="2" w:space="0"/>
                  </w:tcBorders>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测量值Leq(dB）</w:t>
                  </w:r>
                </w:p>
              </w:tc>
              <w:tc>
                <w:tcPr>
                  <w:tcW w:w="533"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评价结果</w:t>
                  </w:r>
                </w:p>
              </w:tc>
              <w:tc>
                <w:tcPr>
                  <w:tcW w:w="720"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测量值Leq(dB）</w:t>
                  </w:r>
                </w:p>
              </w:tc>
              <w:tc>
                <w:tcPr>
                  <w:tcW w:w="598"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评价</w:t>
                  </w:r>
                </w:p>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2" w:type="pct"/>
                  <w:vMerge w:val="restar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color w:val="auto"/>
                      <w:szCs w:val="21"/>
                    </w:rPr>
                    <w:t>1#</w:t>
                  </w:r>
                </w:p>
              </w:tc>
              <w:tc>
                <w:tcPr>
                  <w:tcW w:w="981" w:type="pct"/>
                  <w:vMerge w:val="restar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123团场居民点</w:t>
                  </w:r>
                </w:p>
              </w:tc>
              <w:tc>
                <w:tcPr>
                  <w:tcW w:w="1092"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2022年2月18日</w:t>
                  </w:r>
                </w:p>
              </w:tc>
              <w:tc>
                <w:tcPr>
                  <w:tcW w:w="761"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42</w:t>
                  </w:r>
                </w:p>
              </w:tc>
              <w:tc>
                <w:tcPr>
                  <w:tcW w:w="533"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达标</w:t>
                  </w:r>
                </w:p>
              </w:tc>
              <w:tc>
                <w:tcPr>
                  <w:tcW w:w="720"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39</w:t>
                  </w:r>
                </w:p>
              </w:tc>
              <w:tc>
                <w:tcPr>
                  <w:tcW w:w="598" w:type="pct"/>
                  <w:vAlign w:val="center"/>
                </w:tcPr>
                <w:p>
                  <w:pPr>
                    <w:jc w:val="center"/>
                    <w:rPr>
                      <w:rFonts w:ascii="Times New Roman" w:hAnsi="Times New Roman"/>
                      <w:color w:val="auto"/>
                    </w:rPr>
                  </w:pPr>
                  <w:r>
                    <w:rPr>
                      <w:rFonts w:ascii="Times New Roman" w:hAnsi="Times New Roman"/>
                      <w:bCs/>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2" w:type="pct"/>
                  <w:vMerge w:val="continue"/>
                  <w:vAlign w:val="center"/>
                </w:tcPr>
                <w:p>
                  <w:pPr>
                    <w:adjustRightInd w:val="0"/>
                    <w:snapToGrid w:val="0"/>
                    <w:spacing w:line="240" w:lineRule="exact"/>
                    <w:jc w:val="center"/>
                    <w:rPr>
                      <w:rFonts w:ascii="Times New Roman" w:hAnsi="Times New Roman"/>
                      <w:bCs/>
                      <w:color w:val="auto"/>
                      <w:szCs w:val="21"/>
                    </w:rPr>
                  </w:pPr>
                </w:p>
              </w:tc>
              <w:tc>
                <w:tcPr>
                  <w:tcW w:w="981" w:type="pct"/>
                  <w:vMerge w:val="continue"/>
                  <w:vAlign w:val="center"/>
                </w:tcPr>
                <w:p>
                  <w:pPr>
                    <w:adjustRightInd w:val="0"/>
                    <w:snapToGrid w:val="0"/>
                    <w:spacing w:line="240" w:lineRule="exact"/>
                    <w:jc w:val="center"/>
                    <w:rPr>
                      <w:rFonts w:ascii="Times New Roman" w:hAnsi="Times New Roman"/>
                      <w:bCs/>
                      <w:color w:val="auto"/>
                      <w:szCs w:val="21"/>
                    </w:rPr>
                  </w:pPr>
                </w:p>
              </w:tc>
              <w:tc>
                <w:tcPr>
                  <w:tcW w:w="1092"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2022年2月19日</w:t>
                  </w:r>
                </w:p>
              </w:tc>
              <w:tc>
                <w:tcPr>
                  <w:tcW w:w="761" w:type="pc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41</w:t>
                  </w:r>
                </w:p>
              </w:tc>
              <w:tc>
                <w:tcPr>
                  <w:tcW w:w="533" w:type="pct"/>
                  <w:vAlign w:val="center"/>
                </w:tcPr>
                <w:p>
                  <w:pPr>
                    <w:jc w:val="center"/>
                    <w:rPr>
                      <w:rFonts w:ascii="Times New Roman" w:hAnsi="Times New Roman"/>
                      <w:color w:val="auto"/>
                    </w:rPr>
                  </w:pPr>
                  <w:r>
                    <w:rPr>
                      <w:rFonts w:ascii="Times New Roman" w:hAnsi="Times New Roman"/>
                      <w:bCs/>
                      <w:color w:val="auto"/>
                      <w:szCs w:val="21"/>
                    </w:rPr>
                    <w:t>达标</w:t>
                  </w:r>
                </w:p>
              </w:tc>
              <w:tc>
                <w:tcPr>
                  <w:tcW w:w="720"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39</w:t>
                  </w:r>
                </w:p>
              </w:tc>
              <w:tc>
                <w:tcPr>
                  <w:tcW w:w="598" w:type="pct"/>
                  <w:vAlign w:val="center"/>
                </w:tcPr>
                <w:p>
                  <w:pPr>
                    <w:jc w:val="center"/>
                    <w:rPr>
                      <w:rFonts w:ascii="Times New Roman" w:hAnsi="Times New Roman"/>
                      <w:color w:val="auto"/>
                    </w:rPr>
                  </w:pPr>
                  <w:r>
                    <w:rPr>
                      <w:rFonts w:ascii="Times New Roman" w:hAnsi="Times New Roman"/>
                      <w:bCs/>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2" w:type="pct"/>
                  <w:vMerge w:val="restar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color w:val="auto"/>
                      <w:szCs w:val="21"/>
                    </w:rPr>
                    <w:t>2#</w:t>
                  </w:r>
                </w:p>
              </w:tc>
              <w:tc>
                <w:tcPr>
                  <w:tcW w:w="981" w:type="pct"/>
                  <w:vMerge w:val="restar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春99-6井场</w:t>
                  </w:r>
                </w:p>
              </w:tc>
              <w:tc>
                <w:tcPr>
                  <w:tcW w:w="1092"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2022年2月1</w:t>
                  </w:r>
                  <w:r>
                    <w:rPr>
                      <w:rFonts w:hint="eastAsia" w:ascii="Times New Roman" w:hAnsi="Times New Roman"/>
                      <w:bCs/>
                      <w:color w:val="auto"/>
                      <w:szCs w:val="21"/>
                    </w:rPr>
                    <w:t>8</w:t>
                  </w:r>
                  <w:r>
                    <w:rPr>
                      <w:rFonts w:ascii="Times New Roman" w:hAnsi="Times New Roman"/>
                      <w:bCs/>
                      <w:color w:val="auto"/>
                      <w:szCs w:val="21"/>
                    </w:rPr>
                    <w:t>日</w:t>
                  </w:r>
                </w:p>
              </w:tc>
              <w:tc>
                <w:tcPr>
                  <w:tcW w:w="761" w:type="pct"/>
                  <w:vAlign w:val="center"/>
                </w:tcPr>
                <w:p>
                  <w:pPr>
                    <w:adjustRightInd w:val="0"/>
                    <w:snapToGrid w:val="0"/>
                    <w:spacing w:line="240" w:lineRule="exact"/>
                    <w:jc w:val="center"/>
                    <w:rPr>
                      <w:rFonts w:ascii="Times New Roman" w:hAnsi="Times New Roman"/>
                      <w:bCs/>
                      <w:color w:val="auto"/>
                      <w:szCs w:val="21"/>
                    </w:rPr>
                  </w:pPr>
                  <w:r>
                    <w:rPr>
                      <w:rFonts w:hint="eastAsia" w:ascii="Times New Roman" w:hAnsi="Times New Roman"/>
                      <w:bCs/>
                      <w:color w:val="auto"/>
                      <w:szCs w:val="21"/>
                    </w:rPr>
                    <w:t>43</w:t>
                  </w:r>
                </w:p>
              </w:tc>
              <w:tc>
                <w:tcPr>
                  <w:tcW w:w="533" w:type="pct"/>
                  <w:vAlign w:val="center"/>
                </w:tcPr>
                <w:p>
                  <w:pPr>
                    <w:jc w:val="center"/>
                    <w:rPr>
                      <w:rFonts w:ascii="Times New Roman" w:hAnsi="Times New Roman"/>
                      <w:color w:val="auto"/>
                    </w:rPr>
                  </w:pPr>
                  <w:r>
                    <w:rPr>
                      <w:rFonts w:ascii="Times New Roman" w:hAnsi="Times New Roman"/>
                      <w:bCs/>
                      <w:color w:val="auto"/>
                      <w:szCs w:val="21"/>
                    </w:rPr>
                    <w:t>达标</w:t>
                  </w:r>
                </w:p>
              </w:tc>
              <w:tc>
                <w:tcPr>
                  <w:tcW w:w="720"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39</w:t>
                  </w:r>
                </w:p>
              </w:tc>
              <w:tc>
                <w:tcPr>
                  <w:tcW w:w="598" w:type="pct"/>
                  <w:vAlign w:val="center"/>
                </w:tcPr>
                <w:p>
                  <w:pPr>
                    <w:jc w:val="center"/>
                    <w:rPr>
                      <w:rFonts w:ascii="Times New Roman" w:hAnsi="Times New Roman"/>
                      <w:color w:val="auto"/>
                    </w:rPr>
                  </w:pPr>
                  <w:r>
                    <w:rPr>
                      <w:rFonts w:ascii="Times New Roman" w:hAnsi="Times New Roman"/>
                      <w:bCs/>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2" w:type="pct"/>
                  <w:vMerge w:val="continue"/>
                  <w:vAlign w:val="center"/>
                </w:tcPr>
                <w:p>
                  <w:pPr>
                    <w:adjustRightInd w:val="0"/>
                    <w:snapToGrid w:val="0"/>
                    <w:spacing w:line="240" w:lineRule="exact"/>
                    <w:jc w:val="center"/>
                    <w:rPr>
                      <w:rFonts w:ascii="Times New Roman" w:hAnsi="Times New Roman"/>
                      <w:color w:val="auto"/>
                      <w:szCs w:val="21"/>
                    </w:rPr>
                  </w:pPr>
                </w:p>
              </w:tc>
              <w:tc>
                <w:tcPr>
                  <w:tcW w:w="981" w:type="pct"/>
                  <w:vMerge w:val="continue"/>
                  <w:vAlign w:val="center"/>
                </w:tcPr>
                <w:p>
                  <w:pPr>
                    <w:adjustRightInd w:val="0"/>
                    <w:snapToGrid w:val="0"/>
                    <w:spacing w:line="240" w:lineRule="exact"/>
                    <w:jc w:val="center"/>
                    <w:rPr>
                      <w:rFonts w:ascii="Times New Roman" w:hAnsi="Times New Roman"/>
                      <w:bCs/>
                      <w:color w:val="auto"/>
                      <w:szCs w:val="21"/>
                    </w:rPr>
                  </w:pPr>
                </w:p>
              </w:tc>
              <w:tc>
                <w:tcPr>
                  <w:tcW w:w="1092"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2022年2月19日</w:t>
                  </w:r>
                </w:p>
              </w:tc>
              <w:tc>
                <w:tcPr>
                  <w:tcW w:w="761"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43</w:t>
                  </w:r>
                </w:p>
              </w:tc>
              <w:tc>
                <w:tcPr>
                  <w:tcW w:w="533"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c>
                <w:tcPr>
                  <w:tcW w:w="720" w:type="pct"/>
                  <w:vAlign w:val="center"/>
                </w:tcPr>
                <w:p>
                  <w:pPr>
                    <w:adjustRightInd w:val="0"/>
                    <w:snapToGrid w:val="0"/>
                    <w:spacing w:line="240" w:lineRule="exact"/>
                    <w:jc w:val="center"/>
                    <w:rPr>
                      <w:rFonts w:ascii="Times New Roman" w:hAnsi="Times New Roman"/>
                      <w:bCs/>
                      <w:color w:val="auto"/>
                      <w:szCs w:val="21"/>
                    </w:rPr>
                  </w:pPr>
                  <w:r>
                    <w:rPr>
                      <w:rFonts w:ascii="Times New Roman" w:hAnsi="Times New Roman"/>
                      <w:bCs/>
                      <w:color w:val="auto"/>
                      <w:szCs w:val="21"/>
                    </w:rPr>
                    <w:t>39</w:t>
                  </w:r>
                </w:p>
              </w:tc>
              <w:tc>
                <w:tcPr>
                  <w:tcW w:w="598"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bl>
          <w:p>
            <w:pPr>
              <w:spacing w:before="120" w:beforeLines="50" w:line="360" w:lineRule="auto"/>
              <w:ind w:firstLine="480" w:firstLineChars="200"/>
              <w:jc w:val="both"/>
              <w:rPr>
                <w:rFonts w:ascii="Times New Roman" w:hAnsi="Times New Roman"/>
                <w:color w:val="auto"/>
                <w:highlight w:val="yellow"/>
              </w:rPr>
            </w:pPr>
            <w:r>
              <w:rPr>
                <w:rFonts w:ascii="Times New Roman" w:hAnsi="Times New Roman"/>
                <w:color w:val="auto"/>
                <w:kern w:val="0"/>
                <w:sz w:val="24"/>
                <w:lang w:bidi="ar"/>
              </w:rPr>
              <w:t>从表 3-</w:t>
            </w:r>
            <w:r>
              <w:rPr>
                <w:rFonts w:hint="eastAsia" w:ascii="Times New Roman" w:hAnsi="Times New Roman"/>
                <w:color w:val="auto"/>
                <w:kern w:val="0"/>
                <w:sz w:val="24"/>
                <w:lang w:bidi="ar"/>
              </w:rPr>
              <w:t>6</w:t>
            </w:r>
            <w:r>
              <w:rPr>
                <w:rFonts w:ascii="Times New Roman" w:hAnsi="Times New Roman"/>
                <w:color w:val="auto"/>
                <w:kern w:val="0"/>
                <w:sz w:val="24"/>
                <w:lang w:bidi="ar"/>
              </w:rPr>
              <w:t>可以看出，各监测点位噪声值均未超出标准值，声环境现状满足满足《声环境质量标准》（GB3096-2008）中 2 类标准要求。</w:t>
            </w:r>
          </w:p>
          <w:p>
            <w:pPr>
              <w:pStyle w:val="48"/>
              <w:adjustRightInd w:val="0"/>
              <w:snapToGrid w:val="0"/>
              <w:spacing w:line="360" w:lineRule="auto"/>
              <w:ind w:firstLine="480"/>
              <w:jc w:val="both"/>
              <w:rPr>
                <w:rFonts w:ascii="Times New Roman" w:hAnsi="Times New Roman"/>
                <w:b/>
                <w:color w:val="auto"/>
              </w:rPr>
            </w:pPr>
            <w:r>
              <w:rPr>
                <w:rFonts w:ascii="Times New Roman" w:hAnsi="Times New Roman"/>
                <w:color w:val="auto"/>
                <w:lang w:bidi="ar"/>
              </w:rPr>
              <w:t>6</w:t>
            </w:r>
            <w:r>
              <w:rPr>
                <w:rFonts w:ascii="Times New Roman" w:hAnsi="Times New Roman"/>
                <w:b/>
                <w:color w:val="auto"/>
              </w:rPr>
              <w:t>．地表水</w:t>
            </w:r>
            <w:r>
              <w:rPr>
                <w:rStyle w:val="42"/>
                <w:rFonts w:ascii="Times New Roman" w:hAnsi="Times New Roman"/>
                <w:b/>
                <w:bCs/>
                <w:color w:val="auto"/>
                <w:kern w:val="0"/>
                <w:sz w:val="24"/>
              </w:rPr>
              <w:t>质量</w:t>
            </w:r>
            <w:r>
              <w:rPr>
                <w:rFonts w:ascii="Times New Roman" w:hAnsi="Times New Roman"/>
                <w:b/>
                <w:bCs/>
                <w:color w:val="auto"/>
              </w:rPr>
              <w:t>现</w:t>
            </w:r>
            <w:r>
              <w:rPr>
                <w:rFonts w:ascii="Times New Roman" w:hAnsi="Times New Roman"/>
                <w:b/>
                <w:color w:val="auto"/>
              </w:rPr>
              <w:t>状调查与评价</w:t>
            </w:r>
          </w:p>
          <w:p>
            <w:pPr>
              <w:pStyle w:val="48"/>
              <w:adjustRightInd w:val="0"/>
              <w:snapToGrid w:val="0"/>
              <w:spacing w:line="360" w:lineRule="auto"/>
              <w:ind w:firstLine="480"/>
              <w:jc w:val="both"/>
              <w:rPr>
                <w:rFonts w:ascii="Times New Roman" w:hAnsi="Times New Roman"/>
                <w:b/>
                <w:color w:val="auto"/>
              </w:rPr>
            </w:pPr>
            <w:r>
              <w:rPr>
                <w:rFonts w:ascii="Times New Roman" w:hAnsi="Times New Roman"/>
                <w:color w:val="auto"/>
              </w:rPr>
              <w:t>本项目评价范围内无地表水体，</w:t>
            </w:r>
            <w:r>
              <w:rPr>
                <w:rFonts w:hint="eastAsia" w:ascii="Times New Roman" w:hAnsi="Times New Roman"/>
                <w:color w:val="auto"/>
              </w:rPr>
              <w:t>集输管线和井场道路均不跨越水体，</w:t>
            </w:r>
            <w:r>
              <w:rPr>
                <w:rFonts w:ascii="Times New Roman" w:hAnsi="Times New Roman"/>
                <w:color w:val="auto"/>
              </w:rPr>
              <w:t>项目运营后无废水外排，与地表水体无水力联系，根据《环境影响评价技术导则 地表水环境》（HJ 2.3-2018），本项目不需对地表水环境进行评价。</w:t>
            </w:r>
          </w:p>
          <w:p>
            <w:pPr>
              <w:pStyle w:val="48"/>
              <w:adjustRightInd w:val="0"/>
              <w:snapToGrid w:val="0"/>
              <w:spacing w:line="360" w:lineRule="auto"/>
              <w:ind w:firstLine="482"/>
              <w:jc w:val="both"/>
              <w:rPr>
                <w:rFonts w:ascii="Times New Roman" w:hAnsi="Times New Roman"/>
                <w:b/>
                <w:color w:val="auto"/>
              </w:rPr>
            </w:pPr>
            <w:r>
              <w:rPr>
                <w:rFonts w:ascii="Times New Roman" w:hAnsi="Times New Roman"/>
                <w:b/>
                <w:color w:val="auto"/>
              </w:rPr>
              <w:t>7．地下水</w:t>
            </w:r>
            <w:r>
              <w:rPr>
                <w:rStyle w:val="42"/>
                <w:rFonts w:ascii="Times New Roman" w:hAnsi="Times New Roman"/>
                <w:b/>
                <w:bCs/>
                <w:color w:val="auto"/>
                <w:kern w:val="0"/>
                <w:sz w:val="24"/>
              </w:rPr>
              <w:t>质量</w:t>
            </w:r>
            <w:r>
              <w:rPr>
                <w:rFonts w:ascii="Times New Roman" w:hAnsi="Times New Roman"/>
                <w:b/>
                <w:bCs/>
                <w:color w:val="auto"/>
              </w:rPr>
              <w:t>现</w:t>
            </w:r>
            <w:r>
              <w:rPr>
                <w:rFonts w:ascii="Times New Roman" w:hAnsi="Times New Roman"/>
                <w:b/>
                <w:color w:val="auto"/>
              </w:rPr>
              <w:t>状调查与评价</w:t>
            </w:r>
          </w:p>
          <w:p>
            <w:pPr>
              <w:pStyle w:val="48"/>
              <w:adjustRightInd w:val="0"/>
              <w:snapToGrid w:val="0"/>
              <w:spacing w:line="360" w:lineRule="auto"/>
              <w:ind w:firstLine="480"/>
              <w:jc w:val="both"/>
              <w:rPr>
                <w:rStyle w:val="73"/>
                <w:rFonts w:ascii="Times New Roman" w:hAnsi="Times New Roman"/>
                <w:bCs/>
                <w:color w:val="auto"/>
                <w:szCs w:val="24"/>
              </w:rPr>
            </w:pPr>
            <w:bookmarkStart w:id="6" w:name="OLE_LINK148"/>
            <w:bookmarkStart w:id="7" w:name="OLE_LINK149"/>
            <w:r>
              <w:rPr>
                <w:rStyle w:val="73"/>
                <w:rFonts w:ascii="Times New Roman" w:hAnsi="Times New Roman"/>
                <w:color w:val="auto"/>
              </w:rPr>
              <w:t>项目区地下水属于《地下水质量标准》（GB/T14848-2017）中III类水体，地下水具体的监测因子、评价标准、评价方法及结果详见地下水环境影响评价专项报告。</w:t>
            </w:r>
            <w:bookmarkEnd w:id="6"/>
            <w:bookmarkEnd w:id="7"/>
            <w:r>
              <w:rPr>
                <w:rFonts w:hint="eastAsia"/>
                <w:color w:val="auto"/>
              </w:rPr>
              <w:t>项目所在区域地下水水质天然背景值较高，地下水引用点中总硬度、氯化物、溶解性总固体、氟化物、硫酸盐和钠均有不同程度超标，其余监测点各监测因子均能够满</w:t>
            </w:r>
            <w:r>
              <w:rPr>
                <w:rFonts w:ascii="Times New Roman" w:hAnsi="Times New Roman"/>
                <w:color w:val="auto"/>
              </w:rPr>
              <w:t>足《地下水质量标准》（</w:t>
            </w:r>
            <w:r>
              <w:rPr>
                <w:rFonts w:ascii="Times New Roman" w:hAnsi="Times New Roman" w:eastAsia="TimesNewRomanPSMT"/>
                <w:color w:val="auto"/>
              </w:rPr>
              <w:t>GB/T14848-2017</w:t>
            </w:r>
            <w:r>
              <w:rPr>
                <w:rFonts w:ascii="Times New Roman" w:hAnsi="Times New Roman"/>
                <w:color w:val="auto"/>
              </w:rPr>
              <w:t>）</w:t>
            </w:r>
            <w:r>
              <w:rPr>
                <w:rFonts w:ascii="Times New Roman" w:hAnsi="Times New Roman" w:eastAsia="TimesNewRomanPSMT"/>
                <w:color w:val="auto"/>
              </w:rPr>
              <w:t>Ⅲ</w:t>
            </w:r>
            <w:r>
              <w:rPr>
                <w:rFonts w:ascii="Times New Roman" w:hAnsi="Times New Roman"/>
                <w:color w:val="auto"/>
              </w:rPr>
              <w:t>类标准的要求，石油类满足《地表水环境质量标准》（</w:t>
            </w:r>
            <w:r>
              <w:rPr>
                <w:rFonts w:ascii="Times New Roman" w:hAnsi="Times New Roman" w:eastAsia="TimesNewRomanPSMT"/>
                <w:color w:val="auto"/>
              </w:rPr>
              <w:t>GB3838-2002</w:t>
            </w:r>
            <w:r>
              <w:rPr>
                <w:rFonts w:ascii="Times New Roman" w:hAnsi="Times New Roman"/>
                <w:color w:val="auto"/>
              </w:rPr>
              <w:t>）中的</w:t>
            </w:r>
            <w:r>
              <w:rPr>
                <w:rFonts w:ascii="Times New Roman" w:hAnsi="Times New Roman" w:eastAsia="TimesNewRomanPSMT"/>
                <w:color w:val="auto"/>
              </w:rPr>
              <w:t>Ⅲ</w:t>
            </w:r>
            <w:r>
              <w:rPr>
                <w:rFonts w:ascii="Times New Roman" w:hAnsi="Times New Roman"/>
                <w:color w:val="auto"/>
              </w:rPr>
              <w:t>类标准</w:t>
            </w:r>
            <w:r>
              <w:rPr>
                <w:rFonts w:hint="eastAsia"/>
                <w:color w:val="auto"/>
              </w:rPr>
              <w:t>。</w:t>
            </w:r>
          </w:p>
          <w:p>
            <w:pPr>
              <w:adjustRightInd w:val="0"/>
              <w:snapToGrid w:val="0"/>
              <w:spacing w:line="360" w:lineRule="auto"/>
              <w:ind w:firstLine="482" w:firstLineChars="200"/>
              <w:jc w:val="both"/>
              <w:rPr>
                <w:rFonts w:ascii="Times New Roman" w:hAnsi="Times New Roman"/>
                <w:b/>
                <w:color w:val="auto"/>
                <w:sz w:val="24"/>
                <w:szCs w:val="20"/>
              </w:rPr>
            </w:pPr>
            <w:r>
              <w:rPr>
                <w:rFonts w:hint="eastAsia" w:ascii="Times New Roman" w:hAnsi="Times New Roman"/>
                <w:b/>
                <w:color w:val="auto"/>
                <w:sz w:val="24"/>
                <w:szCs w:val="20"/>
              </w:rPr>
              <w:t>8．</w:t>
            </w:r>
            <w:r>
              <w:rPr>
                <w:rFonts w:ascii="Times New Roman" w:hAnsi="Times New Roman"/>
                <w:b/>
                <w:color w:val="auto"/>
                <w:sz w:val="24"/>
                <w:szCs w:val="20"/>
              </w:rPr>
              <w:t>土壤环境现状调查与评价</w:t>
            </w:r>
          </w:p>
          <w:p>
            <w:pPr>
              <w:adjustRightInd w:val="0"/>
              <w:snapToGrid w:val="0"/>
              <w:spacing w:line="360" w:lineRule="auto"/>
              <w:ind w:firstLine="482" w:firstLineChars="200"/>
              <w:jc w:val="both"/>
              <w:rPr>
                <w:rFonts w:ascii="Times New Roman" w:hAnsi="Times New Roman"/>
                <w:b/>
                <w:color w:val="auto"/>
                <w:sz w:val="24"/>
                <w:szCs w:val="20"/>
              </w:rPr>
            </w:pPr>
            <w:r>
              <w:rPr>
                <w:rFonts w:ascii="Times New Roman" w:hAnsi="Times New Roman"/>
                <w:b/>
                <w:color w:val="auto"/>
                <w:sz w:val="24"/>
                <w:szCs w:val="20"/>
              </w:rPr>
              <w:t>8.1土壤类型及理化性质调查</w:t>
            </w:r>
          </w:p>
          <w:p>
            <w:pPr>
              <w:pStyle w:val="43"/>
              <w:spacing w:line="360" w:lineRule="auto"/>
              <w:ind w:firstLine="480" w:firstLineChars="200"/>
              <w:jc w:val="left"/>
              <w:rPr>
                <w:rFonts w:ascii="Times New Roman" w:hAnsi="Times New Roman"/>
                <w:color w:val="auto"/>
                <w:sz w:val="24"/>
                <w:szCs w:val="24"/>
              </w:rPr>
            </w:pPr>
            <w:r>
              <w:rPr>
                <w:rFonts w:ascii="Times New Roman" w:hAnsi="Times New Roman"/>
                <w:color w:val="auto"/>
                <w:sz w:val="24"/>
                <w:szCs w:val="24"/>
              </w:rPr>
              <w:t>对监测点中春99-2井场场地及引用点春2-03侧1场地开展土壤理化特性调查，调查结果如下</w:t>
            </w:r>
            <w:r>
              <w:rPr>
                <w:rFonts w:hint="eastAsia" w:ascii="Times New Roman" w:hAnsi="Times New Roman"/>
                <w:color w:val="auto"/>
                <w:sz w:val="24"/>
                <w:szCs w:val="24"/>
              </w:rPr>
              <w:t>表</w:t>
            </w:r>
            <w:r>
              <w:rPr>
                <w:rFonts w:ascii="Times New Roman" w:hAnsi="Times New Roman"/>
                <w:color w:val="auto"/>
                <w:sz w:val="24"/>
                <w:szCs w:val="24"/>
              </w:rPr>
              <w:t>：</w:t>
            </w:r>
          </w:p>
          <w:p>
            <w:pPr>
              <w:pStyle w:val="36"/>
              <w:rPr>
                <w:rFonts w:ascii="Times New Roman" w:hAnsi="Times New Roman"/>
                <w:color w:val="auto"/>
              </w:rPr>
            </w:pPr>
            <w:r>
              <w:rPr>
                <w:rFonts w:ascii="Times New Roman" w:hAnsi="Times New Roman"/>
                <w:color w:val="auto"/>
              </w:rPr>
              <w:t>表</w:t>
            </w:r>
            <w:r>
              <w:rPr>
                <w:rFonts w:hint="eastAsia" w:ascii="Times New Roman" w:hAnsi="Times New Roman"/>
                <w:color w:val="auto"/>
              </w:rPr>
              <w:t>3-7</w:t>
            </w:r>
            <w:r>
              <w:rPr>
                <w:rFonts w:ascii="Times New Roman" w:hAnsi="Times New Roman"/>
                <w:color w:val="auto"/>
              </w:rPr>
              <w:t xml:space="preserve">     春99-2井场场地土壤理化特性调查表</w:t>
            </w:r>
          </w:p>
          <w:tbl>
            <w:tblPr>
              <w:tblStyle w:val="37"/>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12"/>
              <w:gridCol w:w="2598"/>
              <w:gridCol w:w="1166"/>
              <w:gridCol w:w="954"/>
              <w:gridCol w:w="949"/>
              <w:gridCol w:w="949"/>
              <w:gridCol w:w="95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98"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点号</w:t>
                  </w:r>
                </w:p>
              </w:tc>
              <w:tc>
                <w:tcPr>
                  <w:tcW w:w="1280"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T-1#</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rPr>
                    <w:t>时间</w:t>
                  </w:r>
                </w:p>
              </w:tc>
              <w:tc>
                <w:tcPr>
                  <w:tcW w:w="1147"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2022.2.19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98"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经度</w:t>
                  </w:r>
                </w:p>
              </w:tc>
              <w:tc>
                <w:tcPr>
                  <w:tcW w:w="1280"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84°29′21.79″E</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纬度</w:t>
                  </w:r>
                </w:p>
              </w:tc>
              <w:tc>
                <w:tcPr>
                  <w:tcW w:w="1147"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44°58′1.86″N</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98"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层次</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20cm</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30" w:type="pct"/>
                  <w:vMerge w:val="restart"/>
                  <w:shd w:val="clear" w:color="auto" w:fill="auto"/>
                  <w:noWrap/>
                  <w:textDirection w:val="tbRlV"/>
                  <w:vAlign w:val="center"/>
                </w:tcPr>
                <w:p>
                  <w:pPr>
                    <w:jc w:val="center"/>
                    <w:rPr>
                      <w:rFonts w:ascii="Times New Roman" w:hAnsi="Times New Roman"/>
                      <w:color w:val="auto"/>
                      <w:szCs w:val="21"/>
                    </w:rPr>
                  </w:pPr>
                  <w:r>
                    <w:rPr>
                      <w:rFonts w:ascii="Times New Roman" w:hAnsi="Times New Roman"/>
                      <w:color w:val="auto"/>
                      <w:szCs w:val="21"/>
                    </w:rPr>
                    <w:t>现场记录</w:t>
                  </w:r>
                </w:p>
              </w:tc>
              <w:tc>
                <w:tcPr>
                  <w:tcW w:w="1567"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颜色</w:t>
                  </w:r>
                </w:p>
              </w:tc>
              <w:tc>
                <w:tcPr>
                  <w:tcW w:w="704" w:type="pct"/>
                  <w:shd w:val="clear" w:color="auto" w:fill="auto"/>
                  <w:noWrap/>
                  <w:vAlign w:val="center"/>
                </w:tcPr>
                <w:p>
                  <w:pPr>
                    <w:jc w:val="center"/>
                    <w:textAlignment w:val="center"/>
                    <w:rPr>
                      <w:rFonts w:ascii="Times New Roman" w:hAnsi="Times New Roman"/>
                      <w:bCs/>
                      <w:color w:val="auto"/>
                      <w:kern w:val="0"/>
                      <w:szCs w:val="21"/>
                      <w:lang w:bidi="ar"/>
                    </w:rPr>
                  </w:pPr>
                  <w:r>
                    <w:rPr>
                      <w:rFonts w:ascii="Times New Roman" w:hAnsi="Times New Roman"/>
                      <w:bCs/>
                      <w:color w:val="auto"/>
                      <w:kern w:val="0"/>
                      <w:szCs w:val="21"/>
                      <w:lang w:bidi="ar"/>
                    </w:rPr>
                    <w:t>棕色</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30" w:type="pct"/>
                  <w:vMerge w:val="continue"/>
                  <w:shd w:val="clear" w:color="auto" w:fill="auto"/>
                  <w:vAlign w:val="center"/>
                </w:tcPr>
                <w:p>
                  <w:pPr>
                    <w:jc w:val="center"/>
                    <w:rPr>
                      <w:rFonts w:ascii="Times New Roman" w:hAnsi="Times New Roman"/>
                      <w:color w:val="auto"/>
                      <w:szCs w:val="21"/>
                    </w:rPr>
                  </w:pPr>
                </w:p>
              </w:tc>
              <w:tc>
                <w:tcPr>
                  <w:tcW w:w="1567"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结构</w:t>
                  </w:r>
                </w:p>
              </w:tc>
              <w:tc>
                <w:tcPr>
                  <w:tcW w:w="704" w:type="pct"/>
                  <w:shd w:val="clear" w:color="auto" w:fill="auto"/>
                  <w:noWrap/>
                  <w:vAlign w:val="center"/>
                </w:tcPr>
                <w:p>
                  <w:pPr>
                    <w:jc w:val="center"/>
                    <w:rPr>
                      <w:rFonts w:ascii="Times New Roman" w:hAnsi="Times New Roman"/>
                      <w:bCs/>
                      <w:color w:val="auto"/>
                      <w:szCs w:val="21"/>
                    </w:rPr>
                  </w:pPr>
                  <w:r>
                    <w:rPr>
                      <w:rFonts w:ascii="Times New Roman" w:hAnsi="Times New Roman"/>
                      <w:bCs/>
                      <w:color w:val="auto"/>
                      <w:szCs w:val="21"/>
                    </w:rPr>
                    <w:t>粒状</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30" w:type="pct"/>
                  <w:vMerge w:val="continue"/>
                  <w:shd w:val="clear" w:color="auto" w:fill="auto"/>
                  <w:vAlign w:val="center"/>
                </w:tcPr>
                <w:p>
                  <w:pPr>
                    <w:jc w:val="center"/>
                    <w:rPr>
                      <w:rFonts w:ascii="Times New Roman" w:hAnsi="Times New Roman"/>
                      <w:color w:val="auto"/>
                      <w:szCs w:val="21"/>
                    </w:rPr>
                  </w:pPr>
                </w:p>
              </w:tc>
              <w:tc>
                <w:tcPr>
                  <w:tcW w:w="1567"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质地</w:t>
                  </w:r>
                </w:p>
              </w:tc>
              <w:tc>
                <w:tcPr>
                  <w:tcW w:w="704" w:type="pct"/>
                  <w:shd w:val="clear" w:color="auto" w:fill="auto"/>
                  <w:noWrap/>
                  <w:vAlign w:val="center"/>
                </w:tcPr>
                <w:p>
                  <w:pPr>
                    <w:jc w:val="center"/>
                    <w:rPr>
                      <w:rFonts w:ascii="Times New Roman" w:hAnsi="Times New Roman"/>
                      <w:bCs/>
                      <w:color w:val="auto"/>
                      <w:szCs w:val="21"/>
                    </w:rPr>
                  </w:pPr>
                  <w:r>
                    <w:rPr>
                      <w:rFonts w:ascii="Times New Roman" w:hAnsi="Times New Roman"/>
                      <w:bCs/>
                      <w:color w:val="auto"/>
                      <w:szCs w:val="21"/>
                    </w:rPr>
                    <w:t>壤土</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30" w:type="pct"/>
                  <w:vMerge w:val="continue"/>
                  <w:shd w:val="clear" w:color="auto" w:fill="auto"/>
                  <w:vAlign w:val="center"/>
                </w:tcPr>
                <w:p>
                  <w:pPr>
                    <w:jc w:val="center"/>
                    <w:rPr>
                      <w:rFonts w:ascii="Times New Roman" w:hAnsi="Times New Roman"/>
                      <w:color w:val="auto"/>
                      <w:szCs w:val="21"/>
                    </w:rPr>
                  </w:pPr>
                </w:p>
              </w:tc>
              <w:tc>
                <w:tcPr>
                  <w:tcW w:w="1567"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沙砾含量%</w:t>
                  </w:r>
                </w:p>
              </w:tc>
              <w:tc>
                <w:tcPr>
                  <w:tcW w:w="704" w:type="pct"/>
                  <w:shd w:val="clear" w:color="auto" w:fill="auto"/>
                  <w:noWrap/>
                  <w:vAlign w:val="center"/>
                </w:tcPr>
                <w:p>
                  <w:pPr>
                    <w:jc w:val="center"/>
                    <w:rPr>
                      <w:rFonts w:ascii="Times New Roman" w:hAnsi="Times New Roman"/>
                      <w:bCs/>
                      <w:color w:val="auto"/>
                      <w:szCs w:val="21"/>
                    </w:rPr>
                  </w:pPr>
                  <w:r>
                    <w:rPr>
                      <w:rFonts w:ascii="Times New Roman" w:hAnsi="Times New Roman"/>
                      <w:bCs/>
                      <w:color w:val="auto"/>
                      <w:szCs w:val="21"/>
                    </w:rPr>
                    <w:t>30</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30" w:type="pct"/>
                  <w:vMerge w:val="continue"/>
                  <w:shd w:val="clear" w:color="auto" w:fill="auto"/>
                  <w:vAlign w:val="center"/>
                </w:tcPr>
                <w:p>
                  <w:pPr>
                    <w:jc w:val="center"/>
                    <w:rPr>
                      <w:rFonts w:ascii="Times New Roman" w:hAnsi="Times New Roman"/>
                      <w:color w:val="auto"/>
                      <w:szCs w:val="21"/>
                    </w:rPr>
                  </w:pPr>
                </w:p>
              </w:tc>
              <w:tc>
                <w:tcPr>
                  <w:tcW w:w="1567"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其他异物</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rPr>
                    <w:t>/</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30" w:type="pct"/>
                  <w:vMerge w:val="continue"/>
                  <w:shd w:val="clear" w:color="auto" w:fill="auto"/>
                  <w:vAlign w:val="center"/>
                </w:tcPr>
                <w:p>
                  <w:pPr>
                    <w:jc w:val="center"/>
                    <w:rPr>
                      <w:rFonts w:ascii="Times New Roman" w:hAnsi="Times New Roman"/>
                      <w:color w:val="auto"/>
                      <w:szCs w:val="21"/>
                    </w:rPr>
                  </w:pPr>
                </w:p>
              </w:tc>
              <w:tc>
                <w:tcPr>
                  <w:tcW w:w="1567"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氧化还原电位（mV）</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389</w:t>
                  </w:r>
                </w:p>
              </w:tc>
              <w:tc>
                <w:tcPr>
                  <w:tcW w:w="576" w:type="pct"/>
                  <w:shd w:val="clear" w:color="auto" w:fill="auto"/>
                  <w:noWrap/>
                  <w:vAlign w:val="center"/>
                </w:tcPr>
                <w:p>
                  <w:pPr>
                    <w:jc w:val="center"/>
                    <w:rPr>
                      <w:rFonts w:ascii="Times New Roman" w:hAnsi="Times New Roman"/>
                      <w:color w:val="auto"/>
                      <w:szCs w:val="21"/>
                    </w:rPr>
                  </w:pPr>
                </w:p>
              </w:tc>
              <w:tc>
                <w:tcPr>
                  <w:tcW w:w="573" w:type="pct"/>
                  <w:shd w:val="clear" w:color="auto" w:fill="auto"/>
                  <w:noWrap/>
                  <w:vAlign w:val="center"/>
                </w:tcPr>
                <w:p>
                  <w:pPr>
                    <w:jc w:val="center"/>
                    <w:rPr>
                      <w:rFonts w:ascii="Times New Roman" w:hAnsi="Times New Roman"/>
                      <w:color w:val="auto"/>
                      <w:szCs w:val="21"/>
                    </w:rPr>
                  </w:pPr>
                </w:p>
              </w:tc>
              <w:tc>
                <w:tcPr>
                  <w:tcW w:w="573" w:type="pct"/>
                  <w:shd w:val="clear" w:color="auto" w:fill="auto"/>
                  <w:noWrap/>
                  <w:vAlign w:val="center"/>
                </w:tcPr>
                <w:p>
                  <w:pPr>
                    <w:jc w:val="center"/>
                    <w:rPr>
                      <w:rFonts w:ascii="Times New Roman" w:hAnsi="Times New Roman"/>
                      <w:color w:val="auto"/>
                      <w:szCs w:val="21"/>
                    </w:rPr>
                  </w:pPr>
                </w:p>
              </w:tc>
              <w:tc>
                <w:tcPr>
                  <w:tcW w:w="574" w:type="pct"/>
                  <w:shd w:val="clear" w:color="auto" w:fill="auto"/>
                  <w:noWrap/>
                  <w:vAlign w:val="center"/>
                </w:tcPr>
                <w:p>
                  <w:pPr>
                    <w:jc w:val="center"/>
                    <w:rPr>
                      <w:rFonts w:ascii="Times New Roman" w:hAnsi="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30" w:type="pct"/>
                  <w:vMerge w:val="restart"/>
                  <w:shd w:val="clear" w:color="auto" w:fill="auto"/>
                  <w:noWrap/>
                  <w:textDirection w:val="tbRlV"/>
                  <w:vAlign w:val="center"/>
                </w:tcPr>
                <w:p>
                  <w:pPr>
                    <w:jc w:val="center"/>
                    <w:rPr>
                      <w:rFonts w:ascii="Times New Roman" w:hAnsi="Times New Roman"/>
                      <w:color w:val="auto"/>
                      <w:szCs w:val="21"/>
                    </w:rPr>
                  </w:pPr>
                  <w:r>
                    <w:rPr>
                      <w:rFonts w:ascii="Times New Roman" w:hAnsi="Times New Roman"/>
                      <w:color w:val="auto"/>
                      <w:szCs w:val="21"/>
                    </w:rPr>
                    <w:t>实验室测定</w:t>
                  </w:r>
                </w:p>
              </w:tc>
              <w:tc>
                <w:tcPr>
                  <w:tcW w:w="1567"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pH（无量纲）</w:t>
                  </w:r>
                </w:p>
              </w:tc>
              <w:tc>
                <w:tcPr>
                  <w:tcW w:w="1165" w:type="dxa"/>
                  <w:shd w:val="clear" w:color="auto" w:fill="auto"/>
                  <w:noWrap/>
                  <w:vAlign w:val="center"/>
                </w:tcPr>
                <w:p>
                  <w:pPr>
                    <w:jc w:val="center"/>
                    <w:rPr>
                      <w:rFonts w:ascii="Times New Roman" w:hAnsi="Times New Roman"/>
                      <w:color w:val="auto"/>
                      <w:szCs w:val="21"/>
                    </w:rPr>
                  </w:pPr>
                  <w:r>
                    <w:rPr>
                      <w:rFonts w:ascii="Times New Roman" w:hAnsi="Times New Roman"/>
                      <w:bCs/>
                      <w:color w:val="auto"/>
                      <w:szCs w:val="21"/>
                    </w:rPr>
                    <w:t>7.85</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30" w:type="pct"/>
                  <w:vMerge w:val="continue"/>
                  <w:shd w:val="clear" w:color="auto" w:fill="auto"/>
                  <w:vAlign w:val="center"/>
                </w:tcPr>
                <w:p>
                  <w:pPr>
                    <w:jc w:val="center"/>
                    <w:rPr>
                      <w:rFonts w:ascii="Times New Roman" w:hAnsi="Times New Roman"/>
                      <w:color w:val="auto"/>
                      <w:szCs w:val="21"/>
                    </w:rPr>
                  </w:pPr>
                </w:p>
              </w:tc>
              <w:tc>
                <w:tcPr>
                  <w:tcW w:w="1567"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阳离子交换量（cmol/kg）</w:t>
                  </w:r>
                </w:p>
              </w:tc>
              <w:tc>
                <w:tcPr>
                  <w:tcW w:w="1165" w:type="dxa"/>
                  <w:shd w:val="clear" w:color="auto" w:fill="auto"/>
                  <w:noWrap/>
                  <w:vAlign w:val="center"/>
                </w:tcPr>
                <w:p>
                  <w:pPr>
                    <w:jc w:val="center"/>
                    <w:rPr>
                      <w:rFonts w:ascii="Times New Roman" w:hAnsi="Times New Roman"/>
                      <w:color w:val="auto"/>
                      <w:szCs w:val="21"/>
                    </w:rPr>
                  </w:pPr>
                  <w:r>
                    <w:rPr>
                      <w:rFonts w:ascii="Times New Roman" w:hAnsi="Times New Roman"/>
                      <w:bCs/>
                      <w:color w:val="auto"/>
                      <w:szCs w:val="21"/>
                    </w:rPr>
                    <w:t>7.5</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30" w:type="pct"/>
                  <w:vMerge w:val="continue"/>
                  <w:shd w:val="clear" w:color="auto" w:fill="auto"/>
                  <w:vAlign w:val="center"/>
                </w:tcPr>
                <w:p>
                  <w:pPr>
                    <w:jc w:val="center"/>
                    <w:rPr>
                      <w:rFonts w:ascii="Times New Roman" w:hAnsi="Times New Roman"/>
                      <w:color w:val="auto"/>
                      <w:szCs w:val="21"/>
                    </w:rPr>
                  </w:pPr>
                </w:p>
              </w:tc>
              <w:tc>
                <w:tcPr>
                  <w:tcW w:w="1567"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渗滤率(mm/min)</w:t>
                  </w:r>
                </w:p>
              </w:tc>
              <w:tc>
                <w:tcPr>
                  <w:tcW w:w="1165" w:type="dxa"/>
                  <w:shd w:val="clear" w:color="auto" w:fill="auto"/>
                  <w:noWrap/>
                  <w:vAlign w:val="center"/>
                </w:tcPr>
                <w:p>
                  <w:pPr>
                    <w:jc w:val="center"/>
                    <w:rPr>
                      <w:rFonts w:ascii="Times New Roman" w:hAnsi="Times New Roman"/>
                      <w:color w:val="auto"/>
                      <w:szCs w:val="21"/>
                    </w:rPr>
                  </w:pPr>
                  <w:r>
                    <w:rPr>
                      <w:rFonts w:ascii="Times New Roman" w:hAnsi="Times New Roman"/>
                      <w:bCs/>
                      <w:color w:val="auto"/>
                      <w:szCs w:val="21"/>
                    </w:rPr>
                    <w:t>0.553</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30" w:type="pct"/>
                  <w:vMerge w:val="continue"/>
                  <w:shd w:val="clear" w:color="auto" w:fill="auto"/>
                  <w:vAlign w:val="center"/>
                </w:tcPr>
                <w:p>
                  <w:pPr>
                    <w:jc w:val="center"/>
                    <w:rPr>
                      <w:rFonts w:ascii="Times New Roman" w:hAnsi="Times New Roman"/>
                      <w:color w:val="auto"/>
                      <w:szCs w:val="21"/>
                    </w:rPr>
                  </w:pPr>
                </w:p>
              </w:tc>
              <w:tc>
                <w:tcPr>
                  <w:tcW w:w="1567"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土壤容重/(g/cm</w:t>
                  </w:r>
                  <w:r>
                    <w:rPr>
                      <w:rFonts w:ascii="Times New Roman" w:hAnsi="Times New Roman"/>
                      <w:color w:val="auto"/>
                      <w:szCs w:val="21"/>
                      <w:vertAlign w:val="superscript"/>
                    </w:rPr>
                    <w:t>3</w:t>
                  </w:r>
                  <w:r>
                    <w:rPr>
                      <w:rFonts w:ascii="Times New Roman" w:hAnsi="Times New Roman"/>
                      <w:color w:val="auto"/>
                      <w:szCs w:val="21"/>
                    </w:rPr>
                    <w:t>)</w:t>
                  </w:r>
                </w:p>
              </w:tc>
              <w:tc>
                <w:tcPr>
                  <w:tcW w:w="1165" w:type="dxa"/>
                  <w:shd w:val="clear" w:color="auto" w:fill="auto"/>
                  <w:noWrap/>
                  <w:vAlign w:val="center"/>
                </w:tcPr>
                <w:p>
                  <w:pPr>
                    <w:jc w:val="center"/>
                    <w:rPr>
                      <w:rFonts w:ascii="Times New Roman" w:hAnsi="Times New Roman"/>
                      <w:color w:val="auto"/>
                      <w:szCs w:val="21"/>
                    </w:rPr>
                  </w:pPr>
                  <w:r>
                    <w:rPr>
                      <w:rFonts w:ascii="Times New Roman" w:hAnsi="Times New Roman"/>
                      <w:bCs/>
                      <w:color w:val="auto"/>
                      <w:szCs w:val="21"/>
                    </w:rPr>
                    <w:t>1.4</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30" w:type="pct"/>
                  <w:vMerge w:val="continue"/>
                  <w:shd w:val="clear" w:color="auto" w:fill="auto"/>
                  <w:vAlign w:val="center"/>
                </w:tcPr>
                <w:p>
                  <w:pPr>
                    <w:jc w:val="center"/>
                    <w:rPr>
                      <w:rFonts w:ascii="Times New Roman" w:hAnsi="Times New Roman"/>
                      <w:color w:val="auto"/>
                      <w:szCs w:val="21"/>
                    </w:rPr>
                  </w:pPr>
                </w:p>
              </w:tc>
              <w:tc>
                <w:tcPr>
                  <w:tcW w:w="1567"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总孔隙度（%）</w:t>
                  </w:r>
                </w:p>
              </w:tc>
              <w:tc>
                <w:tcPr>
                  <w:tcW w:w="1165" w:type="dxa"/>
                  <w:shd w:val="clear" w:color="auto" w:fill="auto"/>
                  <w:noWrap/>
                  <w:vAlign w:val="center"/>
                </w:tcPr>
                <w:p>
                  <w:pPr>
                    <w:jc w:val="center"/>
                    <w:rPr>
                      <w:rFonts w:ascii="Times New Roman" w:hAnsi="Times New Roman"/>
                      <w:color w:val="auto"/>
                      <w:szCs w:val="21"/>
                    </w:rPr>
                  </w:pPr>
                  <w:r>
                    <w:rPr>
                      <w:rFonts w:ascii="Times New Roman" w:hAnsi="Times New Roman"/>
                      <w:bCs/>
                      <w:color w:val="auto"/>
                      <w:szCs w:val="21"/>
                    </w:rPr>
                    <w:t>34.9</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bl>
          <w:p>
            <w:pPr>
              <w:pStyle w:val="36"/>
              <w:rPr>
                <w:rFonts w:ascii="Times New Roman" w:hAnsi="Times New Roman"/>
                <w:color w:val="auto"/>
              </w:rPr>
            </w:pPr>
            <w:r>
              <w:rPr>
                <w:rFonts w:ascii="Times New Roman" w:hAnsi="Times New Roman"/>
                <w:color w:val="auto"/>
              </w:rPr>
              <w:t>表</w:t>
            </w:r>
            <w:r>
              <w:rPr>
                <w:rFonts w:hint="eastAsia" w:ascii="Times New Roman" w:hAnsi="Times New Roman"/>
                <w:color w:val="auto"/>
              </w:rPr>
              <w:t>3-8</w:t>
            </w:r>
            <w:r>
              <w:rPr>
                <w:rFonts w:ascii="Times New Roman" w:hAnsi="Times New Roman"/>
                <w:color w:val="auto"/>
              </w:rPr>
              <w:t xml:space="preserve">     春2-03侧1井场场地土壤理化特性调查表</w:t>
            </w:r>
          </w:p>
          <w:tbl>
            <w:tblPr>
              <w:tblStyle w:val="37"/>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2601"/>
              <w:gridCol w:w="1166"/>
              <w:gridCol w:w="954"/>
              <w:gridCol w:w="949"/>
              <w:gridCol w:w="949"/>
              <w:gridCol w:w="95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98"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点号</w:t>
                  </w:r>
                </w:p>
              </w:tc>
              <w:tc>
                <w:tcPr>
                  <w:tcW w:w="1280"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T-11#</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rPr>
                    <w:t>时间</w:t>
                  </w:r>
                </w:p>
              </w:tc>
              <w:tc>
                <w:tcPr>
                  <w:tcW w:w="1147"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2020.6.21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98"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rPr>
                    <w:t>经度</w:t>
                  </w:r>
                </w:p>
              </w:tc>
              <w:tc>
                <w:tcPr>
                  <w:tcW w:w="1280"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84°31′4.42″E</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纬度</w:t>
                  </w:r>
                </w:p>
              </w:tc>
              <w:tc>
                <w:tcPr>
                  <w:tcW w:w="1147"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44°58′25.06″N</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98" w:type="pct"/>
                  <w:gridSpan w:val="2"/>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层次</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20cm</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8" w:type="pct"/>
                  <w:vMerge w:val="restart"/>
                  <w:shd w:val="clear" w:color="auto" w:fill="auto"/>
                  <w:noWrap/>
                  <w:textDirection w:val="tbRlV"/>
                  <w:vAlign w:val="center"/>
                </w:tcPr>
                <w:p>
                  <w:pPr>
                    <w:jc w:val="center"/>
                    <w:rPr>
                      <w:rFonts w:ascii="Times New Roman" w:hAnsi="Times New Roman"/>
                      <w:color w:val="auto"/>
                      <w:szCs w:val="21"/>
                    </w:rPr>
                  </w:pPr>
                  <w:r>
                    <w:rPr>
                      <w:rFonts w:ascii="Times New Roman" w:hAnsi="Times New Roman"/>
                      <w:color w:val="auto"/>
                      <w:szCs w:val="21"/>
                    </w:rPr>
                    <w:t>现场记录</w:t>
                  </w:r>
                </w:p>
              </w:tc>
              <w:tc>
                <w:tcPr>
                  <w:tcW w:w="15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颜色</w:t>
                  </w:r>
                </w:p>
              </w:tc>
              <w:tc>
                <w:tcPr>
                  <w:tcW w:w="704" w:type="pct"/>
                  <w:shd w:val="clear" w:color="auto" w:fill="auto"/>
                  <w:noWrap/>
                  <w:vAlign w:val="center"/>
                </w:tcPr>
                <w:p>
                  <w:pPr>
                    <w:jc w:val="center"/>
                    <w:textAlignment w:val="center"/>
                    <w:rPr>
                      <w:rFonts w:ascii="Times New Roman" w:hAnsi="Times New Roman"/>
                      <w:bCs/>
                      <w:color w:val="auto"/>
                      <w:kern w:val="0"/>
                      <w:szCs w:val="21"/>
                      <w:lang w:bidi="ar"/>
                    </w:rPr>
                  </w:pPr>
                  <w:r>
                    <w:rPr>
                      <w:rFonts w:ascii="Times New Roman" w:hAnsi="Times New Roman"/>
                      <w:bCs/>
                      <w:color w:val="auto"/>
                      <w:kern w:val="0"/>
                      <w:szCs w:val="21"/>
                      <w:lang w:bidi="ar"/>
                    </w:rPr>
                    <w:t>黄褐色</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8" w:type="pct"/>
                  <w:vMerge w:val="continue"/>
                  <w:shd w:val="clear" w:color="auto" w:fill="auto"/>
                  <w:vAlign w:val="center"/>
                </w:tcPr>
                <w:p>
                  <w:pPr>
                    <w:jc w:val="center"/>
                    <w:rPr>
                      <w:rFonts w:ascii="Times New Roman" w:hAnsi="Times New Roman"/>
                      <w:color w:val="auto"/>
                      <w:szCs w:val="21"/>
                    </w:rPr>
                  </w:pPr>
                </w:p>
              </w:tc>
              <w:tc>
                <w:tcPr>
                  <w:tcW w:w="15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结构</w:t>
                  </w:r>
                </w:p>
              </w:tc>
              <w:tc>
                <w:tcPr>
                  <w:tcW w:w="704" w:type="pct"/>
                  <w:shd w:val="clear" w:color="auto" w:fill="auto"/>
                  <w:noWrap/>
                  <w:vAlign w:val="center"/>
                </w:tcPr>
                <w:p>
                  <w:pPr>
                    <w:jc w:val="center"/>
                    <w:rPr>
                      <w:rFonts w:ascii="Times New Roman" w:hAnsi="Times New Roman"/>
                      <w:bCs/>
                      <w:color w:val="auto"/>
                      <w:szCs w:val="21"/>
                    </w:rPr>
                  </w:pPr>
                  <w:r>
                    <w:rPr>
                      <w:rFonts w:ascii="Times New Roman" w:hAnsi="Times New Roman"/>
                      <w:bCs/>
                      <w:color w:val="auto"/>
                      <w:szCs w:val="21"/>
                    </w:rPr>
                    <w:t>团粒</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8" w:type="pct"/>
                  <w:vMerge w:val="continue"/>
                  <w:shd w:val="clear" w:color="auto" w:fill="auto"/>
                  <w:vAlign w:val="center"/>
                </w:tcPr>
                <w:p>
                  <w:pPr>
                    <w:jc w:val="center"/>
                    <w:rPr>
                      <w:rFonts w:ascii="Times New Roman" w:hAnsi="Times New Roman"/>
                      <w:color w:val="auto"/>
                      <w:szCs w:val="21"/>
                    </w:rPr>
                  </w:pPr>
                </w:p>
              </w:tc>
              <w:tc>
                <w:tcPr>
                  <w:tcW w:w="15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质地</w:t>
                  </w:r>
                </w:p>
              </w:tc>
              <w:tc>
                <w:tcPr>
                  <w:tcW w:w="704" w:type="pct"/>
                  <w:shd w:val="clear" w:color="auto" w:fill="auto"/>
                  <w:noWrap/>
                  <w:vAlign w:val="center"/>
                </w:tcPr>
                <w:p>
                  <w:pPr>
                    <w:jc w:val="center"/>
                    <w:rPr>
                      <w:rFonts w:ascii="Times New Roman" w:hAnsi="Times New Roman"/>
                      <w:bCs/>
                      <w:color w:val="auto"/>
                      <w:szCs w:val="21"/>
                    </w:rPr>
                  </w:pPr>
                  <w:r>
                    <w:rPr>
                      <w:rFonts w:ascii="Times New Roman" w:hAnsi="Times New Roman"/>
                      <w:bCs/>
                      <w:color w:val="auto"/>
                      <w:szCs w:val="21"/>
                    </w:rPr>
                    <w:t>砂壤土</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8" w:type="pct"/>
                  <w:vMerge w:val="continue"/>
                  <w:shd w:val="clear" w:color="auto" w:fill="auto"/>
                  <w:vAlign w:val="center"/>
                </w:tcPr>
                <w:p>
                  <w:pPr>
                    <w:jc w:val="center"/>
                    <w:rPr>
                      <w:rFonts w:ascii="Times New Roman" w:hAnsi="Times New Roman"/>
                      <w:color w:val="auto"/>
                      <w:szCs w:val="21"/>
                    </w:rPr>
                  </w:pPr>
                </w:p>
              </w:tc>
              <w:tc>
                <w:tcPr>
                  <w:tcW w:w="15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沙砾含量%</w:t>
                  </w:r>
                </w:p>
              </w:tc>
              <w:tc>
                <w:tcPr>
                  <w:tcW w:w="704" w:type="pct"/>
                  <w:shd w:val="clear" w:color="auto" w:fill="auto"/>
                  <w:noWrap/>
                  <w:vAlign w:val="center"/>
                </w:tcPr>
                <w:p>
                  <w:pPr>
                    <w:jc w:val="center"/>
                    <w:rPr>
                      <w:rFonts w:ascii="Times New Roman" w:hAnsi="Times New Roman"/>
                      <w:bCs/>
                      <w:color w:val="auto"/>
                      <w:szCs w:val="21"/>
                    </w:rPr>
                  </w:pPr>
                  <w:r>
                    <w:rPr>
                      <w:rFonts w:ascii="Times New Roman" w:hAnsi="Times New Roman"/>
                      <w:bCs/>
                      <w:color w:val="auto"/>
                      <w:szCs w:val="21"/>
                    </w:rPr>
                    <w:t>5</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8" w:type="pct"/>
                  <w:vMerge w:val="continue"/>
                  <w:shd w:val="clear" w:color="auto" w:fill="auto"/>
                  <w:vAlign w:val="center"/>
                </w:tcPr>
                <w:p>
                  <w:pPr>
                    <w:jc w:val="center"/>
                    <w:rPr>
                      <w:rFonts w:ascii="Times New Roman" w:hAnsi="Times New Roman"/>
                      <w:color w:val="auto"/>
                      <w:szCs w:val="21"/>
                    </w:rPr>
                  </w:pPr>
                </w:p>
              </w:tc>
              <w:tc>
                <w:tcPr>
                  <w:tcW w:w="15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其他异物</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rPr>
                    <w:t>石头</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8" w:type="pct"/>
                  <w:vMerge w:val="restart"/>
                  <w:shd w:val="clear" w:color="auto" w:fill="auto"/>
                  <w:noWrap/>
                  <w:textDirection w:val="tbRlV"/>
                  <w:vAlign w:val="center"/>
                </w:tcPr>
                <w:p>
                  <w:pPr>
                    <w:jc w:val="center"/>
                    <w:rPr>
                      <w:rFonts w:ascii="Times New Roman" w:hAnsi="Times New Roman"/>
                      <w:color w:val="auto"/>
                      <w:szCs w:val="21"/>
                    </w:rPr>
                  </w:pPr>
                  <w:r>
                    <w:rPr>
                      <w:rFonts w:ascii="Times New Roman" w:hAnsi="Times New Roman"/>
                      <w:color w:val="auto"/>
                      <w:szCs w:val="21"/>
                    </w:rPr>
                    <w:t>实验室测定</w:t>
                  </w:r>
                </w:p>
              </w:tc>
              <w:tc>
                <w:tcPr>
                  <w:tcW w:w="15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pH（无量纲）</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7.92</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8" w:type="pct"/>
                  <w:vMerge w:val="continue"/>
                  <w:shd w:val="clear" w:color="auto" w:fill="auto"/>
                  <w:vAlign w:val="center"/>
                </w:tcPr>
                <w:p>
                  <w:pPr>
                    <w:jc w:val="center"/>
                    <w:rPr>
                      <w:rFonts w:ascii="Times New Roman" w:hAnsi="Times New Roman"/>
                      <w:color w:val="auto"/>
                      <w:szCs w:val="21"/>
                    </w:rPr>
                  </w:pPr>
                </w:p>
              </w:tc>
              <w:tc>
                <w:tcPr>
                  <w:tcW w:w="15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阳离子交换量（cmol/kg）</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15.9</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8" w:type="pct"/>
                  <w:vMerge w:val="continue"/>
                  <w:shd w:val="clear" w:color="auto" w:fill="auto"/>
                  <w:vAlign w:val="center"/>
                </w:tcPr>
                <w:p>
                  <w:pPr>
                    <w:jc w:val="center"/>
                    <w:rPr>
                      <w:rFonts w:ascii="Times New Roman" w:hAnsi="Times New Roman"/>
                      <w:color w:val="auto"/>
                      <w:szCs w:val="21"/>
                    </w:rPr>
                  </w:pPr>
                </w:p>
              </w:tc>
              <w:tc>
                <w:tcPr>
                  <w:tcW w:w="15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氧化还原电位（mV）</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206</w:t>
                  </w:r>
                </w:p>
              </w:tc>
              <w:tc>
                <w:tcPr>
                  <w:tcW w:w="576" w:type="pct"/>
                  <w:shd w:val="clear" w:color="auto" w:fill="auto"/>
                  <w:noWrap/>
                  <w:vAlign w:val="center"/>
                </w:tcPr>
                <w:p>
                  <w:pPr>
                    <w:jc w:val="center"/>
                    <w:rPr>
                      <w:rFonts w:ascii="Times New Roman" w:hAnsi="Times New Roman"/>
                      <w:color w:val="auto"/>
                      <w:szCs w:val="21"/>
                    </w:rPr>
                  </w:pPr>
                </w:p>
              </w:tc>
              <w:tc>
                <w:tcPr>
                  <w:tcW w:w="573" w:type="pct"/>
                  <w:shd w:val="clear" w:color="auto" w:fill="auto"/>
                  <w:noWrap/>
                  <w:vAlign w:val="center"/>
                </w:tcPr>
                <w:p>
                  <w:pPr>
                    <w:jc w:val="center"/>
                    <w:rPr>
                      <w:rFonts w:ascii="Times New Roman" w:hAnsi="Times New Roman"/>
                      <w:color w:val="auto"/>
                      <w:szCs w:val="21"/>
                    </w:rPr>
                  </w:pPr>
                </w:p>
              </w:tc>
              <w:tc>
                <w:tcPr>
                  <w:tcW w:w="573" w:type="pct"/>
                  <w:shd w:val="clear" w:color="auto" w:fill="auto"/>
                  <w:noWrap/>
                  <w:vAlign w:val="center"/>
                </w:tcPr>
                <w:p>
                  <w:pPr>
                    <w:jc w:val="center"/>
                    <w:rPr>
                      <w:rFonts w:ascii="Times New Roman" w:hAnsi="Times New Roman"/>
                      <w:color w:val="auto"/>
                      <w:szCs w:val="21"/>
                    </w:rPr>
                  </w:pPr>
                </w:p>
              </w:tc>
              <w:tc>
                <w:tcPr>
                  <w:tcW w:w="574" w:type="pct"/>
                  <w:shd w:val="clear" w:color="auto" w:fill="auto"/>
                  <w:noWrap/>
                  <w:vAlign w:val="center"/>
                </w:tcPr>
                <w:p>
                  <w:pPr>
                    <w:jc w:val="center"/>
                    <w:rPr>
                      <w:rFonts w:ascii="Times New Roman" w:hAnsi="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8" w:type="pct"/>
                  <w:vMerge w:val="continue"/>
                  <w:shd w:val="clear" w:color="auto" w:fill="auto"/>
                  <w:vAlign w:val="center"/>
                </w:tcPr>
                <w:p>
                  <w:pPr>
                    <w:jc w:val="center"/>
                    <w:rPr>
                      <w:rFonts w:ascii="Times New Roman" w:hAnsi="Times New Roman"/>
                      <w:color w:val="auto"/>
                      <w:szCs w:val="21"/>
                    </w:rPr>
                  </w:pPr>
                </w:p>
              </w:tc>
              <w:tc>
                <w:tcPr>
                  <w:tcW w:w="15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饱和导水率(cm/s)</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2.95×10</w:t>
                  </w:r>
                  <w:r>
                    <w:rPr>
                      <w:rFonts w:ascii="Times New Roman" w:hAnsi="Times New Roman"/>
                      <w:color w:val="auto"/>
                      <w:szCs w:val="21"/>
                      <w:vertAlign w:val="superscript"/>
                    </w:rPr>
                    <w:t>-4</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8" w:type="pct"/>
                  <w:vMerge w:val="continue"/>
                  <w:shd w:val="clear" w:color="auto" w:fill="auto"/>
                  <w:vAlign w:val="center"/>
                </w:tcPr>
                <w:p>
                  <w:pPr>
                    <w:jc w:val="center"/>
                    <w:rPr>
                      <w:rFonts w:ascii="Times New Roman" w:hAnsi="Times New Roman"/>
                      <w:color w:val="auto"/>
                      <w:szCs w:val="21"/>
                    </w:rPr>
                  </w:pPr>
                </w:p>
              </w:tc>
              <w:tc>
                <w:tcPr>
                  <w:tcW w:w="15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土壤容重/(g/cm</w:t>
                  </w:r>
                  <w:r>
                    <w:rPr>
                      <w:rFonts w:ascii="Times New Roman" w:hAnsi="Times New Roman"/>
                      <w:color w:val="auto"/>
                      <w:szCs w:val="21"/>
                      <w:vertAlign w:val="superscript"/>
                    </w:rPr>
                    <w:t>3</w:t>
                  </w:r>
                  <w:r>
                    <w:rPr>
                      <w:rFonts w:ascii="Times New Roman" w:hAnsi="Times New Roman"/>
                      <w:color w:val="auto"/>
                      <w:szCs w:val="21"/>
                    </w:rPr>
                    <w:t>)</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1.02</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28" w:type="pct"/>
                  <w:vMerge w:val="continue"/>
                  <w:shd w:val="clear" w:color="auto" w:fill="auto"/>
                  <w:vAlign w:val="center"/>
                </w:tcPr>
                <w:p>
                  <w:pPr>
                    <w:jc w:val="center"/>
                    <w:rPr>
                      <w:rFonts w:ascii="Times New Roman" w:hAnsi="Times New Roman"/>
                      <w:color w:val="auto"/>
                      <w:szCs w:val="21"/>
                    </w:rPr>
                  </w:pPr>
                </w:p>
              </w:tc>
              <w:tc>
                <w:tcPr>
                  <w:tcW w:w="1569"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总孔隙度（%）</w:t>
                  </w:r>
                </w:p>
              </w:tc>
              <w:tc>
                <w:tcPr>
                  <w:tcW w:w="70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58</w:t>
                  </w:r>
                </w:p>
              </w:tc>
              <w:tc>
                <w:tcPr>
                  <w:tcW w:w="576"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3"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c>
                <w:tcPr>
                  <w:tcW w:w="574" w:type="pct"/>
                  <w:shd w:val="clear" w:color="auto" w:fill="auto"/>
                  <w:noWrap/>
                  <w:vAlign w:val="center"/>
                </w:tcPr>
                <w:p>
                  <w:pPr>
                    <w:jc w:val="center"/>
                    <w:rPr>
                      <w:rFonts w:ascii="Times New Roman" w:hAnsi="Times New Roman"/>
                      <w:color w:val="auto"/>
                      <w:szCs w:val="21"/>
                    </w:rPr>
                  </w:pPr>
                  <w:r>
                    <w:rPr>
                      <w:rFonts w:ascii="Times New Roman" w:hAnsi="Times New Roman"/>
                      <w:color w:val="auto"/>
                      <w:szCs w:val="21"/>
                    </w:rPr>
                    <w:t>-</w:t>
                  </w:r>
                </w:p>
              </w:tc>
            </w:tr>
          </w:tbl>
          <w:p>
            <w:pPr>
              <w:adjustRightInd w:val="0"/>
              <w:snapToGrid w:val="0"/>
              <w:spacing w:before="120" w:beforeLines="50" w:line="360" w:lineRule="auto"/>
              <w:ind w:firstLine="482" w:firstLineChars="200"/>
              <w:jc w:val="both"/>
              <w:rPr>
                <w:rFonts w:ascii="Times New Roman" w:hAnsi="Times New Roman"/>
                <w:b/>
                <w:color w:val="auto"/>
                <w:sz w:val="24"/>
                <w:szCs w:val="20"/>
              </w:rPr>
            </w:pPr>
            <w:r>
              <w:rPr>
                <w:rFonts w:ascii="Times New Roman" w:hAnsi="Times New Roman"/>
                <w:b/>
                <w:color w:val="auto"/>
                <w:sz w:val="24"/>
                <w:szCs w:val="20"/>
              </w:rPr>
              <w:t>8.2土壤环境质量现状调查与评价</w:t>
            </w:r>
          </w:p>
          <w:p>
            <w:pPr>
              <w:adjustRightInd w:val="0"/>
              <w:snapToGrid w:val="0"/>
              <w:spacing w:line="360" w:lineRule="auto"/>
              <w:ind w:firstLine="480" w:firstLineChars="200"/>
              <w:jc w:val="both"/>
              <w:rPr>
                <w:rFonts w:ascii="Times New Roman" w:hAnsi="Times New Roman"/>
                <w:color w:val="auto"/>
                <w:sz w:val="24"/>
                <w:szCs w:val="20"/>
                <w:lang w:bidi="ar"/>
              </w:rPr>
            </w:pPr>
            <w:r>
              <w:rPr>
                <w:rFonts w:ascii="Times New Roman" w:hAnsi="Times New Roman"/>
                <w:color w:val="auto"/>
                <w:sz w:val="24"/>
                <w:szCs w:val="20"/>
                <w:lang w:bidi="ar"/>
              </w:rPr>
              <w:t>本项目总占地面积为</w:t>
            </w:r>
            <w:r>
              <w:rPr>
                <w:rFonts w:hint="eastAsia" w:ascii="Times New Roman" w:hAnsi="Times New Roman"/>
                <w:color w:val="auto"/>
                <w:sz w:val="24"/>
                <w:szCs w:val="20"/>
                <w:lang w:bidi="ar"/>
              </w:rPr>
              <w:t>4092</w:t>
            </w:r>
            <w:r>
              <w:rPr>
                <w:rFonts w:ascii="Times New Roman" w:hAnsi="Times New Roman"/>
                <w:color w:val="auto"/>
                <w:sz w:val="24"/>
                <w:szCs w:val="20"/>
                <w:lang w:bidi="ar"/>
              </w:rPr>
              <w:t>0m</w:t>
            </w:r>
            <w:r>
              <w:rPr>
                <w:rFonts w:ascii="Times New Roman" w:hAnsi="Times New Roman"/>
                <w:color w:val="auto"/>
                <w:sz w:val="24"/>
                <w:szCs w:val="20"/>
                <w:vertAlign w:val="superscript"/>
                <w:lang w:bidi="ar"/>
              </w:rPr>
              <w:t>2</w:t>
            </w:r>
            <w:r>
              <w:rPr>
                <w:rFonts w:ascii="Times New Roman" w:hAnsi="Times New Roman"/>
                <w:color w:val="auto"/>
                <w:sz w:val="24"/>
                <w:szCs w:val="20"/>
                <w:lang w:bidi="ar"/>
              </w:rPr>
              <w:t>，</w:t>
            </w:r>
            <w:r>
              <w:rPr>
                <w:rFonts w:hint="eastAsia" w:ascii="Times New Roman" w:hAnsi="Times New Roman"/>
                <w:color w:val="auto"/>
                <w:sz w:val="24"/>
                <w:szCs w:val="20"/>
                <w:lang w:bidi="ar"/>
              </w:rPr>
              <w:t>永久占地面积28920</w:t>
            </w:r>
            <w:r>
              <w:rPr>
                <w:rFonts w:ascii="Times New Roman" w:hAnsi="Times New Roman"/>
                <w:color w:val="auto"/>
                <w:sz w:val="24"/>
                <w:szCs w:val="20"/>
                <w:lang w:bidi="ar"/>
              </w:rPr>
              <w:t>m</w:t>
            </w:r>
            <w:r>
              <w:rPr>
                <w:rFonts w:ascii="Times New Roman" w:hAnsi="Times New Roman"/>
                <w:color w:val="auto"/>
                <w:sz w:val="24"/>
                <w:szCs w:val="20"/>
                <w:vertAlign w:val="superscript"/>
                <w:lang w:bidi="ar"/>
              </w:rPr>
              <w:t>2</w:t>
            </w:r>
            <w:r>
              <w:rPr>
                <w:rFonts w:hint="eastAsia" w:ascii="Times New Roman" w:hAnsi="Times New Roman"/>
                <w:color w:val="auto"/>
                <w:sz w:val="24"/>
                <w:szCs w:val="20"/>
                <w:lang w:bidi="ar"/>
              </w:rPr>
              <w:t>，</w:t>
            </w:r>
            <w:r>
              <w:rPr>
                <w:rFonts w:ascii="Times New Roman" w:hAnsi="Times New Roman"/>
                <w:color w:val="auto"/>
                <w:sz w:val="24"/>
                <w:szCs w:val="20"/>
                <w:lang w:bidi="ar"/>
              </w:rPr>
              <w:t>属于</w:t>
            </w:r>
            <w:r>
              <w:rPr>
                <w:rFonts w:hint="eastAsia" w:ascii="Times New Roman" w:hAnsi="Times New Roman"/>
                <w:color w:val="auto"/>
                <w:sz w:val="24"/>
                <w:szCs w:val="20"/>
                <w:lang w:bidi="ar"/>
              </w:rPr>
              <w:t>小</w:t>
            </w:r>
            <w:r>
              <w:rPr>
                <w:rFonts w:ascii="Times New Roman" w:hAnsi="Times New Roman"/>
                <w:color w:val="auto"/>
                <w:sz w:val="24"/>
                <w:szCs w:val="20"/>
                <w:lang w:bidi="ar"/>
              </w:rPr>
              <w:t>型建设项目，占地范围内及周边区域存在耕地土壤环境敏感目标，本项目占地范围内土壤环境属于敏感。根据《环境影响评价技术导则 土壤环境(试行)》(HJ 964-2018)附录A中表A.1 土壤环境影响评价项目类别判定，本工程属于</w:t>
            </w:r>
            <w:r>
              <w:rPr>
                <w:rFonts w:ascii="Times New Roman" w:hAnsi="Times New Roman"/>
                <w:color w:val="auto"/>
                <w:sz w:val="24"/>
              </w:rPr>
              <w:fldChar w:fldCharType="begin"/>
            </w:r>
            <w:r>
              <w:rPr>
                <w:rFonts w:ascii="Times New Roman" w:hAnsi="Times New Roman"/>
                <w:color w:val="auto"/>
                <w:sz w:val="24"/>
              </w:rPr>
              <w:instrText xml:space="preserve"> = 1 \* ROMAN </w:instrText>
            </w:r>
            <w:r>
              <w:rPr>
                <w:rFonts w:ascii="Times New Roman" w:hAnsi="Times New Roman"/>
                <w:color w:val="auto"/>
                <w:sz w:val="24"/>
              </w:rPr>
              <w:fldChar w:fldCharType="separate"/>
            </w:r>
            <w:r>
              <w:rPr>
                <w:rFonts w:ascii="Times New Roman" w:hAnsi="Times New Roman"/>
                <w:color w:val="auto"/>
                <w:sz w:val="24"/>
              </w:rPr>
              <w:t>I</w:t>
            </w:r>
            <w:r>
              <w:rPr>
                <w:rFonts w:ascii="Times New Roman" w:hAnsi="Times New Roman"/>
                <w:color w:val="auto"/>
                <w:sz w:val="24"/>
              </w:rPr>
              <w:fldChar w:fldCharType="end"/>
            </w:r>
            <w:r>
              <w:rPr>
                <w:rFonts w:ascii="Times New Roman" w:hAnsi="Times New Roman"/>
                <w:color w:val="auto"/>
                <w:sz w:val="24"/>
                <w:szCs w:val="20"/>
                <w:lang w:bidi="ar"/>
              </w:rPr>
              <w:t>类项目，根据《环境影响评价技术导则 土壤环境(试行)》(HJ 964-2018)中评价工作等级划分依据，本项目土壤环境评价等级为一级。</w:t>
            </w:r>
          </w:p>
          <w:p>
            <w:pPr>
              <w:pStyle w:val="254"/>
              <w:rPr>
                <w:rFonts w:ascii="Times New Roman" w:hAnsi="Times New Roman"/>
                <w:color w:val="auto"/>
              </w:rPr>
            </w:pPr>
            <w:r>
              <w:rPr>
                <w:rFonts w:ascii="Times New Roman" w:hAnsi="Times New Roman"/>
                <w:color w:val="auto"/>
              </w:rPr>
              <w:t>土壤评价等级划分依据见下表。</w:t>
            </w:r>
          </w:p>
          <w:p>
            <w:pPr>
              <w:jc w:val="center"/>
              <w:rPr>
                <w:rFonts w:ascii="Times New Roman" w:hAnsi="Times New Roman" w:eastAsia="投产"/>
                <w:b/>
                <w:color w:val="auto"/>
                <w:szCs w:val="21"/>
              </w:rPr>
            </w:pPr>
            <w:r>
              <w:rPr>
                <w:rFonts w:ascii="Times New Roman" w:hAnsi="Times New Roman" w:eastAsia="投产"/>
                <w:b/>
                <w:color w:val="auto"/>
                <w:szCs w:val="21"/>
              </w:rPr>
              <w:t>表</w:t>
            </w:r>
            <w:r>
              <w:rPr>
                <w:rFonts w:hint="eastAsia" w:ascii="Times New Roman" w:hAnsi="Times New Roman" w:eastAsia="投产"/>
                <w:b/>
                <w:color w:val="auto"/>
                <w:szCs w:val="21"/>
              </w:rPr>
              <w:t>3-9</w:t>
            </w:r>
            <w:r>
              <w:rPr>
                <w:rFonts w:ascii="Times New Roman" w:hAnsi="Times New Roman" w:eastAsia="投产"/>
                <w:b/>
                <w:color w:val="auto"/>
                <w:szCs w:val="21"/>
              </w:rPr>
              <w:t xml:space="preserve"> </w:t>
            </w:r>
            <w:r>
              <w:rPr>
                <w:rFonts w:hint="eastAsia" w:ascii="Times New Roman" w:hAnsi="Times New Roman" w:eastAsia="投产"/>
                <w:b/>
                <w:color w:val="auto"/>
                <w:szCs w:val="21"/>
              </w:rPr>
              <w:t xml:space="preserve">  </w:t>
            </w:r>
            <w:r>
              <w:rPr>
                <w:rFonts w:ascii="Times New Roman" w:hAnsi="Times New Roman" w:eastAsia="投产"/>
                <w:b/>
                <w:color w:val="auto"/>
                <w:szCs w:val="21"/>
              </w:rPr>
              <w:t>土壤污染类项目敏感程度分级表</w:t>
            </w:r>
          </w:p>
          <w:tbl>
            <w:tblPr>
              <w:tblStyle w:val="37"/>
              <w:tblW w:w="852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00" w:lineRule="exact"/>
                    <w:jc w:val="center"/>
                    <w:rPr>
                      <w:rFonts w:ascii="Times New Roman" w:hAnsi="Times New Roman"/>
                      <w:color w:val="auto"/>
                      <w:szCs w:val="21"/>
                    </w:rPr>
                  </w:pPr>
                  <w:r>
                    <w:rPr>
                      <w:rFonts w:ascii="Times New Roman" w:hAnsi="Times New Roman"/>
                      <w:color w:val="auto"/>
                      <w:szCs w:val="21"/>
                    </w:rPr>
                    <w:t>敏感程度</w:t>
                  </w:r>
                </w:p>
              </w:tc>
              <w:tc>
                <w:tcPr>
                  <w:tcW w:w="7286" w:type="dxa"/>
                </w:tcPr>
                <w:p>
                  <w:pPr>
                    <w:spacing w:line="300" w:lineRule="exact"/>
                    <w:jc w:val="center"/>
                    <w:rPr>
                      <w:rFonts w:ascii="Times New Roman" w:hAnsi="Times New Roman"/>
                      <w:color w:val="auto"/>
                      <w:szCs w:val="21"/>
                    </w:rPr>
                  </w:pPr>
                  <w:r>
                    <w:rPr>
                      <w:rFonts w:ascii="Times New Roman" w:hAnsi="Times New Roman"/>
                      <w:color w:val="auto"/>
                      <w:szCs w:val="21"/>
                    </w:rPr>
                    <w:t>判别依据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敏感</w:t>
                  </w:r>
                </w:p>
              </w:tc>
              <w:tc>
                <w:tcPr>
                  <w:tcW w:w="7286"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建设项目周边存在耕地、园地、牧草地、饮用水源地、居民区、学校、医院、疗养院、养老院等土壤环境敏感目标的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较敏感</w:t>
                  </w:r>
                </w:p>
              </w:tc>
              <w:tc>
                <w:tcPr>
                  <w:tcW w:w="7286"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建设项目周边存在其他土壤环境敏感目标的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不敏感</w:t>
                  </w:r>
                </w:p>
              </w:tc>
              <w:tc>
                <w:tcPr>
                  <w:tcW w:w="7286" w:type="dxa"/>
                  <w:vAlign w:val="center"/>
                </w:tcPr>
                <w:p>
                  <w:pPr>
                    <w:spacing w:line="300" w:lineRule="exact"/>
                    <w:jc w:val="center"/>
                    <w:rPr>
                      <w:rFonts w:ascii="Times New Roman" w:hAnsi="Times New Roman"/>
                      <w:color w:val="auto"/>
                      <w:szCs w:val="21"/>
                    </w:rPr>
                  </w:pPr>
                  <w:r>
                    <w:rPr>
                      <w:rFonts w:ascii="Times New Roman" w:hAnsi="Times New Roman"/>
                      <w:color w:val="auto"/>
                      <w:szCs w:val="21"/>
                    </w:rPr>
                    <w:t>其他情况</w:t>
                  </w:r>
                </w:p>
              </w:tc>
            </w:tr>
          </w:tbl>
          <w:p>
            <w:pPr>
              <w:ind w:firstLine="422" w:firstLineChars="200"/>
              <w:rPr>
                <w:rFonts w:ascii="Times New Roman" w:hAnsi="Times New Roman" w:eastAsia="投产"/>
                <w:b/>
                <w:color w:val="auto"/>
                <w:szCs w:val="21"/>
              </w:rPr>
            </w:pPr>
          </w:p>
          <w:p>
            <w:pPr>
              <w:jc w:val="center"/>
              <w:rPr>
                <w:rFonts w:ascii="Times New Roman" w:hAnsi="Times New Roman" w:eastAsia="投产"/>
                <w:b/>
                <w:color w:val="auto"/>
                <w:szCs w:val="21"/>
              </w:rPr>
            </w:pPr>
            <w:r>
              <w:rPr>
                <w:rFonts w:ascii="Times New Roman" w:hAnsi="Times New Roman" w:eastAsia="投产"/>
                <w:b/>
                <w:color w:val="auto"/>
                <w:szCs w:val="21"/>
              </w:rPr>
              <w:t>表</w:t>
            </w:r>
            <w:r>
              <w:rPr>
                <w:rFonts w:hint="eastAsia" w:ascii="Times New Roman" w:hAnsi="Times New Roman" w:eastAsia="投产"/>
                <w:b/>
                <w:color w:val="auto"/>
                <w:szCs w:val="21"/>
              </w:rPr>
              <w:t>3-10</w:t>
            </w:r>
            <w:r>
              <w:rPr>
                <w:rFonts w:ascii="Times New Roman" w:hAnsi="Times New Roman" w:eastAsia="投产"/>
                <w:b/>
                <w:color w:val="auto"/>
                <w:szCs w:val="21"/>
              </w:rPr>
              <w:t xml:space="preserve"> </w:t>
            </w:r>
            <w:r>
              <w:rPr>
                <w:rFonts w:hint="eastAsia" w:ascii="Times New Roman" w:hAnsi="Times New Roman" w:eastAsia="投产"/>
                <w:b/>
                <w:color w:val="auto"/>
                <w:szCs w:val="21"/>
              </w:rPr>
              <w:t xml:space="preserve"> </w:t>
            </w:r>
            <w:r>
              <w:rPr>
                <w:rFonts w:ascii="Times New Roman" w:hAnsi="Times New Roman" w:eastAsia="投产"/>
                <w:b/>
                <w:color w:val="auto"/>
                <w:szCs w:val="21"/>
              </w:rPr>
              <w:t>土壤污染类项目评价工作等级划分表</w:t>
            </w:r>
          </w:p>
          <w:tbl>
            <w:tblPr>
              <w:tblStyle w:val="37"/>
              <w:tblW w:w="852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03"/>
              <w:gridCol w:w="691"/>
              <w:gridCol w:w="691"/>
              <w:gridCol w:w="691"/>
              <w:gridCol w:w="691"/>
              <w:gridCol w:w="691"/>
              <w:gridCol w:w="692"/>
              <w:gridCol w:w="691"/>
              <w:gridCol w:w="691"/>
              <w:gridCol w:w="6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3" w:type="dxa"/>
                  <w:vMerge w:val="restart"/>
                  <w:vAlign w:val="center"/>
                </w:tcPr>
                <w:p>
                  <w:pPr>
                    <w:widowControl w:val="0"/>
                    <w:snapToGrid w:val="0"/>
                    <w:spacing w:line="240" w:lineRule="exact"/>
                    <w:jc w:val="right"/>
                    <w:rPr>
                      <w:rFonts w:ascii="Times New Roman" w:hAnsi="Times New Roman"/>
                      <w:color w:val="auto"/>
                      <w:szCs w:val="21"/>
                    </w:rPr>
                  </w:pPr>
                  <w:r>
                    <w:rPr>
                      <w:rFonts w:ascii="Times New Roman" w:hAnsi="Times New Roman"/>
                      <w:b/>
                      <w:color w:val="auto"/>
                    </w:rPr>
                    <mc:AlternateContent>
                      <mc:Choice Requires="wps">
                        <w:drawing>
                          <wp:anchor distT="0" distB="0" distL="114300" distR="114300" simplePos="0" relativeHeight="251662336" behindDoc="0" locked="0" layoutInCell="1" allowOverlap="1">
                            <wp:simplePos x="0" y="0"/>
                            <wp:positionH relativeFrom="column">
                              <wp:posOffset>614680</wp:posOffset>
                            </wp:positionH>
                            <wp:positionV relativeFrom="paragraph">
                              <wp:posOffset>1270</wp:posOffset>
                            </wp:positionV>
                            <wp:extent cx="783590" cy="700405"/>
                            <wp:effectExtent l="3175" t="3810" r="13335" b="19685"/>
                            <wp:wrapNone/>
                            <wp:docPr id="17" name="直接箭头连接符 17"/>
                            <wp:cNvGraphicFramePr/>
                            <a:graphic xmlns:a="http://schemas.openxmlformats.org/drawingml/2006/main">
                              <a:graphicData uri="http://schemas.microsoft.com/office/word/2010/wordprocessingShape">
                                <wps:wsp>
                                  <wps:cNvCnPr/>
                                  <wps:spPr>
                                    <a:xfrm>
                                      <a:off x="0" y="0"/>
                                      <a:ext cx="783590" cy="700405"/>
                                    </a:xfrm>
                                    <a:prstGeom prst="straightConnector1">
                                      <a:avLst/>
                                    </a:prstGeom>
                                    <a:ln w="6350" cap="flat" cmpd="sng">
                                      <a:solidFill>
                                        <a:srgbClr val="0D0D0D"/>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4pt;margin-top:0.1pt;height:55.15pt;width:61.7pt;z-index:251662336;mso-width-relative:page;mso-height-relative:page;" filled="f" stroked="t" coordsize="21600,21600" o:gfxdata="UEsDBAoAAAAAAIdO4kAAAAAAAAAAAAAAAAAEAAAAZHJzL1BLAwQUAAAACACHTuJAJlBQ2tYAAAAH&#10;AQAADwAAAGRycy9kb3ducmV2LnhtbE2OQUvDQBSE74L/YXmCN7uboFVjNgWFIoIeGovobZt9JsHs&#10;eyG7Teu/93nS2wwzzHzl6hgGNeMUeyYL2cKAQmrY99Ra2L6uL25AxeTIu4EJLXxjhFV1elK6wvOB&#10;NjjXqVUyQrFwFrqUxkLr2HQYXFzwiCTZJ0/BJbFTq/3kDjIeBp0bs9TB9SQPnRvxocPmq94HC9fz&#10;/bz9eDcv3TPXa948Xj41b2zt+Vlm7kAlPKa/MvziCzpUwrTjPfmoBgu3SyFPFnJQkua5EbGTWmau&#10;QFel/s9f/QBQSwMEFAAAAAgAh07iQI0sE4QCAgAA8gMAAA4AAABkcnMvZTJvRG9jLnhtbK1TzW4T&#10;MRC+I/EOlu9kNy1pyiqbHhLKBUEk6AM4tnfXkv/kcbPJS/ACSJyAE3Dqnaeh5TEYe0MK5ZIDWsk7&#10;9sx8M9/n8exiazTZyADK2ZqORyUl0nInlG1revX28sk5JRCZFUw7K2u6k0Av5o8fzXpfyRPXOS1k&#10;IAhioep9TbsYfVUUwDtpGIyclxadjQuGRdyGthCB9YhudHFSlmdF74LwwXEJgKfLwUn3iOEYQNc0&#10;isul49dG2jigBqlZRErQKQ90nrttGsnj66YBGYmuKTKNecUiaK/TWsxnrGoD853i+xbYMS084GSY&#10;slj0ALVkkZHroP6BMooHB66JI+5MMRDJiiCLcflAmzcd8zJzQanBH0SH/wfLX21WgSiBkzClxDKD&#10;N373/ub23ae7b19/fLz5+f1Dsr98JuhHsXoPFeYs7Crsd+BXITHfNsGkP3Ii2yzw7iCw3EbC8XB6&#10;fjp5htJzdE3L8mk5SZjFfbIPEF9IZ0gyagoxMNV2ceGsxat0YZxFZpuXEIfE3wmpsrakr+nZ6SRV&#10;YDiaDY4EmsYjPbBtzgWnlbhUWqcMCO16oQPZsDQey/TtG/orLBVZMuiGuOxKYazqJBPPrSBx51E3&#10;i++FphaMFJRoic8rWTkyMqWPiUQttEVJks6DsslaO7HLgudzHIUs2n5s06z9uc/Z909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UFDa1gAAAAcBAAAPAAAAAAAAAAEAIAAAACIAAABkcnMvZG93&#10;bnJldi54bWxQSwECFAAUAAAACACHTuJAjSwThAICAADyAwAADgAAAAAAAAABACAAAAAlAQAAZHJz&#10;L2Uyb0RvYy54bWxQSwUGAAAAAAYABgBZAQAAmQUAAAAA&#10;">
                            <v:fill on="f" focussize="0,0"/>
                            <v:stroke weight="0.5pt" color="#0D0D0D" joinstyle="round"/>
                            <v:imagedata o:title=""/>
                            <o:lock v:ext="edit" aspectratio="f"/>
                          </v:shape>
                        </w:pict>
                      </mc:Fallback>
                    </mc:AlternateContent>
                  </w:r>
                  <w:r>
                    <w:rPr>
                      <w:rFonts w:ascii="Times New Roman" w:hAnsi="Times New Roman"/>
                      <w:color w:val="auto"/>
                      <w:szCs w:val="21"/>
                    </w:rPr>
                    <w:t>占地规模</w:t>
                  </w:r>
                </w:p>
                <w:p>
                  <w:pPr>
                    <w:widowControl w:val="0"/>
                    <w:snapToGrid w:val="0"/>
                    <w:spacing w:line="240" w:lineRule="exact"/>
                    <w:jc w:val="center"/>
                    <w:rPr>
                      <w:rFonts w:ascii="Times New Roman" w:hAnsi="Times New Roman"/>
                      <w:color w:val="auto"/>
                      <w:szCs w:val="21"/>
                    </w:rPr>
                  </w:pPr>
                  <w:r>
                    <w:rPr>
                      <w:rFonts w:ascii="Times New Roman" w:hAnsi="Times New Roman"/>
                      <w:color w:val="auto"/>
                      <w:szCs w:val="21"/>
                    </w:rPr>
                    <w:t>敏感</w:t>
                  </w:r>
                </w:p>
                <w:p>
                  <w:pPr>
                    <w:widowControl w:val="0"/>
                    <w:snapToGrid w:val="0"/>
                    <w:spacing w:line="240" w:lineRule="exact"/>
                    <w:jc w:val="center"/>
                    <w:rPr>
                      <w:rFonts w:ascii="Times New Roman" w:hAnsi="Times New Roman"/>
                      <w:color w:val="auto"/>
                      <w:szCs w:val="21"/>
                    </w:rPr>
                  </w:pPr>
                  <w:r>
                    <w:rPr>
                      <w:rFonts w:ascii="Times New Roman" w:hAnsi="Times New Roman"/>
                      <w:color w:val="auto"/>
                      <w:szCs w:val="21"/>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4445</wp:posOffset>
                            </wp:positionV>
                            <wp:extent cx="1441450" cy="351155"/>
                            <wp:effectExtent l="1270" t="4445" r="5080" b="6350"/>
                            <wp:wrapNone/>
                            <wp:docPr id="12" name="直接箭头连接符 12"/>
                            <wp:cNvGraphicFramePr/>
                            <a:graphic xmlns:a="http://schemas.openxmlformats.org/drawingml/2006/main">
                              <a:graphicData uri="http://schemas.microsoft.com/office/word/2010/wordprocessingShape">
                                <wps:wsp>
                                  <wps:cNvCnPr/>
                                  <wps:spPr>
                                    <a:xfrm>
                                      <a:off x="0" y="0"/>
                                      <a:ext cx="1441450" cy="351155"/>
                                    </a:xfrm>
                                    <a:prstGeom prst="straightConnector1">
                                      <a:avLst/>
                                    </a:prstGeom>
                                    <a:ln w="6350" cap="flat" cmpd="sng">
                                      <a:solidFill>
                                        <a:srgbClr val="0D0D0D"/>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5pt;margin-top:0.35pt;height:27.65pt;width:113.5pt;z-index:251663360;mso-width-relative:page;mso-height-relative:page;" filled="f" stroked="t" coordsize="21600,21600" o:gfxdata="UEsDBAoAAAAAAIdO4kAAAAAAAAAAAAAAAAAEAAAAZHJzL1BLAwQUAAAACACHTuJA2u7nO9YAAAAG&#10;AQAADwAAAGRycy9kb3ducmV2LnhtbE2OQUvDQBCF74L/YRnBW7vbqLHEbAoKRQQ9NBapt212zAaz&#10;syG7Teu/dzzV2zze45uvXJ18LyYcYxdIw2KuQCA1wXbUati+r2dLEDEZsqYPhBp+MMKqurwoTWHD&#10;kTY41akVDKFYGA0upaGQMjYOvYnzMCBx9xVGbxLHsZV2NEeG+15mSuXSm474gzMDPjlsvuuD13A/&#10;PU7bz516c6+hXofN8+1L8xG0vr5aqAcQCU/pPIY/fVaHip324UA2il7DLL/hJbNAcJtlio+9hrtc&#10;gaxK+V+/+gVQSwMEFAAAAAgAh07iQOLo7tsCAgAA8wMAAA4AAABkcnMvZTJvRG9jLnhtbK1TzW4T&#10;MRC+I/EOlu9ks2lSoVU2PSSUC4JIwAM4tnfXkv/kcbPJS/ACSJyAE3DqvU8D5TE69qYplEsOaCXv&#10;2DPzzXyfx/OLndFkKwMoZ2tajsaUSMudULat6ft3l8+eUwKRWcG0s7Kmewn0YvH0ybz3lZy4zmkh&#10;A0EQC1Xva9rF6KuiAN5Jw2DkvLTobFwwLOI2tIUIrEd0o4vJeHxe9C4IHxyXAHi6Gpz0gBhOAXRN&#10;o7hcOX5lpI0DapCaRaQEnfJAF7nbppE8vmkakJHomiLTmFcsgvYmrcVizqo2MN8pfmiBndLCI06G&#10;KYtFj1ArFhm5CuofKKN4cOCaOOLOFAORrAiyKMePtHnbMS8zF5Qa/FF0+H+w/PV2HYgSOAkTSiwz&#10;eOO3H69/ffhy++P7z8/Xv28+JfvbV4J+FKv3UGHO0q7DYQd+HRLzXRNM+iMnsssC748Cy10kHA/L&#10;6bSczlB7jr6zWVnOZgm0eMj2AeJL6QxJRk0hBqbaLi6dtXiXLpRZZbZ9BXFIvE9IpbUlfU3Pz3IF&#10;hrPZ4ExgMeORH9g254LTSlwqrVMGhHaz1IFsWZqPVfoODf0VloqsGHRDXHalMFZ1kokXVpC49yic&#10;xQdDUwtGCkq0xPeVrBwZmdKnRKIW2qIkSehB2mRtnNhnxfM5zkIW7TC3adj+3Ofsh7e6u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7uc71gAAAAYBAAAPAAAAAAAAAAEAIAAAACIAAABkcnMvZG93&#10;bnJldi54bWxQSwECFAAUAAAACACHTuJA4uju2wICAADzAwAADgAAAAAAAAABACAAAAAlAQAAZHJz&#10;L2Uyb0RvYy54bWxQSwUGAAAAAAYABgBZAQAAmQUAAAAA&#10;">
                            <v:fill on="f" focussize="0,0"/>
                            <v:stroke weight="0.5pt" color="#0D0D0D" joinstyle="round"/>
                            <v:imagedata o:title=""/>
                            <o:lock v:ext="edit" aspectratio="f"/>
                          </v:shape>
                        </w:pict>
                      </mc:Fallback>
                    </mc:AlternateContent>
                  </w:r>
                  <w:r>
                    <w:rPr>
                      <w:rFonts w:ascii="Times New Roman" w:hAnsi="Times New Roman"/>
                      <w:color w:val="auto"/>
                      <w:szCs w:val="21"/>
                    </w:rPr>
                    <w:t>程度</w:t>
                  </w:r>
                </w:p>
                <w:p>
                  <w:pPr>
                    <w:widowControl w:val="0"/>
                    <w:snapToGrid w:val="0"/>
                    <w:spacing w:line="240" w:lineRule="exact"/>
                    <w:rPr>
                      <w:rFonts w:ascii="Times New Roman" w:hAnsi="Times New Roman"/>
                      <w:color w:val="auto"/>
                      <w:szCs w:val="21"/>
                    </w:rPr>
                  </w:pPr>
                  <w:r>
                    <w:rPr>
                      <w:rFonts w:ascii="Times New Roman" w:hAnsi="Times New Roman"/>
                      <w:color w:val="auto"/>
                      <w:szCs w:val="21"/>
                    </w:rPr>
                    <w:t>评价等级</w:t>
                  </w:r>
                </w:p>
              </w:tc>
              <w:tc>
                <w:tcPr>
                  <w:tcW w:w="2073" w:type="dxa"/>
                  <w:gridSpan w:val="3"/>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Ⅰ类</w:t>
                  </w:r>
                </w:p>
              </w:tc>
              <w:tc>
                <w:tcPr>
                  <w:tcW w:w="2074" w:type="dxa"/>
                  <w:gridSpan w:val="3"/>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Ⅱ类</w:t>
                  </w:r>
                </w:p>
              </w:tc>
              <w:tc>
                <w:tcPr>
                  <w:tcW w:w="2078" w:type="dxa"/>
                  <w:gridSpan w:val="3"/>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Ⅲ类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3" w:type="dxa"/>
                  <w:vMerge w:val="continue"/>
                  <w:vAlign w:val="center"/>
                </w:tcPr>
                <w:p>
                  <w:pPr>
                    <w:widowControl w:val="0"/>
                    <w:spacing w:line="240" w:lineRule="exact"/>
                    <w:jc w:val="center"/>
                    <w:rPr>
                      <w:rFonts w:ascii="Times New Roman" w:hAnsi="Times New Roman"/>
                      <w:color w:val="auto"/>
                      <w:szCs w:val="21"/>
                    </w:rPr>
                  </w:pP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中</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小</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中</w:t>
                  </w:r>
                </w:p>
              </w:tc>
              <w:tc>
                <w:tcPr>
                  <w:tcW w:w="692"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小</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中</w:t>
                  </w:r>
                </w:p>
              </w:tc>
              <w:tc>
                <w:tcPr>
                  <w:tcW w:w="696"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3"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敏感</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2"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6"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3"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较敏感</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2"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6"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3"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不敏感</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一级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二级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2"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三级</w:t>
                  </w:r>
                </w:p>
              </w:tc>
              <w:tc>
                <w:tcPr>
                  <w:tcW w:w="691"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w:t>
                  </w:r>
                </w:p>
              </w:tc>
              <w:tc>
                <w:tcPr>
                  <w:tcW w:w="696" w:type="dxa"/>
                  <w:vAlign w:val="center"/>
                </w:tcPr>
                <w:p>
                  <w:pPr>
                    <w:widowControl w:val="0"/>
                    <w:spacing w:line="240" w:lineRule="exact"/>
                    <w:jc w:val="center"/>
                    <w:rPr>
                      <w:rFonts w:ascii="Times New Roman" w:hAnsi="Times New Roman"/>
                      <w:color w:val="auto"/>
                      <w:szCs w:val="21"/>
                    </w:rPr>
                  </w:pPr>
                  <w:r>
                    <w:rPr>
                      <w:rFonts w:ascii="Times New Roman" w:hAnsi="Times New Roman"/>
                      <w:color w:val="auto"/>
                      <w:szCs w:val="21"/>
                    </w:rPr>
                    <w:t>-</w:t>
                  </w:r>
                </w:p>
              </w:tc>
            </w:tr>
          </w:tbl>
          <w:p>
            <w:pPr>
              <w:pStyle w:val="254"/>
              <w:spacing w:before="120" w:beforeLines="50"/>
              <w:rPr>
                <w:rFonts w:ascii="Times New Roman" w:hAnsi="Times New Roman"/>
                <w:color w:val="auto"/>
              </w:rPr>
            </w:pPr>
            <w:r>
              <w:rPr>
                <w:rFonts w:ascii="Times New Roman" w:hAnsi="Times New Roman"/>
                <w:color w:val="auto"/>
              </w:rPr>
              <w:t>根据评价工作等级，并结合本项目特点，考虑油田整体开发对区域的影响，确定每个井场土壤环境影响的评价范围为井场占地及占地范围外1000m；集输管线土壤环境影响评价范围为以管线边界两侧外延200m。</w:t>
            </w:r>
          </w:p>
          <w:p>
            <w:pPr>
              <w:adjustRightInd w:val="0"/>
              <w:snapToGrid w:val="0"/>
              <w:spacing w:line="360" w:lineRule="auto"/>
              <w:ind w:firstLine="480" w:firstLineChars="200"/>
              <w:jc w:val="both"/>
              <w:rPr>
                <w:rFonts w:ascii="Times New Roman" w:hAnsi="Times New Roman"/>
                <w:bCs/>
                <w:color w:val="auto"/>
                <w:sz w:val="24"/>
              </w:rPr>
            </w:pPr>
            <w:r>
              <w:rPr>
                <w:rFonts w:ascii="Times New Roman" w:hAnsi="Times New Roman"/>
                <w:bCs/>
                <w:color w:val="auto"/>
                <w:sz w:val="24"/>
              </w:rPr>
              <w:t>（1）监测点位</w:t>
            </w:r>
          </w:p>
          <w:p>
            <w:pPr>
              <w:pStyle w:val="74"/>
              <w:adjustRightInd w:val="0"/>
              <w:snapToGrid w:val="0"/>
              <w:spacing w:line="360" w:lineRule="auto"/>
              <w:ind w:firstLine="480"/>
              <w:jc w:val="both"/>
              <w:outlineLvl w:val="9"/>
              <w:rPr>
                <w:rFonts w:ascii="Times New Roman" w:hAnsi="Times New Roman"/>
                <w:b w:val="0"/>
                <w:color w:val="auto"/>
                <w:szCs w:val="24"/>
              </w:rPr>
            </w:pPr>
            <w:r>
              <w:rPr>
                <w:rFonts w:ascii="Times New Roman" w:hAnsi="Times New Roman"/>
                <w:b w:val="0"/>
                <w:color w:val="auto"/>
                <w:szCs w:val="24"/>
              </w:rPr>
              <w:t>本次评价参照《环境影响评价技术导则 土壤环境（试行）》（HJ964-2018）中一级评价的要求进行土壤环境质量现状调查。项目占地范围内仅有一种土壤类型——灰色草甸土，项目区域的土壤类型见附图1</w:t>
            </w:r>
            <w:r>
              <w:rPr>
                <w:rFonts w:hint="eastAsia" w:ascii="Times New Roman" w:hAnsi="Times New Roman"/>
                <w:b w:val="0"/>
                <w:color w:val="auto"/>
                <w:szCs w:val="24"/>
              </w:rPr>
              <w:t>3</w:t>
            </w:r>
            <w:r>
              <w:rPr>
                <w:rFonts w:ascii="Times New Roman" w:hAnsi="Times New Roman"/>
                <w:b w:val="0"/>
                <w:color w:val="auto"/>
                <w:szCs w:val="24"/>
              </w:rPr>
              <w:t>。本次评价采用均布性和代表性相结合的原则，在项目区共布设11个监测点（占地范围内设置5个柱状样，2个表层样，占地范围外设置4个表层样），其中实测点10个，引用点1个（T11），引用点为春光油田监测项目，监测时间为2020年7月1日，监测单位为新疆新环监测检测研究院（有限公司）</w:t>
            </w:r>
            <w:r>
              <w:rPr>
                <w:rFonts w:hint="eastAsia" w:ascii="Times New Roman" w:hAnsi="Times New Roman"/>
                <w:b w:val="0"/>
                <w:color w:val="auto"/>
                <w:szCs w:val="24"/>
              </w:rPr>
              <w:t>（见附件5）</w:t>
            </w:r>
            <w:r>
              <w:rPr>
                <w:rFonts w:ascii="Times New Roman" w:hAnsi="Times New Roman"/>
                <w:b w:val="0"/>
                <w:color w:val="auto"/>
                <w:szCs w:val="24"/>
              </w:rPr>
              <w:t>。本项目位于新疆生产建设兵团123团境内，项目区无新增污染源，监测时间、监测点位、监测因子符合本项目需要，可代表本项目土壤环境质量现状。监测点坐标见表</w:t>
            </w:r>
            <w:r>
              <w:rPr>
                <w:rFonts w:hint="eastAsia" w:ascii="Times New Roman" w:hAnsi="Times New Roman"/>
                <w:b w:val="0"/>
                <w:color w:val="auto"/>
                <w:szCs w:val="24"/>
              </w:rPr>
              <w:t>3-11</w:t>
            </w:r>
            <w:r>
              <w:rPr>
                <w:rFonts w:ascii="Times New Roman" w:hAnsi="Times New Roman"/>
                <w:b w:val="0"/>
                <w:color w:val="auto"/>
                <w:szCs w:val="24"/>
              </w:rPr>
              <w:t>，</w:t>
            </w:r>
            <w:r>
              <w:rPr>
                <w:rFonts w:hint="eastAsia" w:ascii="Times New Roman" w:hAnsi="Times New Roman"/>
                <w:b w:val="0"/>
                <w:color w:val="auto"/>
                <w:szCs w:val="24"/>
              </w:rPr>
              <w:t>具体监测点位</w:t>
            </w:r>
            <w:r>
              <w:rPr>
                <w:rFonts w:ascii="Times New Roman" w:hAnsi="Times New Roman"/>
                <w:b w:val="0"/>
                <w:color w:val="auto"/>
                <w:szCs w:val="24"/>
              </w:rPr>
              <w:t>见附图1</w:t>
            </w:r>
            <w:r>
              <w:rPr>
                <w:rFonts w:hint="eastAsia" w:ascii="Times New Roman" w:hAnsi="Times New Roman"/>
                <w:b w:val="0"/>
                <w:color w:val="auto"/>
                <w:szCs w:val="24"/>
              </w:rPr>
              <w:t>3</w:t>
            </w:r>
            <w:r>
              <w:rPr>
                <w:rFonts w:ascii="Times New Roman" w:hAnsi="Times New Roman"/>
                <w:b w:val="0"/>
                <w:color w:val="auto"/>
                <w:szCs w:val="24"/>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 xml:space="preserve">3-11  </w:t>
            </w:r>
            <w:r>
              <w:rPr>
                <w:rFonts w:ascii="Times New Roman" w:hAnsi="Times New Roman"/>
                <w:b/>
                <w:color w:val="auto"/>
                <w:kern w:val="0"/>
                <w:szCs w:val="21"/>
              </w:rPr>
              <w:t xml:space="preserve"> 土壤监测点位</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85"/>
              <w:gridCol w:w="881"/>
              <w:gridCol w:w="1595"/>
              <w:gridCol w:w="1494"/>
              <w:gridCol w:w="1216"/>
              <w:gridCol w:w="25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35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范围</w:t>
                  </w: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编号</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点位</w:t>
                  </w:r>
                </w:p>
              </w:tc>
              <w:tc>
                <w:tcPr>
                  <w:tcW w:w="90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坐标</w:t>
                  </w:r>
                </w:p>
              </w:tc>
              <w:tc>
                <w:tcPr>
                  <w:tcW w:w="734"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取样类型</w:t>
                  </w:r>
                </w:p>
              </w:tc>
              <w:tc>
                <w:tcPr>
                  <w:tcW w:w="1515"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监测因子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restar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占地范围内</w:t>
                  </w:r>
                </w:p>
                <w:p>
                  <w:pPr>
                    <w:adjustRightInd w:val="0"/>
                    <w:snapToGrid w:val="0"/>
                    <w:jc w:val="center"/>
                    <w:rPr>
                      <w:rFonts w:ascii="Times New Roman" w:hAnsi="Times New Roman"/>
                      <w:color w:val="auto"/>
                      <w:kern w:val="0"/>
                      <w:sz w:val="20"/>
                      <w:szCs w:val="21"/>
                    </w:rPr>
                  </w:pP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T-1#</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春99-2井场</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84°29′21.79″E</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44°58′1.86″N</w:t>
                  </w:r>
                </w:p>
              </w:tc>
              <w:tc>
                <w:tcPr>
                  <w:tcW w:w="734"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柱状样</w:t>
                  </w:r>
                </w:p>
              </w:tc>
              <w:tc>
                <w:tcPr>
                  <w:tcW w:w="1515" w:type="pct"/>
                  <w:vMerge w:val="restart"/>
                  <w:shd w:val="clear" w:color="auto" w:fill="auto"/>
                  <w:vAlign w:val="center"/>
                </w:tcPr>
                <w:p>
                  <w:pPr>
                    <w:jc w:val="center"/>
                    <w:rPr>
                      <w:rFonts w:ascii="Times New Roman" w:hAnsi="Times New Roman"/>
                      <w:color w:val="auto"/>
                      <w:szCs w:val="21"/>
                    </w:rPr>
                  </w:pPr>
                  <w:r>
                    <w:rPr>
                      <w:rFonts w:ascii="Times New Roman" w:hAnsi="Times New Roman"/>
                      <w:color w:val="auto"/>
                      <w:szCs w:val="21"/>
                    </w:rPr>
                    <w:t>基本因子：pH、全盐量</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特征因子：石油烃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 w:val="20"/>
                      <w:szCs w:val="21"/>
                    </w:rPr>
                  </w:pP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T-2#</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春99-6井场</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84°29′50.72″E</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44°57′48.25″N</w:t>
                  </w:r>
                </w:p>
              </w:tc>
              <w:tc>
                <w:tcPr>
                  <w:tcW w:w="734" w:type="pct"/>
                  <w:shd w:val="clear" w:color="auto" w:fill="auto"/>
                  <w:vAlign w:val="center"/>
                </w:tcPr>
                <w:p>
                  <w:pPr>
                    <w:adjustRightInd w:val="0"/>
                    <w:snapToGrid w:val="0"/>
                    <w:jc w:val="center"/>
                    <w:rPr>
                      <w:rFonts w:ascii="Times New Roman" w:hAnsi="Times New Roman"/>
                      <w:color w:val="auto"/>
                      <w:sz w:val="20"/>
                      <w:szCs w:val="21"/>
                    </w:rPr>
                  </w:pPr>
                  <w:r>
                    <w:rPr>
                      <w:rFonts w:ascii="Times New Roman" w:hAnsi="Times New Roman"/>
                      <w:color w:val="auto"/>
                      <w:sz w:val="20"/>
                      <w:szCs w:val="21"/>
                    </w:rPr>
                    <w:t>柱状样</w:t>
                  </w:r>
                </w:p>
              </w:tc>
              <w:tc>
                <w:tcPr>
                  <w:tcW w:w="1515" w:type="pct"/>
                  <w:vMerge w:val="continue"/>
                  <w:shd w:val="clear" w:color="auto" w:fill="auto"/>
                  <w:vAlign w:val="center"/>
                </w:tcPr>
                <w:p>
                  <w:pPr>
                    <w:jc w:val="center"/>
                    <w:rPr>
                      <w:rFonts w:ascii="Times New Roman" w:hAnsi="Times New Roman"/>
                      <w:color w:val="auto"/>
                      <w:kern w:val="0"/>
                      <w:sz w:val="2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 w:val="20"/>
                      <w:szCs w:val="21"/>
                    </w:rPr>
                  </w:pP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T-3#</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春2-606井场</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84°29′49.99″E</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44°57′10.62″N</w:t>
                  </w:r>
                </w:p>
              </w:tc>
              <w:tc>
                <w:tcPr>
                  <w:tcW w:w="734" w:type="pct"/>
                  <w:shd w:val="clear" w:color="auto" w:fill="auto"/>
                  <w:vAlign w:val="center"/>
                </w:tcPr>
                <w:p>
                  <w:pPr>
                    <w:adjustRightInd w:val="0"/>
                    <w:snapToGrid w:val="0"/>
                    <w:jc w:val="center"/>
                    <w:rPr>
                      <w:rFonts w:ascii="Times New Roman" w:hAnsi="Times New Roman"/>
                      <w:color w:val="auto"/>
                      <w:sz w:val="20"/>
                      <w:szCs w:val="21"/>
                    </w:rPr>
                  </w:pPr>
                  <w:r>
                    <w:rPr>
                      <w:rFonts w:ascii="Times New Roman" w:hAnsi="Times New Roman"/>
                      <w:color w:val="auto"/>
                      <w:sz w:val="20"/>
                      <w:szCs w:val="21"/>
                    </w:rPr>
                    <w:t>柱状样</w:t>
                  </w:r>
                </w:p>
              </w:tc>
              <w:tc>
                <w:tcPr>
                  <w:tcW w:w="1515" w:type="pct"/>
                  <w:vMerge w:val="continue"/>
                  <w:shd w:val="clear" w:color="auto" w:fill="auto"/>
                  <w:vAlign w:val="center"/>
                </w:tcPr>
                <w:p>
                  <w:pPr>
                    <w:jc w:val="center"/>
                    <w:rPr>
                      <w:rFonts w:ascii="Times New Roman" w:hAnsi="Times New Roman"/>
                      <w:color w:val="auto"/>
                      <w:kern w:val="0"/>
                      <w:sz w:val="2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 w:val="20"/>
                      <w:szCs w:val="21"/>
                    </w:rPr>
                  </w:pP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T-4#</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排19-5井场</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84°31′8.29″E</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44°59′6.47″N</w:t>
                  </w:r>
                </w:p>
              </w:tc>
              <w:tc>
                <w:tcPr>
                  <w:tcW w:w="734" w:type="pct"/>
                  <w:shd w:val="clear" w:color="auto" w:fill="auto"/>
                  <w:vAlign w:val="center"/>
                </w:tcPr>
                <w:p>
                  <w:pPr>
                    <w:adjustRightInd w:val="0"/>
                    <w:snapToGrid w:val="0"/>
                    <w:jc w:val="center"/>
                    <w:rPr>
                      <w:rFonts w:ascii="Times New Roman" w:hAnsi="Times New Roman"/>
                      <w:color w:val="auto"/>
                      <w:sz w:val="20"/>
                      <w:szCs w:val="21"/>
                    </w:rPr>
                  </w:pPr>
                  <w:r>
                    <w:rPr>
                      <w:rFonts w:ascii="Times New Roman" w:hAnsi="Times New Roman"/>
                      <w:color w:val="auto"/>
                      <w:sz w:val="20"/>
                      <w:szCs w:val="21"/>
                    </w:rPr>
                    <w:t>柱状样</w:t>
                  </w:r>
                </w:p>
              </w:tc>
              <w:tc>
                <w:tcPr>
                  <w:tcW w:w="1515" w:type="pct"/>
                  <w:vMerge w:val="continue"/>
                  <w:shd w:val="clear" w:color="auto" w:fill="auto"/>
                  <w:vAlign w:val="center"/>
                </w:tcPr>
                <w:p>
                  <w:pPr>
                    <w:adjustRightInd w:val="0"/>
                    <w:snapToGrid w:val="0"/>
                    <w:jc w:val="center"/>
                    <w:rPr>
                      <w:rFonts w:ascii="Times New Roman" w:hAnsi="Times New Roman"/>
                      <w:color w:val="auto"/>
                      <w:kern w:val="0"/>
                      <w:sz w:val="2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 w:val="20"/>
                      <w:szCs w:val="21"/>
                    </w:rPr>
                  </w:pP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T-5#</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春2-07井场</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84°31′54.33″E</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44°58′36.51″N</w:t>
                  </w:r>
                </w:p>
              </w:tc>
              <w:tc>
                <w:tcPr>
                  <w:tcW w:w="734" w:type="pct"/>
                  <w:shd w:val="clear" w:color="auto" w:fill="auto"/>
                  <w:vAlign w:val="center"/>
                </w:tcPr>
                <w:p>
                  <w:pPr>
                    <w:adjustRightInd w:val="0"/>
                    <w:snapToGrid w:val="0"/>
                    <w:jc w:val="center"/>
                    <w:rPr>
                      <w:rFonts w:ascii="Times New Roman" w:hAnsi="Times New Roman"/>
                      <w:color w:val="auto"/>
                      <w:sz w:val="20"/>
                      <w:szCs w:val="21"/>
                    </w:rPr>
                  </w:pPr>
                  <w:r>
                    <w:rPr>
                      <w:rFonts w:ascii="Times New Roman" w:hAnsi="Times New Roman"/>
                      <w:color w:val="auto"/>
                      <w:sz w:val="20"/>
                      <w:szCs w:val="21"/>
                    </w:rPr>
                    <w:t>柱状样</w:t>
                  </w:r>
                </w:p>
              </w:tc>
              <w:tc>
                <w:tcPr>
                  <w:tcW w:w="1515" w:type="pct"/>
                  <w:vMerge w:val="continue"/>
                  <w:shd w:val="clear" w:color="auto" w:fill="auto"/>
                  <w:vAlign w:val="center"/>
                </w:tcPr>
                <w:p>
                  <w:pPr>
                    <w:adjustRightInd w:val="0"/>
                    <w:snapToGrid w:val="0"/>
                    <w:jc w:val="center"/>
                    <w:rPr>
                      <w:rFonts w:ascii="Times New Roman" w:hAnsi="Times New Roman"/>
                      <w:color w:val="auto"/>
                      <w:kern w:val="0"/>
                      <w:sz w:val="2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31" w:hRule="atLeast"/>
                <w:jc w:val="center"/>
              </w:trPr>
              <w:tc>
                <w:tcPr>
                  <w:tcW w:w="353" w:type="pct"/>
                  <w:vMerge w:val="continue"/>
                  <w:shd w:val="clear" w:color="auto" w:fill="auto"/>
                  <w:vAlign w:val="center"/>
                </w:tcPr>
                <w:p>
                  <w:pPr>
                    <w:jc w:val="center"/>
                    <w:rPr>
                      <w:rFonts w:ascii="Times New Roman" w:hAnsi="Times New Roman"/>
                      <w:color w:val="auto"/>
                      <w:kern w:val="0"/>
                      <w:sz w:val="20"/>
                      <w:szCs w:val="21"/>
                    </w:rPr>
                  </w:pP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T-6#</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排19-8井场</w:t>
                  </w:r>
                </w:p>
              </w:tc>
              <w:tc>
                <w:tcPr>
                  <w:tcW w:w="902" w:type="pct"/>
                  <w:shd w:val="clear" w:color="auto" w:fill="auto"/>
                  <w:vAlign w:val="center"/>
                </w:tcPr>
                <w:p>
                  <w:pPr>
                    <w:pStyle w:val="11"/>
                    <w:jc w:val="center"/>
                    <w:rPr>
                      <w:rFonts w:ascii="Times New Roman" w:hAnsi="Times New Roman"/>
                      <w:color w:val="auto"/>
                      <w:szCs w:val="21"/>
                    </w:rPr>
                  </w:pPr>
                  <w:r>
                    <w:rPr>
                      <w:rFonts w:ascii="Times New Roman" w:hAnsi="Times New Roman"/>
                      <w:color w:val="auto"/>
                      <w:szCs w:val="21"/>
                    </w:rPr>
                    <w:t>84°32′11.25″E</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44°59′10.13″N</w:t>
                  </w:r>
                </w:p>
              </w:tc>
              <w:tc>
                <w:tcPr>
                  <w:tcW w:w="734"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表层样</w:t>
                  </w:r>
                </w:p>
              </w:tc>
              <w:tc>
                <w:tcPr>
                  <w:tcW w:w="1515" w:type="pct"/>
                  <w:shd w:val="clear" w:color="auto" w:fill="auto"/>
                  <w:vAlign w:val="center"/>
                </w:tcPr>
                <w:p>
                  <w:pPr>
                    <w:autoSpaceDE w:val="0"/>
                    <w:autoSpaceDN w:val="0"/>
                    <w:adjustRightInd w:val="0"/>
                    <w:rPr>
                      <w:rFonts w:ascii="Times New Roman" w:hAnsi="Times New Roman"/>
                      <w:color w:val="auto"/>
                      <w:szCs w:val="21"/>
                    </w:rPr>
                  </w:pPr>
                  <w:r>
                    <w:rPr>
                      <w:rFonts w:ascii="Times New Roman" w:hAnsi="Times New Roman"/>
                      <w:color w:val="auto"/>
                      <w:szCs w:val="21"/>
                    </w:rPr>
                    <w:fldChar w:fldCharType="begin"/>
                  </w:r>
                  <w:r>
                    <w:rPr>
                      <w:rFonts w:ascii="Times New Roman" w:hAnsi="Times New Roman"/>
                      <w:color w:val="auto"/>
                      <w:szCs w:val="21"/>
                    </w:rPr>
                    <w:instrText xml:space="preserve"> = 1 \* GB3 </w:instrText>
                  </w:r>
                  <w:r>
                    <w:rPr>
                      <w:rFonts w:ascii="Times New Roman" w:hAnsi="Times New Roman"/>
                      <w:color w:val="auto"/>
                      <w:szCs w:val="21"/>
                    </w:rPr>
                    <w:fldChar w:fldCharType="separate"/>
                  </w:r>
                  <w:r>
                    <w:rPr>
                      <w:rFonts w:ascii="Times New Roman" w:hAnsi="Times New Roman"/>
                      <w:color w:val="auto"/>
                      <w:szCs w:val="21"/>
                    </w:rPr>
                    <w:t>①</w:t>
                  </w:r>
                  <w:r>
                    <w:rPr>
                      <w:rFonts w:ascii="Times New Roman" w:hAnsi="Times New Roman"/>
                      <w:color w:val="auto"/>
                      <w:szCs w:val="21"/>
                    </w:rPr>
                    <w:fldChar w:fldCharType="end"/>
                  </w:r>
                  <w:r>
                    <w:rPr>
                      <w:rFonts w:ascii="Times New Roman" w:hAnsi="Times New Roman"/>
                      <w:color w:val="auto"/>
                      <w:szCs w:val="21"/>
                    </w:rPr>
                    <w:t>基本因子：《土壤环境质量建设用地土壤污染风险管控标准（试行）》（GB36600-2018）第二类用地的45项基本因子、pH、全盐量；</w:t>
                  </w:r>
                </w:p>
                <w:p>
                  <w:pPr>
                    <w:adjustRightInd w:val="0"/>
                    <w:snapToGrid w:val="0"/>
                    <w:jc w:val="both"/>
                    <w:rPr>
                      <w:rFonts w:ascii="Times New Roman" w:hAnsi="Times New Roman"/>
                      <w:color w:val="auto"/>
                      <w:kern w:val="0"/>
                      <w:sz w:val="20"/>
                      <w:szCs w:val="21"/>
                    </w:rPr>
                  </w:pPr>
                  <w:r>
                    <w:rPr>
                      <w:rFonts w:ascii="Times New Roman" w:hAnsi="Times New Roman"/>
                      <w:color w:val="auto"/>
                      <w:szCs w:val="21"/>
                    </w:rPr>
                    <w:t>②特征因子：石油烃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353" w:type="pct"/>
                  <w:vMerge w:val="continue"/>
                  <w:shd w:val="clear" w:color="auto" w:fill="auto"/>
                  <w:vAlign w:val="center"/>
                </w:tcPr>
                <w:p>
                  <w:pPr>
                    <w:adjustRightInd w:val="0"/>
                    <w:snapToGrid w:val="0"/>
                    <w:jc w:val="center"/>
                    <w:rPr>
                      <w:rFonts w:ascii="Times New Roman" w:hAnsi="Times New Roman"/>
                      <w:color w:val="auto"/>
                      <w:kern w:val="0"/>
                      <w:sz w:val="20"/>
                      <w:szCs w:val="21"/>
                    </w:rPr>
                  </w:pP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T-7#</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春2-08井场</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84°32′13.27″E</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44°58′39.35″N</w:t>
                  </w:r>
                </w:p>
              </w:tc>
              <w:tc>
                <w:tcPr>
                  <w:tcW w:w="734"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表层样</w:t>
                  </w:r>
                </w:p>
              </w:tc>
              <w:tc>
                <w:tcPr>
                  <w:tcW w:w="1515"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基本因子：pH、全盐量</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特征因子：石油烃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restar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占地范围外</w:t>
                  </w: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T-8#</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春99-4井场南侧农田</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84°29′16.11″E</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44°57′50.93″N</w:t>
                  </w:r>
                </w:p>
              </w:tc>
              <w:tc>
                <w:tcPr>
                  <w:tcW w:w="734"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表层样</w:t>
                  </w:r>
                </w:p>
              </w:tc>
              <w:tc>
                <w:tcPr>
                  <w:tcW w:w="1515" w:type="pct"/>
                  <w:vMerge w:val="restart"/>
                  <w:shd w:val="clear" w:color="auto" w:fill="auto"/>
                  <w:vAlign w:val="center"/>
                </w:tcPr>
                <w:p>
                  <w:pPr>
                    <w:autoSpaceDE w:val="0"/>
                    <w:autoSpaceDN w:val="0"/>
                    <w:adjustRightInd w:val="0"/>
                    <w:rPr>
                      <w:rFonts w:ascii="Times New Roman" w:hAnsi="Times New Roman"/>
                      <w:color w:val="auto"/>
                      <w:szCs w:val="21"/>
                    </w:rPr>
                  </w:pPr>
                  <w:r>
                    <w:rPr>
                      <w:rFonts w:ascii="Times New Roman" w:hAnsi="Times New Roman"/>
                      <w:color w:val="auto"/>
                      <w:szCs w:val="21"/>
                    </w:rPr>
                    <w:fldChar w:fldCharType="begin"/>
                  </w:r>
                  <w:r>
                    <w:rPr>
                      <w:rFonts w:ascii="Times New Roman" w:hAnsi="Times New Roman"/>
                      <w:color w:val="auto"/>
                      <w:szCs w:val="21"/>
                    </w:rPr>
                    <w:instrText xml:space="preserve"> = 1 \* GB3 </w:instrText>
                  </w:r>
                  <w:r>
                    <w:rPr>
                      <w:rFonts w:ascii="Times New Roman" w:hAnsi="Times New Roman"/>
                      <w:color w:val="auto"/>
                      <w:szCs w:val="21"/>
                    </w:rPr>
                    <w:fldChar w:fldCharType="separate"/>
                  </w:r>
                  <w:r>
                    <w:rPr>
                      <w:rFonts w:ascii="Times New Roman" w:hAnsi="Times New Roman"/>
                      <w:color w:val="auto"/>
                      <w:szCs w:val="21"/>
                    </w:rPr>
                    <w:t>①</w:t>
                  </w:r>
                  <w:r>
                    <w:rPr>
                      <w:rFonts w:ascii="Times New Roman" w:hAnsi="Times New Roman"/>
                      <w:color w:val="auto"/>
                      <w:szCs w:val="21"/>
                    </w:rPr>
                    <w:fldChar w:fldCharType="end"/>
                  </w:r>
                  <w:r>
                    <w:rPr>
                      <w:rFonts w:ascii="Times New Roman" w:hAnsi="Times New Roman"/>
                      <w:color w:val="auto"/>
                      <w:szCs w:val="21"/>
                    </w:rPr>
                    <w:t>基本因子：《土壤环境质量</w:t>
                  </w:r>
                  <w:r>
                    <w:rPr>
                      <w:rFonts w:hint="eastAsia" w:ascii="Times New Roman" w:hAnsi="Times New Roman"/>
                      <w:color w:val="auto"/>
                      <w:szCs w:val="21"/>
                    </w:rPr>
                    <w:t xml:space="preserve"> </w:t>
                  </w:r>
                  <w:r>
                    <w:rPr>
                      <w:rFonts w:ascii="Times New Roman" w:hAnsi="Times New Roman"/>
                      <w:color w:val="auto"/>
                      <w:szCs w:val="21"/>
                    </w:rPr>
                    <w:t>农用地土壤污染风险管控标准（试行）》（GB</w:t>
                  </w:r>
                  <w:r>
                    <w:rPr>
                      <w:rFonts w:hint="eastAsia" w:ascii="Times New Roman" w:hAnsi="Times New Roman"/>
                      <w:color w:val="auto"/>
                      <w:szCs w:val="21"/>
                    </w:rPr>
                    <w:t>15618</w:t>
                  </w:r>
                  <w:r>
                    <w:rPr>
                      <w:rFonts w:ascii="Times New Roman" w:hAnsi="Times New Roman"/>
                      <w:color w:val="auto"/>
                      <w:szCs w:val="21"/>
                    </w:rPr>
                    <w:t>-2018）第二类用地的8项基本因子、PH、全盐量；</w:t>
                  </w:r>
                </w:p>
                <w:p>
                  <w:pPr>
                    <w:adjustRightInd w:val="0"/>
                    <w:snapToGrid w:val="0"/>
                    <w:jc w:val="both"/>
                    <w:rPr>
                      <w:rFonts w:ascii="Times New Roman" w:hAnsi="Times New Roman"/>
                      <w:color w:val="auto"/>
                      <w:kern w:val="0"/>
                      <w:sz w:val="20"/>
                      <w:szCs w:val="21"/>
                    </w:rPr>
                  </w:pPr>
                  <w:r>
                    <w:rPr>
                      <w:rFonts w:ascii="Times New Roman" w:hAnsi="Times New Roman"/>
                      <w:color w:val="auto"/>
                      <w:szCs w:val="21"/>
                    </w:rPr>
                    <w:t>②特征因子：石油烃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adjustRightInd w:val="0"/>
                    <w:snapToGrid w:val="0"/>
                    <w:jc w:val="center"/>
                    <w:rPr>
                      <w:rFonts w:ascii="Times New Roman" w:hAnsi="Times New Roman"/>
                      <w:color w:val="auto"/>
                      <w:kern w:val="0"/>
                      <w:sz w:val="20"/>
                      <w:szCs w:val="21"/>
                    </w:rPr>
                  </w:pP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T-9#</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春99-7井场南侧农田</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84°29′49.62″E</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44°57′45.04″N</w:t>
                  </w:r>
                </w:p>
              </w:tc>
              <w:tc>
                <w:tcPr>
                  <w:tcW w:w="734" w:type="pct"/>
                  <w:shd w:val="clear" w:color="auto" w:fill="auto"/>
                  <w:vAlign w:val="center"/>
                </w:tcPr>
                <w:p>
                  <w:pPr>
                    <w:adjustRightInd w:val="0"/>
                    <w:snapToGrid w:val="0"/>
                    <w:jc w:val="center"/>
                    <w:rPr>
                      <w:rFonts w:ascii="Times New Roman" w:hAnsi="Times New Roman"/>
                      <w:color w:val="auto"/>
                      <w:sz w:val="20"/>
                      <w:szCs w:val="21"/>
                    </w:rPr>
                  </w:pPr>
                  <w:r>
                    <w:rPr>
                      <w:rFonts w:ascii="Times New Roman" w:hAnsi="Times New Roman"/>
                      <w:color w:val="auto"/>
                      <w:sz w:val="20"/>
                      <w:szCs w:val="21"/>
                    </w:rPr>
                    <w:t>表层样</w:t>
                  </w:r>
                </w:p>
              </w:tc>
              <w:tc>
                <w:tcPr>
                  <w:tcW w:w="1515" w:type="pct"/>
                  <w:vMerge w:val="continue"/>
                  <w:shd w:val="clear" w:color="auto" w:fill="auto"/>
                  <w:vAlign w:val="center"/>
                </w:tcPr>
                <w:p>
                  <w:pPr>
                    <w:adjustRightInd w:val="0"/>
                    <w:snapToGrid w:val="0"/>
                    <w:jc w:val="center"/>
                    <w:rPr>
                      <w:rFonts w:ascii="Times New Roman" w:hAnsi="Times New Roman"/>
                      <w:color w:val="auto"/>
                      <w:kern w:val="0"/>
                      <w:sz w:val="2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 w:val="20"/>
                      <w:szCs w:val="21"/>
                    </w:rPr>
                  </w:pP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T-10#</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春2-606井场北侧农田</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84°29′48.74″E</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44°57′14.48″N</w:t>
                  </w:r>
                </w:p>
              </w:tc>
              <w:tc>
                <w:tcPr>
                  <w:tcW w:w="734" w:type="pct"/>
                  <w:shd w:val="clear" w:color="auto" w:fill="auto"/>
                  <w:vAlign w:val="center"/>
                </w:tcPr>
                <w:p>
                  <w:pPr>
                    <w:adjustRightInd w:val="0"/>
                    <w:snapToGrid w:val="0"/>
                    <w:jc w:val="center"/>
                    <w:rPr>
                      <w:rFonts w:ascii="Times New Roman" w:hAnsi="Times New Roman"/>
                      <w:color w:val="auto"/>
                      <w:sz w:val="20"/>
                      <w:szCs w:val="21"/>
                    </w:rPr>
                  </w:pPr>
                  <w:r>
                    <w:rPr>
                      <w:rFonts w:ascii="Times New Roman" w:hAnsi="Times New Roman"/>
                      <w:color w:val="auto"/>
                      <w:sz w:val="20"/>
                      <w:szCs w:val="21"/>
                    </w:rPr>
                    <w:t>表层样</w:t>
                  </w:r>
                </w:p>
              </w:tc>
              <w:tc>
                <w:tcPr>
                  <w:tcW w:w="1515" w:type="pct"/>
                  <w:vMerge w:val="continue"/>
                  <w:shd w:val="clear" w:color="auto" w:fill="auto"/>
                  <w:vAlign w:val="center"/>
                </w:tcPr>
                <w:p>
                  <w:pPr>
                    <w:adjustRightInd w:val="0"/>
                    <w:snapToGrid w:val="0"/>
                    <w:jc w:val="center"/>
                    <w:rPr>
                      <w:rFonts w:ascii="Times New Roman" w:hAnsi="Times New Roman"/>
                      <w:color w:val="auto"/>
                      <w:kern w:val="0"/>
                      <w:sz w:val="2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3" w:type="pct"/>
                  <w:vMerge w:val="continue"/>
                  <w:shd w:val="clear" w:color="auto" w:fill="auto"/>
                  <w:vAlign w:val="center"/>
                </w:tcPr>
                <w:p>
                  <w:pPr>
                    <w:jc w:val="center"/>
                    <w:rPr>
                      <w:rFonts w:ascii="Times New Roman" w:hAnsi="Times New Roman"/>
                      <w:color w:val="auto"/>
                      <w:kern w:val="0"/>
                      <w:sz w:val="20"/>
                      <w:szCs w:val="21"/>
                    </w:rPr>
                  </w:pPr>
                </w:p>
              </w:tc>
              <w:tc>
                <w:tcPr>
                  <w:tcW w:w="532"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T-11#</w:t>
                  </w:r>
                </w:p>
              </w:tc>
              <w:tc>
                <w:tcPr>
                  <w:tcW w:w="963" w:type="pct"/>
                  <w:shd w:val="clear" w:color="auto" w:fill="auto"/>
                  <w:vAlign w:val="center"/>
                </w:tcPr>
                <w:p>
                  <w:pPr>
                    <w:adjustRightInd w:val="0"/>
                    <w:snapToGrid w:val="0"/>
                    <w:jc w:val="center"/>
                    <w:rPr>
                      <w:rFonts w:ascii="Times New Roman" w:hAnsi="Times New Roman"/>
                      <w:color w:val="auto"/>
                      <w:kern w:val="0"/>
                      <w:sz w:val="20"/>
                      <w:szCs w:val="21"/>
                    </w:rPr>
                  </w:pPr>
                  <w:r>
                    <w:rPr>
                      <w:rFonts w:ascii="Times New Roman" w:hAnsi="Times New Roman"/>
                      <w:color w:val="auto"/>
                      <w:kern w:val="0"/>
                      <w:sz w:val="20"/>
                      <w:szCs w:val="21"/>
                    </w:rPr>
                    <w:t>春2-03侧1农田</w:t>
                  </w:r>
                </w:p>
              </w:tc>
              <w:tc>
                <w:tcPr>
                  <w:tcW w:w="902" w:type="pct"/>
                  <w:shd w:val="clear" w:color="auto" w:fill="auto"/>
                  <w:vAlign w:val="center"/>
                </w:tcPr>
                <w:p>
                  <w:pPr>
                    <w:jc w:val="center"/>
                    <w:rPr>
                      <w:rFonts w:ascii="Times New Roman" w:hAnsi="Times New Roman"/>
                      <w:color w:val="auto"/>
                      <w:szCs w:val="21"/>
                    </w:rPr>
                  </w:pPr>
                  <w:r>
                    <w:rPr>
                      <w:rFonts w:ascii="Times New Roman" w:hAnsi="Times New Roman"/>
                      <w:color w:val="auto"/>
                      <w:szCs w:val="21"/>
                    </w:rPr>
                    <w:t>84°31′4.42″E</w:t>
                  </w:r>
                </w:p>
                <w:p>
                  <w:pPr>
                    <w:adjustRightInd w:val="0"/>
                    <w:snapToGrid w:val="0"/>
                    <w:jc w:val="center"/>
                    <w:rPr>
                      <w:rFonts w:ascii="Times New Roman" w:hAnsi="Times New Roman"/>
                      <w:color w:val="auto"/>
                      <w:kern w:val="0"/>
                      <w:sz w:val="20"/>
                      <w:szCs w:val="21"/>
                    </w:rPr>
                  </w:pPr>
                  <w:r>
                    <w:rPr>
                      <w:rFonts w:ascii="Times New Roman" w:hAnsi="Times New Roman"/>
                      <w:color w:val="auto"/>
                      <w:szCs w:val="21"/>
                    </w:rPr>
                    <w:t>44°58′25.06″N</w:t>
                  </w:r>
                </w:p>
              </w:tc>
              <w:tc>
                <w:tcPr>
                  <w:tcW w:w="734" w:type="pct"/>
                  <w:shd w:val="clear" w:color="auto" w:fill="auto"/>
                  <w:vAlign w:val="center"/>
                </w:tcPr>
                <w:p>
                  <w:pPr>
                    <w:adjustRightInd w:val="0"/>
                    <w:snapToGrid w:val="0"/>
                    <w:jc w:val="center"/>
                    <w:rPr>
                      <w:rFonts w:ascii="Times New Roman" w:hAnsi="Times New Roman"/>
                      <w:color w:val="auto"/>
                      <w:sz w:val="20"/>
                      <w:szCs w:val="21"/>
                    </w:rPr>
                  </w:pPr>
                  <w:r>
                    <w:rPr>
                      <w:rFonts w:ascii="Times New Roman" w:hAnsi="Times New Roman"/>
                      <w:color w:val="auto"/>
                      <w:kern w:val="0"/>
                      <w:sz w:val="20"/>
                      <w:szCs w:val="21"/>
                    </w:rPr>
                    <w:t>表层样</w:t>
                  </w:r>
                </w:p>
              </w:tc>
              <w:tc>
                <w:tcPr>
                  <w:tcW w:w="1515" w:type="pct"/>
                  <w:vMerge w:val="continue"/>
                  <w:shd w:val="clear" w:color="auto" w:fill="auto"/>
                  <w:vAlign w:val="center"/>
                </w:tcPr>
                <w:p>
                  <w:pPr>
                    <w:adjustRightInd w:val="0"/>
                    <w:snapToGrid w:val="0"/>
                    <w:jc w:val="center"/>
                    <w:rPr>
                      <w:rFonts w:ascii="Times New Roman" w:hAnsi="Times New Roman"/>
                      <w:color w:val="auto"/>
                      <w:kern w:val="0"/>
                      <w:sz w:val="20"/>
                      <w:szCs w:val="21"/>
                    </w:rPr>
                  </w:pPr>
                </w:p>
              </w:tc>
            </w:tr>
          </w:tbl>
          <w:p>
            <w:pPr>
              <w:spacing w:before="120" w:beforeLines="50" w:line="360" w:lineRule="auto"/>
              <w:ind w:firstLine="480" w:firstLineChars="200"/>
              <w:jc w:val="both"/>
              <w:rPr>
                <w:rFonts w:ascii="Times New Roman" w:hAnsi="Times New Roman"/>
                <w:color w:val="auto"/>
                <w:sz w:val="24"/>
              </w:rPr>
            </w:pPr>
            <w:r>
              <w:rPr>
                <w:rFonts w:ascii="Times New Roman" w:hAnsi="Times New Roman"/>
                <w:color w:val="auto"/>
                <w:sz w:val="24"/>
              </w:rPr>
              <w:t>本次评价委托新疆锡水金山环境科技有限公司于2022年2月19日开展了项目区土壤质量现状监测</w:t>
            </w:r>
            <w:r>
              <w:rPr>
                <w:rFonts w:hint="eastAsia" w:ascii="Times New Roman" w:hAnsi="Times New Roman"/>
                <w:color w:val="auto"/>
                <w:sz w:val="24"/>
              </w:rPr>
              <w:t>（见</w:t>
            </w:r>
            <w:r>
              <w:rPr>
                <w:rFonts w:ascii="Times New Roman" w:hAnsi="Times New Roman"/>
                <w:color w:val="auto"/>
                <w:sz w:val="24"/>
              </w:rPr>
              <w:t>附件7）。</w:t>
            </w:r>
          </w:p>
          <w:p>
            <w:pPr>
              <w:pStyle w:val="74"/>
              <w:numPr>
                <w:ilvl w:val="0"/>
                <w:numId w:val="5"/>
              </w:numPr>
              <w:spacing w:line="360" w:lineRule="auto"/>
              <w:ind w:firstLine="480"/>
              <w:jc w:val="both"/>
              <w:outlineLvl w:val="9"/>
              <w:rPr>
                <w:rFonts w:ascii="Times New Roman" w:hAnsi="Times New Roman"/>
                <w:b w:val="0"/>
                <w:color w:val="auto"/>
                <w:szCs w:val="24"/>
              </w:rPr>
            </w:pPr>
            <w:r>
              <w:rPr>
                <w:rFonts w:ascii="Times New Roman" w:hAnsi="Times New Roman"/>
                <w:b w:val="0"/>
                <w:color w:val="auto"/>
                <w:szCs w:val="24"/>
              </w:rPr>
              <w:t>监测方法</w:t>
            </w:r>
          </w:p>
          <w:p>
            <w:pPr>
              <w:adjustRightInd w:val="0"/>
              <w:spacing w:line="360" w:lineRule="auto"/>
              <w:ind w:firstLine="480" w:firstLineChars="200"/>
              <w:rPr>
                <w:rFonts w:ascii="Times New Roman" w:hAnsi="Times New Roman"/>
                <w:color w:val="auto"/>
                <w:sz w:val="24"/>
              </w:rPr>
            </w:pPr>
            <w:r>
              <w:rPr>
                <w:rFonts w:ascii="Times New Roman" w:hAnsi="Times New Roman"/>
                <w:color w:val="auto"/>
                <w:sz w:val="24"/>
              </w:rPr>
              <w:t>按照HJ/T 166的规定进行采样和分析，表层土壤样在0~20cm取样，柱状样在0~50cm、0.5~1m、1~1.5m，3m以下每3m取一个样。</w:t>
            </w:r>
          </w:p>
          <w:p>
            <w:pPr>
              <w:pStyle w:val="48"/>
              <w:spacing w:line="360" w:lineRule="auto"/>
              <w:ind w:firstLine="480"/>
              <w:jc w:val="both"/>
              <w:rPr>
                <w:rFonts w:ascii="Times New Roman" w:hAnsi="Times New Roman"/>
                <w:color w:val="auto"/>
              </w:rPr>
            </w:pPr>
            <w:r>
              <w:rPr>
                <w:rFonts w:ascii="Times New Roman" w:hAnsi="Times New Roman"/>
                <w:color w:val="auto"/>
              </w:rPr>
              <w:t>（3）评价标准</w:t>
            </w:r>
          </w:p>
          <w:p>
            <w:pPr>
              <w:pStyle w:val="207"/>
              <w:spacing w:line="360" w:lineRule="auto"/>
              <w:ind w:firstLine="480"/>
              <w:jc w:val="both"/>
              <w:rPr>
                <w:rFonts w:ascii="Times New Roman" w:hAnsi="Times New Roman"/>
                <w:color w:val="auto"/>
                <w:kern w:val="0"/>
                <w:sz w:val="24"/>
              </w:rPr>
            </w:pPr>
            <w:r>
              <w:rPr>
                <w:rFonts w:ascii="Times New Roman" w:hAnsi="Times New Roman"/>
                <w:color w:val="auto"/>
                <w:sz w:val="24"/>
              </w:rPr>
              <w:t>建设用地执行《土壤环境质量 建设用地土壤污染风险管控标准（试行）》（GB36600-2018）中第二类用地风险筛选值</w:t>
            </w:r>
            <w:r>
              <w:rPr>
                <w:rFonts w:ascii="Times New Roman" w:hAnsi="Times New Roman"/>
                <w:color w:val="auto"/>
                <w:kern w:val="0"/>
                <w:sz w:val="24"/>
              </w:rPr>
              <w:t>，占地范围外农用地执行《</w:t>
            </w:r>
            <w:r>
              <w:rPr>
                <w:rFonts w:ascii="Times New Roman" w:hAnsi="Times New Roman"/>
                <w:color w:val="auto"/>
                <w:sz w:val="24"/>
              </w:rPr>
              <w:t>土壤环境质量 农用地土壤污染风险管控标准（试行）</w:t>
            </w:r>
            <w:r>
              <w:rPr>
                <w:rFonts w:ascii="Times New Roman" w:hAnsi="Times New Roman"/>
                <w:color w:val="auto"/>
                <w:kern w:val="0"/>
                <w:sz w:val="24"/>
              </w:rPr>
              <w:t>》（</w:t>
            </w:r>
            <w:r>
              <w:rPr>
                <w:rFonts w:ascii="Times New Roman" w:hAnsi="Times New Roman"/>
                <w:color w:val="auto"/>
                <w:sz w:val="24"/>
              </w:rPr>
              <w:t>GB15618-2018</w:t>
            </w:r>
            <w:r>
              <w:rPr>
                <w:rFonts w:ascii="Times New Roman" w:hAnsi="Times New Roman"/>
                <w:color w:val="auto"/>
                <w:kern w:val="0"/>
                <w:sz w:val="24"/>
              </w:rPr>
              <w:t>）中农用地土壤污染风险筛选值。</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（4）评价方法</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采用单因子标准指数法，计算公式为：</w:t>
            </w:r>
            <w:r>
              <w:rPr>
                <w:rFonts w:ascii="Times New Roman" w:hAnsi="Times New Roman"/>
                <w:i/>
                <w:iCs/>
                <w:color w:val="auto"/>
                <w:sz w:val="24"/>
              </w:rPr>
              <w:t>S</w:t>
            </w:r>
            <w:r>
              <w:rPr>
                <w:rFonts w:ascii="Times New Roman" w:hAnsi="Times New Roman"/>
                <w:i/>
                <w:iCs/>
                <w:color w:val="auto"/>
                <w:sz w:val="24"/>
                <w:vertAlign w:val="subscript"/>
              </w:rPr>
              <w:t>i,j</w:t>
            </w:r>
            <w:r>
              <w:rPr>
                <w:rFonts w:ascii="Times New Roman" w:hAnsi="Times New Roman"/>
                <w:i/>
                <w:iCs/>
                <w:color w:val="auto"/>
                <w:sz w:val="24"/>
              </w:rPr>
              <w:t>=C</w:t>
            </w:r>
            <w:r>
              <w:rPr>
                <w:rFonts w:ascii="Times New Roman" w:hAnsi="Times New Roman"/>
                <w:i/>
                <w:iCs/>
                <w:color w:val="auto"/>
                <w:sz w:val="24"/>
                <w:vertAlign w:val="subscript"/>
              </w:rPr>
              <w:t>i,j</w:t>
            </w:r>
            <w:r>
              <w:rPr>
                <w:rFonts w:ascii="Times New Roman" w:hAnsi="Times New Roman"/>
                <w:i/>
                <w:iCs/>
                <w:color w:val="auto"/>
                <w:sz w:val="24"/>
              </w:rPr>
              <w:t>/C</w:t>
            </w:r>
            <w:r>
              <w:rPr>
                <w:rFonts w:ascii="Times New Roman" w:hAnsi="Times New Roman"/>
                <w:i/>
                <w:iCs/>
                <w:color w:val="auto"/>
                <w:sz w:val="24"/>
                <w:vertAlign w:val="subscript"/>
              </w:rPr>
              <w:t>si</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式中：</w:t>
            </w:r>
            <w:r>
              <w:rPr>
                <w:rFonts w:ascii="Times New Roman" w:hAnsi="Times New Roman"/>
                <w:color w:val="auto"/>
                <w:sz w:val="24"/>
              </w:rPr>
              <w:drawing>
                <wp:inline distT="0" distB="0" distL="0" distR="0">
                  <wp:extent cx="228600" cy="251460"/>
                  <wp:effectExtent l="0" t="0" r="0" b="0"/>
                  <wp:docPr id="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28600" cy="251460"/>
                          </a:xfrm>
                          <a:prstGeom prst="rect">
                            <a:avLst/>
                          </a:prstGeom>
                          <a:noFill/>
                          <a:ln>
                            <a:noFill/>
                          </a:ln>
                        </pic:spPr>
                      </pic:pic>
                    </a:graphicData>
                  </a:graphic>
                </wp:inline>
              </w:drawing>
            </w:r>
            <w:r>
              <w:rPr>
                <w:rFonts w:ascii="Times New Roman" w:hAnsi="Times New Roman"/>
                <w:color w:val="auto"/>
                <w:sz w:val="24"/>
              </w:rPr>
              <w:t>—单项土壤参数i在j点的标准指数；</w:t>
            </w:r>
          </w:p>
          <w:p>
            <w:pPr>
              <w:pStyle w:val="48"/>
              <w:spacing w:line="360" w:lineRule="auto"/>
              <w:ind w:firstLine="1200" w:firstLineChars="500"/>
              <w:jc w:val="both"/>
              <w:rPr>
                <w:rFonts w:ascii="Times New Roman" w:hAnsi="Times New Roman"/>
                <w:color w:val="auto"/>
              </w:rPr>
            </w:pPr>
            <w:r>
              <w:rPr>
                <w:rFonts w:ascii="Times New Roman" w:hAnsi="Times New Roman"/>
                <w:color w:val="auto"/>
              </w:rPr>
              <w:drawing>
                <wp:inline distT="0" distB="0" distL="0" distR="0">
                  <wp:extent cx="251460" cy="251460"/>
                  <wp:effectExtent l="0" t="0" r="0" b="0"/>
                  <wp:docPr id="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1460" cy="251460"/>
                          </a:xfrm>
                          <a:prstGeom prst="rect">
                            <a:avLst/>
                          </a:prstGeom>
                          <a:noFill/>
                          <a:ln>
                            <a:noFill/>
                          </a:ln>
                        </pic:spPr>
                      </pic:pic>
                    </a:graphicData>
                  </a:graphic>
                </wp:inline>
              </w:drawing>
            </w:r>
            <w:r>
              <w:rPr>
                <w:rFonts w:ascii="Times New Roman" w:hAnsi="Times New Roman"/>
                <w:color w:val="auto"/>
              </w:rPr>
              <w:t>—土壤参数i在j点的监测浓度，mg/kg；</w:t>
            </w:r>
          </w:p>
          <w:p>
            <w:pPr>
              <w:pStyle w:val="48"/>
              <w:spacing w:line="360" w:lineRule="auto"/>
              <w:ind w:firstLine="1200" w:firstLineChars="500"/>
              <w:jc w:val="both"/>
              <w:rPr>
                <w:rFonts w:ascii="Times New Roman" w:hAnsi="Times New Roman"/>
                <w:color w:val="auto"/>
              </w:rPr>
            </w:pPr>
            <w:r>
              <w:rPr>
                <w:rFonts w:ascii="Times New Roman" w:hAnsi="Times New Roman"/>
                <w:color w:val="auto"/>
              </w:rPr>
              <w:drawing>
                <wp:inline distT="0" distB="0" distL="0" distR="0">
                  <wp:extent cx="205740" cy="228600"/>
                  <wp:effectExtent l="0" t="0" r="0" b="0"/>
                  <wp:docPr id="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5740" cy="228600"/>
                          </a:xfrm>
                          <a:prstGeom prst="rect">
                            <a:avLst/>
                          </a:prstGeom>
                          <a:noFill/>
                          <a:ln>
                            <a:noFill/>
                          </a:ln>
                        </pic:spPr>
                      </pic:pic>
                    </a:graphicData>
                  </a:graphic>
                </wp:inline>
              </w:drawing>
            </w:r>
            <w:r>
              <w:rPr>
                <w:rFonts w:ascii="Times New Roman" w:hAnsi="Times New Roman"/>
                <w:color w:val="auto"/>
              </w:rPr>
              <w:t>—土壤参数i的土壤环境质量标准，mg/kg。</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（5）监测及评价结果</w:t>
            </w:r>
          </w:p>
          <w:p>
            <w:pPr>
              <w:pStyle w:val="48"/>
              <w:spacing w:line="240" w:lineRule="auto"/>
              <w:ind w:firstLine="480"/>
              <w:jc w:val="both"/>
              <w:rPr>
                <w:rFonts w:ascii="Times New Roman" w:hAnsi="Times New Roman"/>
                <w:color w:val="auto"/>
              </w:rPr>
            </w:pPr>
            <w:r>
              <w:rPr>
                <w:rFonts w:ascii="Times New Roman" w:hAnsi="Times New Roman"/>
                <w:color w:val="auto"/>
              </w:rPr>
              <w:t>土壤环境现状监测及评价结果见表</w:t>
            </w:r>
            <w:r>
              <w:rPr>
                <w:rFonts w:hint="eastAsia" w:ascii="Times New Roman" w:hAnsi="Times New Roman"/>
                <w:color w:val="auto"/>
              </w:rPr>
              <w:t>3-12、3-13</w:t>
            </w:r>
            <w:r>
              <w:rPr>
                <w:rFonts w:ascii="Times New Roman" w:hAnsi="Times New Roman"/>
                <w:color w:val="auto"/>
              </w:rPr>
              <w:t>。</w:t>
            </w:r>
          </w:p>
          <w:p>
            <w:pPr>
              <w:spacing w:before="120" w:beforeLines="50"/>
              <w:jc w:val="center"/>
              <w:rPr>
                <w:rFonts w:ascii="Times New Roman" w:hAnsi="Times New Roman"/>
                <w:b/>
                <w:color w:val="auto"/>
                <w:kern w:val="0"/>
                <w:szCs w:val="21"/>
              </w:rPr>
            </w:pPr>
            <w:r>
              <w:rPr>
                <w:rFonts w:hint="eastAsia" w:ascii="Times New Roman" w:hAnsi="Times New Roman"/>
                <w:b/>
                <w:color w:val="auto"/>
                <w:kern w:val="0"/>
                <w:szCs w:val="21"/>
              </w:rPr>
              <w:t xml:space="preserve">表3-12（1）   </w:t>
            </w:r>
            <w:r>
              <w:rPr>
                <w:rFonts w:ascii="Times New Roman" w:hAnsi="Times New Roman"/>
                <w:b/>
                <w:color w:val="auto"/>
                <w:kern w:val="0"/>
                <w:szCs w:val="21"/>
              </w:rPr>
              <w:t>建设用地土壤现状监测</w:t>
            </w:r>
            <w:r>
              <w:rPr>
                <w:rFonts w:hint="eastAsia" w:ascii="Times New Roman" w:hAnsi="Times New Roman"/>
                <w:b/>
                <w:color w:val="auto"/>
                <w:kern w:val="0"/>
                <w:szCs w:val="21"/>
              </w:rPr>
              <w:t>及评价结果表</w:t>
            </w:r>
          </w:p>
          <w:tbl>
            <w:tblPr>
              <w:tblStyle w:val="38"/>
              <w:tblW w:w="499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84"/>
              <w:gridCol w:w="789"/>
              <w:gridCol w:w="789"/>
              <w:gridCol w:w="684"/>
              <w:gridCol w:w="789"/>
              <w:gridCol w:w="789"/>
              <w:gridCol w:w="590"/>
              <w:gridCol w:w="721"/>
              <w:gridCol w:w="19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96" w:type="dxa"/>
                  <w:vMerge w:val="restart"/>
                  <w:vAlign w:val="center"/>
                </w:tcPr>
                <w:p>
                  <w:pPr>
                    <w:jc w:val="center"/>
                    <w:rPr>
                      <w:rFonts w:ascii="Times New Roman" w:hAnsi="Times New Roman"/>
                      <w:b/>
                      <w:color w:val="auto"/>
                      <w:kern w:val="0"/>
                      <w:szCs w:val="21"/>
                    </w:rPr>
                  </w:pPr>
                  <w:r>
                    <w:rPr>
                      <w:rFonts w:ascii="Times New Roman" w:hAnsi="Times New Roman"/>
                      <w:bCs/>
                      <w:color w:val="auto"/>
                      <w:kern w:val="0"/>
                      <w:szCs w:val="21"/>
                    </w:rPr>
                    <w:t>监测因子</w:t>
                  </w:r>
                </w:p>
              </w:tc>
              <w:tc>
                <w:tcPr>
                  <w:tcW w:w="2259" w:type="dxa"/>
                  <w:gridSpan w:val="3"/>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T-1#</w:t>
                  </w:r>
                </w:p>
              </w:tc>
              <w:tc>
                <w:tcPr>
                  <w:tcW w:w="2259" w:type="dxa"/>
                  <w:gridSpan w:val="3"/>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T-2#</w:t>
                  </w:r>
                </w:p>
              </w:tc>
              <w:tc>
                <w:tcPr>
                  <w:tcW w:w="589" w:type="dxa"/>
                  <w:vMerge w:val="restart"/>
                  <w:vAlign w:val="center"/>
                </w:tcPr>
                <w:p>
                  <w:pPr>
                    <w:jc w:val="center"/>
                    <w:textAlignment w:val="bottom"/>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720" w:type="dxa"/>
                  <w:vMerge w:val="restart"/>
                  <w:vAlign w:val="center"/>
                </w:tcPr>
                <w:p>
                  <w:pPr>
                    <w:jc w:val="center"/>
                    <w:textAlignment w:val="bottom"/>
                    <w:rPr>
                      <w:rFonts w:ascii="Times New Roman" w:hAnsi="Times New Roman"/>
                      <w:color w:val="auto"/>
                      <w:szCs w:val="21"/>
                    </w:rPr>
                  </w:pPr>
                  <w:r>
                    <w:rPr>
                      <w:rFonts w:ascii="Times New Roman" w:hAnsi="Times New Roman"/>
                      <w:color w:val="auto"/>
                      <w:szCs w:val="21"/>
                    </w:rPr>
                    <w:t>达标情况</w:t>
                  </w:r>
                </w:p>
              </w:tc>
              <w:tc>
                <w:tcPr>
                  <w:tcW w:w="1943" w:type="dxa"/>
                  <w:vMerge w:val="restart"/>
                  <w:vAlign w:val="center"/>
                </w:tcPr>
                <w:p>
                  <w:pPr>
                    <w:jc w:val="both"/>
                    <w:textAlignment w:val="bottom"/>
                    <w:rPr>
                      <w:rFonts w:ascii="Times New Roman" w:hAnsi="Times New Roman"/>
                      <w:b/>
                      <w:color w:val="auto"/>
                      <w:kern w:val="0"/>
                      <w:szCs w:val="21"/>
                    </w:rPr>
                  </w:pPr>
                  <w:r>
                    <w:rPr>
                      <w:rFonts w:ascii="Times New Roman" w:hAnsi="Times New Roman"/>
                      <w:bCs/>
                      <w:color w:val="auto"/>
                      <w:kern w:val="0"/>
                      <w:szCs w:val="21"/>
                      <w:lang w:bidi="ar"/>
                    </w:rPr>
                    <w:t>《土壤环境质量 建设用地土壤污染风险管控标准（试行）》（GB36600-2018）第二类用地筛选值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jc w:val="center"/>
                    <w:rPr>
                      <w:rFonts w:ascii="Times New Roman" w:hAnsi="Times New Roman"/>
                      <w:b/>
                      <w:color w:val="auto"/>
                      <w:kern w:val="0"/>
                      <w:szCs w:val="21"/>
                    </w:rPr>
                  </w:pP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300cm</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300cm</w:t>
                  </w:r>
                </w:p>
              </w:tc>
              <w:tc>
                <w:tcPr>
                  <w:tcW w:w="589" w:type="dxa"/>
                  <w:vMerge w:val="continue"/>
                  <w:vAlign w:val="center"/>
                </w:tcPr>
                <w:p>
                  <w:pPr>
                    <w:jc w:val="center"/>
                    <w:textAlignment w:val="bottom"/>
                    <w:rPr>
                      <w:rFonts w:ascii="Times New Roman" w:hAnsi="Times New Roman"/>
                      <w:color w:val="auto"/>
                      <w:kern w:val="0"/>
                      <w:szCs w:val="21"/>
                      <w:lang w:bidi="ar"/>
                    </w:rPr>
                  </w:pPr>
                </w:p>
              </w:tc>
              <w:tc>
                <w:tcPr>
                  <w:tcW w:w="720" w:type="dxa"/>
                  <w:vMerge w:val="continue"/>
                  <w:vAlign w:val="center"/>
                </w:tcPr>
                <w:p>
                  <w:pPr>
                    <w:jc w:val="center"/>
                    <w:textAlignment w:val="bottom"/>
                    <w:rPr>
                      <w:rFonts w:ascii="Times New Roman" w:hAnsi="Times New Roman"/>
                      <w:color w:val="auto"/>
                      <w:kern w:val="0"/>
                      <w:szCs w:val="21"/>
                      <w:lang w:bidi="ar"/>
                    </w:rPr>
                  </w:pPr>
                </w:p>
              </w:tc>
              <w:tc>
                <w:tcPr>
                  <w:tcW w:w="1943" w:type="dxa"/>
                  <w:vMerge w:val="continue"/>
                  <w:vAlign w:val="center"/>
                </w:tcPr>
                <w:p>
                  <w:pPr>
                    <w:jc w:val="center"/>
                    <w:textAlignment w:val="bottom"/>
                    <w:rPr>
                      <w:rFonts w:ascii="Times New Roman" w:hAnsi="Times New Roman"/>
                      <w:b/>
                      <w:color w:val="auto"/>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pH</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7.97</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7.96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8.13</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7.78</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7.93</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7.86</w:t>
                  </w:r>
                </w:p>
              </w:tc>
              <w:tc>
                <w:tcPr>
                  <w:tcW w:w="589"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720" w:type="dxa"/>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194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石油烃</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589"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720"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达标</w:t>
                  </w:r>
                </w:p>
              </w:tc>
              <w:tc>
                <w:tcPr>
                  <w:tcW w:w="194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全盐量</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0.8</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0.7</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0.6</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0.8</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0.8</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0.7</w:t>
                  </w:r>
                </w:p>
              </w:tc>
              <w:tc>
                <w:tcPr>
                  <w:tcW w:w="589"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720" w:type="dxa"/>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194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bl>
          <w:p>
            <w:pPr>
              <w:spacing w:before="120" w:beforeLines="50"/>
              <w:jc w:val="center"/>
              <w:rPr>
                <w:rFonts w:ascii="Times New Roman" w:hAnsi="Times New Roman"/>
                <w:color w:val="auto"/>
              </w:rPr>
            </w:pPr>
            <w:r>
              <w:rPr>
                <w:rFonts w:hint="eastAsia" w:ascii="Times New Roman" w:hAnsi="Times New Roman"/>
                <w:b/>
                <w:color w:val="auto"/>
                <w:kern w:val="0"/>
                <w:szCs w:val="21"/>
              </w:rPr>
              <w:t xml:space="preserve">表3-12（2）   </w:t>
            </w:r>
            <w:r>
              <w:rPr>
                <w:rFonts w:ascii="Times New Roman" w:hAnsi="Times New Roman"/>
                <w:b/>
                <w:color w:val="auto"/>
                <w:kern w:val="0"/>
                <w:szCs w:val="21"/>
              </w:rPr>
              <w:t>建设用地土壤现状监测</w:t>
            </w:r>
            <w:r>
              <w:rPr>
                <w:rFonts w:hint="eastAsia" w:ascii="Times New Roman" w:hAnsi="Times New Roman"/>
                <w:b/>
                <w:color w:val="auto"/>
                <w:kern w:val="0"/>
                <w:szCs w:val="21"/>
              </w:rPr>
              <w:t>及评价结果表</w:t>
            </w:r>
          </w:p>
          <w:tbl>
            <w:tblPr>
              <w:tblStyle w:val="38"/>
              <w:tblW w:w="499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684"/>
              <w:gridCol w:w="789"/>
              <w:gridCol w:w="789"/>
              <w:gridCol w:w="684"/>
              <w:gridCol w:w="789"/>
              <w:gridCol w:w="789"/>
              <w:gridCol w:w="632"/>
              <w:gridCol w:w="673"/>
              <w:gridCol w:w="19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98" w:type="dxa"/>
                  <w:vMerge w:val="restart"/>
                  <w:vAlign w:val="center"/>
                </w:tcPr>
                <w:p>
                  <w:pPr>
                    <w:jc w:val="center"/>
                    <w:rPr>
                      <w:rFonts w:ascii="Times New Roman" w:hAnsi="Times New Roman"/>
                      <w:b/>
                      <w:color w:val="auto"/>
                      <w:kern w:val="0"/>
                      <w:szCs w:val="21"/>
                    </w:rPr>
                  </w:pPr>
                  <w:r>
                    <w:rPr>
                      <w:rFonts w:ascii="Times New Roman" w:hAnsi="Times New Roman"/>
                      <w:bCs/>
                      <w:color w:val="auto"/>
                      <w:kern w:val="0"/>
                      <w:szCs w:val="21"/>
                    </w:rPr>
                    <w:t>监测因子</w:t>
                  </w:r>
                </w:p>
              </w:tc>
              <w:tc>
                <w:tcPr>
                  <w:tcW w:w="2259" w:type="dxa"/>
                  <w:gridSpan w:val="3"/>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T-3#</w:t>
                  </w:r>
                </w:p>
              </w:tc>
              <w:tc>
                <w:tcPr>
                  <w:tcW w:w="2259" w:type="dxa"/>
                  <w:gridSpan w:val="3"/>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T-4#</w:t>
                  </w:r>
                </w:p>
              </w:tc>
              <w:tc>
                <w:tcPr>
                  <w:tcW w:w="631" w:type="dxa"/>
                  <w:vMerge w:val="restart"/>
                  <w:vAlign w:val="center"/>
                </w:tcPr>
                <w:p>
                  <w:pPr>
                    <w:jc w:val="center"/>
                    <w:textAlignment w:val="bottom"/>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672" w:type="dxa"/>
                  <w:vMerge w:val="restart"/>
                  <w:vAlign w:val="center"/>
                </w:tcPr>
                <w:p>
                  <w:pPr>
                    <w:jc w:val="center"/>
                    <w:textAlignment w:val="bottom"/>
                    <w:rPr>
                      <w:rFonts w:ascii="Times New Roman" w:hAnsi="Times New Roman"/>
                      <w:color w:val="auto"/>
                      <w:szCs w:val="21"/>
                    </w:rPr>
                  </w:pPr>
                  <w:r>
                    <w:rPr>
                      <w:rFonts w:ascii="Times New Roman" w:hAnsi="Times New Roman"/>
                      <w:color w:val="auto"/>
                      <w:szCs w:val="21"/>
                    </w:rPr>
                    <w:t>达标情况</w:t>
                  </w:r>
                </w:p>
              </w:tc>
              <w:tc>
                <w:tcPr>
                  <w:tcW w:w="1944" w:type="dxa"/>
                  <w:vMerge w:val="restart"/>
                  <w:vAlign w:val="center"/>
                </w:tcPr>
                <w:p>
                  <w:pPr>
                    <w:jc w:val="both"/>
                    <w:textAlignment w:val="bottom"/>
                    <w:rPr>
                      <w:rFonts w:ascii="Times New Roman" w:hAnsi="Times New Roman"/>
                      <w:b/>
                      <w:color w:val="auto"/>
                      <w:kern w:val="0"/>
                      <w:szCs w:val="21"/>
                    </w:rPr>
                  </w:pPr>
                  <w:r>
                    <w:rPr>
                      <w:rFonts w:ascii="Times New Roman" w:hAnsi="Times New Roman"/>
                      <w:bCs/>
                      <w:color w:val="auto"/>
                      <w:kern w:val="0"/>
                      <w:szCs w:val="21"/>
                      <w:lang w:bidi="ar"/>
                    </w:rPr>
                    <w:t>《土壤环境质量 建设用地土壤污染风险管控标准（试行）》（GB36600-2018）第二类用地筛选值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dxa"/>
                  <w:vMerge w:val="continue"/>
                  <w:vAlign w:val="center"/>
                </w:tcPr>
                <w:p>
                  <w:pPr>
                    <w:jc w:val="center"/>
                    <w:rPr>
                      <w:rFonts w:ascii="Times New Roman" w:hAnsi="Times New Roman"/>
                      <w:b/>
                      <w:color w:val="auto"/>
                      <w:kern w:val="0"/>
                      <w:szCs w:val="21"/>
                    </w:rPr>
                  </w:pP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300cm</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150cm</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300cm</w:t>
                  </w:r>
                </w:p>
              </w:tc>
              <w:tc>
                <w:tcPr>
                  <w:tcW w:w="631" w:type="dxa"/>
                  <w:vMerge w:val="continue"/>
                  <w:vAlign w:val="center"/>
                </w:tcPr>
                <w:p>
                  <w:pPr>
                    <w:jc w:val="center"/>
                    <w:textAlignment w:val="bottom"/>
                    <w:rPr>
                      <w:rFonts w:ascii="Times New Roman" w:hAnsi="Times New Roman"/>
                      <w:color w:val="auto"/>
                      <w:kern w:val="0"/>
                      <w:szCs w:val="21"/>
                      <w:lang w:bidi="ar"/>
                    </w:rPr>
                  </w:pPr>
                </w:p>
              </w:tc>
              <w:tc>
                <w:tcPr>
                  <w:tcW w:w="672" w:type="dxa"/>
                  <w:vMerge w:val="continue"/>
                  <w:vAlign w:val="center"/>
                </w:tcPr>
                <w:p>
                  <w:pPr>
                    <w:jc w:val="center"/>
                    <w:textAlignment w:val="bottom"/>
                    <w:rPr>
                      <w:rFonts w:ascii="Times New Roman" w:hAnsi="Times New Roman"/>
                      <w:color w:val="auto"/>
                      <w:kern w:val="0"/>
                      <w:szCs w:val="21"/>
                      <w:lang w:bidi="ar"/>
                    </w:rPr>
                  </w:pPr>
                </w:p>
              </w:tc>
              <w:tc>
                <w:tcPr>
                  <w:tcW w:w="1944" w:type="dxa"/>
                  <w:vMerge w:val="continue"/>
                  <w:vAlign w:val="center"/>
                </w:tcPr>
                <w:p>
                  <w:pPr>
                    <w:jc w:val="center"/>
                    <w:textAlignment w:val="bottom"/>
                    <w:rPr>
                      <w:rFonts w:ascii="Times New Roman" w:hAnsi="Times New Roman"/>
                      <w:b/>
                      <w:color w:val="auto"/>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pH</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8.23</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8.2</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8.26</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7.86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7.94</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8.1</w:t>
                  </w:r>
                </w:p>
              </w:tc>
              <w:tc>
                <w:tcPr>
                  <w:tcW w:w="631"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672" w:type="dxa"/>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1944"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石油烃</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631"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672"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达标</w:t>
                  </w:r>
                </w:p>
              </w:tc>
              <w:tc>
                <w:tcPr>
                  <w:tcW w:w="1944"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9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全盐量</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0.6</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0.7</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0.9</w:t>
                  </w:r>
                </w:p>
              </w:tc>
              <w:tc>
                <w:tcPr>
                  <w:tcW w:w="683"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0.8</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0.7</w:t>
                  </w:r>
                </w:p>
              </w:tc>
              <w:tc>
                <w:tcPr>
                  <w:tcW w:w="788"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0.8</w:t>
                  </w:r>
                </w:p>
              </w:tc>
              <w:tc>
                <w:tcPr>
                  <w:tcW w:w="631" w:type="dxa"/>
                  <w:vAlign w:val="center"/>
                </w:tcPr>
                <w:p>
                  <w:pPr>
                    <w:jc w:val="center"/>
                    <w:textAlignment w:val="bottom"/>
                    <w:rPr>
                      <w:rFonts w:ascii="Times New Roman" w:hAnsi="Times New Roman"/>
                      <w:color w:val="auto"/>
                      <w:kern w:val="0"/>
                      <w:szCs w:val="21"/>
                      <w:lang w:bidi="ar"/>
                    </w:rPr>
                  </w:pPr>
                  <w:r>
                    <w:rPr>
                      <w:rFonts w:ascii="Times New Roman" w:hAnsi="Times New Roman"/>
                      <w:color w:val="auto"/>
                      <w:kern w:val="0"/>
                      <w:szCs w:val="21"/>
                      <w:lang w:bidi="ar"/>
                    </w:rPr>
                    <w:t>/</w:t>
                  </w:r>
                </w:p>
              </w:tc>
              <w:tc>
                <w:tcPr>
                  <w:tcW w:w="672" w:type="dxa"/>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1944" w:type="dxa"/>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bl>
          <w:p>
            <w:pPr>
              <w:spacing w:before="120" w:beforeLines="50"/>
              <w:jc w:val="center"/>
              <w:rPr>
                <w:rFonts w:ascii="Times New Roman" w:hAnsi="Times New Roman"/>
                <w:b/>
                <w:color w:val="auto"/>
                <w:kern w:val="0"/>
                <w:szCs w:val="21"/>
              </w:rPr>
            </w:pPr>
          </w:p>
          <w:p>
            <w:pPr>
              <w:spacing w:before="120" w:beforeLines="50"/>
              <w:jc w:val="center"/>
              <w:rPr>
                <w:rFonts w:ascii="Times New Roman" w:hAnsi="Times New Roman"/>
                <w:b/>
                <w:color w:val="auto"/>
                <w:kern w:val="0"/>
                <w:szCs w:val="21"/>
              </w:rPr>
            </w:pPr>
          </w:p>
          <w:p>
            <w:pPr>
              <w:spacing w:before="120" w:beforeLines="50"/>
              <w:jc w:val="center"/>
              <w:rPr>
                <w:rFonts w:ascii="Times New Roman" w:hAnsi="Times New Roman"/>
                <w:b/>
                <w:color w:val="auto"/>
                <w:kern w:val="0"/>
                <w:szCs w:val="21"/>
              </w:rPr>
            </w:pPr>
          </w:p>
          <w:p>
            <w:pPr>
              <w:spacing w:before="120" w:beforeLines="50"/>
              <w:jc w:val="center"/>
              <w:rPr>
                <w:rFonts w:ascii="Times New Roman" w:hAnsi="Times New Roman"/>
                <w:b/>
                <w:color w:val="auto"/>
                <w:kern w:val="0"/>
                <w:szCs w:val="21"/>
              </w:rPr>
            </w:pPr>
          </w:p>
          <w:p>
            <w:pPr>
              <w:spacing w:before="120" w:beforeLines="50"/>
              <w:jc w:val="center"/>
              <w:rPr>
                <w:rFonts w:ascii="Times New Roman" w:hAnsi="Times New Roman"/>
                <w:b/>
                <w:color w:val="auto"/>
                <w:kern w:val="0"/>
                <w:szCs w:val="21"/>
              </w:rPr>
            </w:pPr>
          </w:p>
          <w:p>
            <w:pPr>
              <w:spacing w:before="120" w:beforeLines="50"/>
              <w:jc w:val="center"/>
              <w:rPr>
                <w:rFonts w:ascii="Times New Roman" w:hAnsi="Times New Roman"/>
                <w:b/>
                <w:color w:val="auto"/>
                <w:kern w:val="0"/>
                <w:szCs w:val="21"/>
              </w:rPr>
            </w:pPr>
            <w:r>
              <w:rPr>
                <w:rFonts w:hint="eastAsia" w:ascii="Times New Roman" w:hAnsi="Times New Roman"/>
                <w:b/>
                <w:color w:val="auto"/>
                <w:kern w:val="0"/>
                <w:szCs w:val="21"/>
              </w:rPr>
              <w:t xml:space="preserve">表3-12（3）   </w:t>
            </w:r>
            <w:r>
              <w:rPr>
                <w:rFonts w:ascii="Times New Roman" w:hAnsi="Times New Roman"/>
                <w:b/>
                <w:color w:val="auto"/>
                <w:kern w:val="0"/>
                <w:szCs w:val="21"/>
              </w:rPr>
              <w:t>建设用地土壤现状监测</w:t>
            </w:r>
            <w:r>
              <w:rPr>
                <w:rFonts w:hint="eastAsia" w:ascii="Times New Roman" w:hAnsi="Times New Roman"/>
                <w:b/>
                <w:color w:val="auto"/>
                <w:kern w:val="0"/>
                <w:szCs w:val="21"/>
              </w:rPr>
              <w:t>及评价结果表</w:t>
            </w:r>
          </w:p>
          <w:tbl>
            <w:tblPr>
              <w:tblStyle w:val="3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922"/>
              <w:gridCol w:w="873"/>
              <w:gridCol w:w="898"/>
              <w:gridCol w:w="873"/>
              <w:gridCol w:w="817"/>
              <w:gridCol w:w="721"/>
              <w:gridCol w:w="27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87" w:type="pct"/>
                  <w:vMerge w:val="restart"/>
                  <w:vAlign w:val="center"/>
                </w:tcPr>
                <w:p>
                  <w:pPr>
                    <w:jc w:val="center"/>
                    <w:rPr>
                      <w:rFonts w:ascii="Times New Roman" w:hAnsi="Times New Roman"/>
                      <w:b/>
                      <w:color w:val="auto"/>
                      <w:kern w:val="0"/>
                      <w:szCs w:val="21"/>
                    </w:rPr>
                  </w:pPr>
                  <w:r>
                    <w:rPr>
                      <w:rFonts w:ascii="Times New Roman" w:hAnsi="Times New Roman"/>
                      <w:bCs/>
                      <w:color w:val="auto"/>
                      <w:kern w:val="0"/>
                      <w:szCs w:val="21"/>
                    </w:rPr>
                    <w:t>监测因子</w:t>
                  </w:r>
                </w:p>
              </w:tc>
              <w:tc>
                <w:tcPr>
                  <w:tcW w:w="1625" w:type="pct"/>
                  <w:gridSpan w:val="3"/>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T-5#</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szCs w:val="21"/>
                    </w:rPr>
                    <w:t>T-7#</w:t>
                  </w:r>
                </w:p>
              </w:tc>
              <w:tc>
                <w:tcPr>
                  <w:tcW w:w="493" w:type="pct"/>
                  <w:vMerge w:val="restart"/>
                  <w:vAlign w:val="center"/>
                </w:tcPr>
                <w:p>
                  <w:pPr>
                    <w:jc w:val="center"/>
                    <w:textAlignment w:val="bottom"/>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435" w:type="pct"/>
                  <w:vMerge w:val="restart"/>
                  <w:vAlign w:val="center"/>
                </w:tcPr>
                <w:p>
                  <w:pPr>
                    <w:jc w:val="center"/>
                    <w:textAlignment w:val="bottom"/>
                    <w:rPr>
                      <w:rFonts w:ascii="Times New Roman" w:hAnsi="Times New Roman"/>
                      <w:color w:val="auto"/>
                      <w:szCs w:val="21"/>
                    </w:rPr>
                  </w:pPr>
                  <w:r>
                    <w:rPr>
                      <w:rFonts w:hint="eastAsia" w:ascii="Times New Roman" w:hAnsi="Times New Roman"/>
                      <w:color w:val="auto"/>
                      <w:szCs w:val="21"/>
                    </w:rPr>
                    <w:t>达标情况</w:t>
                  </w:r>
                </w:p>
              </w:tc>
              <w:tc>
                <w:tcPr>
                  <w:tcW w:w="1629" w:type="pct"/>
                  <w:vMerge w:val="restart"/>
                  <w:vAlign w:val="center"/>
                </w:tcPr>
                <w:p>
                  <w:pPr>
                    <w:jc w:val="both"/>
                    <w:textAlignment w:val="bottom"/>
                    <w:rPr>
                      <w:rFonts w:ascii="Times New Roman" w:hAnsi="Times New Roman"/>
                      <w:b/>
                      <w:color w:val="auto"/>
                      <w:kern w:val="0"/>
                      <w:szCs w:val="21"/>
                    </w:rPr>
                  </w:pPr>
                  <w:r>
                    <w:rPr>
                      <w:rFonts w:ascii="Times New Roman" w:hAnsi="Times New Roman"/>
                      <w:bCs/>
                      <w:color w:val="auto"/>
                      <w:kern w:val="0"/>
                      <w:szCs w:val="21"/>
                      <w:lang w:bidi="ar"/>
                    </w:rPr>
                    <w:t>《土壤环境质量 建设用地土壤污染风险管控标准（试行）》（GB36600-2018）第二类用地筛选值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7" w:type="pct"/>
                  <w:vMerge w:val="continue"/>
                  <w:vAlign w:val="center"/>
                </w:tcPr>
                <w:p>
                  <w:pPr>
                    <w:jc w:val="center"/>
                    <w:rPr>
                      <w:rFonts w:ascii="Times New Roman" w:hAnsi="Times New Roman"/>
                      <w:b/>
                      <w:color w:val="auto"/>
                      <w:kern w:val="0"/>
                      <w:szCs w:val="21"/>
                    </w:rPr>
                  </w:pPr>
                </w:p>
              </w:tc>
              <w:tc>
                <w:tcPr>
                  <w:tcW w:w="55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150cm</w:t>
                  </w:r>
                </w:p>
              </w:tc>
              <w:tc>
                <w:tcPr>
                  <w:tcW w:w="5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300cm</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50cm</w:t>
                  </w:r>
                </w:p>
              </w:tc>
              <w:tc>
                <w:tcPr>
                  <w:tcW w:w="493" w:type="pct"/>
                  <w:vMerge w:val="continue"/>
                  <w:vAlign w:val="center"/>
                </w:tcPr>
                <w:p>
                  <w:pPr>
                    <w:jc w:val="center"/>
                    <w:textAlignment w:val="bottom"/>
                    <w:rPr>
                      <w:rFonts w:ascii="Times New Roman" w:hAnsi="Times New Roman"/>
                      <w:color w:val="auto"/>
                      <w:kern w:val="0"/>
                      <w:szCs w:val="21"/>
                      <w:lang w:bidi="ar"/>
                    </w:rPr>
                  </w:pPr>
                </w:p>
              </w:tc>
              <w:tc>
                <w:tcPr>
                  <w:tcW w:w="435" w:type="pct"/>
                  <w:vMerge w:val="continue"/>
                  <w:vAlign w:val="center"/>
                </w:tcPr>
                <w:p>
                  <w:pPr>
                    <w:jc w:val="center"/>
                    <w:textAlignment w:val="bottom"/>
                    <w:rPr>
                      <w:rFonts w:ascii="Times New Roman" w:hAnsi="Times New Roman"/>
                      <w:color w:val="auto"/>
                      <w:kern w:val="0"/>
                      <w:szCs w:val="21"/>
                      <w:lang w:bidi="ar"/>
                    </w:rPr>
                  </w:pPr>
                </w:p>
              </w:tc>
              <w:tc>
                <w:tcPr>
                  <w:tcW w:w="1629" w:type="pct"/>
                  <w:vMerge w:val="continue"/>
                  <w:vAlign w:val="center"/>
                </w:tcPr>
                <w:p>
                  <w:pPr>
                    <w:jc w:val="center"/>
                    <w:textAlignment w:val="bottom"/>
                    <w:rPr>
                      <w:rFonts w:ascii="Times New Roman" w:hAnsi="Times New Roman"/>
                      <w:b/>
                      <w:color w:val="auto"/>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pH</w:t>
                  </w:r>
                </w:p>
              </w:tc>
              <w:tc>
                <w:tcPr>
                  <w:tcW w:w="55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7.7</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7.92</w:t>
                  </w:r>
                </w:p>
              </w:tc>
              <w:tc>
                <w:tcPr>
                  <w:tcW w:w="5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7.89</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8.45</w:t>
                  </w:r>
                </w:p>
              </w:tc>
              <w:tc>
                <w:tcPr>
                  <w:tcW w:w="493"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435"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1629"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石油烃</w:t>
                  </w:r>
                </w:p>
              </w:tc>
              <w:tc>
                <w:tcPr>
                  <w:tcW w:w="55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5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&lt;6</w:t>
                  </w:r>
                </w:p>
              </w:tc>
              <w:tc>
                <w:tcPr>
                  <w:tcW w:w="493"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435"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达标</w:t>
                  </w:r>
                </w:p>
              </w:tc>
              <w:tc>
                <w:tcPr>
                  <w:tcW w:w="1629"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全盐量</w:t>
                  </w:r>
                </w:p>
              </w:tc>
              <w:tc>
                <w:tcPr>
                  <w:tcW w:w="55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0.8</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0.8</w:t>
                  </w:r>
                </w:p>
              </w:tc>
              <w:tc>
                <w:tcPr>
                  <w:tcW w:w="541"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0.9</w:t>
                  </w:r>
                </w:p>
              </w:tc>
              <w:tc>
                <w:tcPr>
                  <w:tcW w:w="527"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0.6</w:t>
                  </w:r>
                </w:p>
              </w:tc>
              <w:tc>
                <w:tcPr>
                  <w:tcW w:w="493"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435" w:type="pct"/>
                  <w:vAlign w:val="center"/>
                </w:tcPr>
                <w:p>
                  <w:pPr>
                    <w:jc w:val="center"/>
                    <w:textAlignment w:val="bottom"/>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1629"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 w:val="22"/>
                      <w:szCs w:val="22"/>
                      <w:lang w:bidi="ar"/>
                    </w:rPr>
                    <w:t>/</w:t>
                  </w:r>
                </w:p>
              </w:tc>
            </w:tr>
          </w:tbl>
          <w:p>
            <w:pPr>
              <w:rPr>
                <w:rFonts w:ascii="Times New Roman" w:hAnsi="Times New Roman"/>
                <w:b/>
                <w:color w:val="auto"/>
                <w:kern w:val="0"/>
                <w:szCs w:val="21"/>
              </w:rPr>
            </w:pPr>
            <w:r>
              <w:rPr>
                <w:rFonts w:hint="eastAsia" w:ascii="Times New Roman" w:hAnsi="Times New Roman"/>
                <w:b/>
                <w:color w:val="auto"/>
                <w:kern w:val="0"/>
                <w:szCs w:val="21"/>
              </w:rPr>
              <w:t>备注：pH无量纲，石油烃单位：</w:t>
            </w:r>
            <w:r>
              <w:rPr>
                <w:rFonts w:hint="eastAsia" w:ascii="Times New Roman" w:hAnsi="Times New Roman"/>
                <w:b/>
                <w:color w:val="auto"/>
                <w:kern w:val="0"/>
              </w:rPr>
              <w:t>m</w:t>
            </w:r>
            <w:r>
              <w:rPr>
                <w:rFonts w:ascii="Times New Roman" w:hAnsi="Times New Roman"/>
                <w:b/>
                <w:color w:val="auto"/>
                <w:kern w:val="0"/>
              </w:rPr>
              <w:t>g/</w:t>
            </w:r>
            <w:r>
              <w:rPr>
                <w:rFonts w:hint="eastAsia" w:ascii="Times New Roman" w:hAnsi="Times New Roman"/>
                <w:b/>
                <w:color w:val="auto"/>
                <w:kern w:val="0"/>
              </w:rPr>
              <w:t>kg，全盐量单位：</w:t>
            </w:r>
            <w:r>
              <w:rPr>
                <w:rFonts w:ascii="Times New Roman" w:hAnsi="Times New Roman"/>
                <w:b/>
                <w:color w:val="auto"/>
                <w:kern w:val="0"/>
              </w:rPr>
              <w:t>g/</w:t>
            </w:r>
            <w:r>
              <w:rPr>
                <w:rFonts w:hint="eastAsia" w:ascii="Times New Roman" w:hAnsi="Times New Roman"/>
                <w:b/>
                <w:color w:val="auto"/>
                <w:kern w:val="0"/>
              </w:rPr>
              <w:t>kg</w:t>
            </w:r>
          </w:p>
          <w:p>
            <w:pPr>
              <w:spacing w:before="120" w:beforeLines="50"/>
              <w:jc w:val="center"/>
              <w:rPr>
                <w:rFonts w:ascii="Times New Roman" w:hAnsi="Times New Roman"/>
                <w:b/>
                <w:color w:val="auto"/>
                <w:kern w:val="0"/>
                <w:szCs w:val="21"/>
              </w:rPr>
            </w:pPr>
            <w:r>
              <w:rPr>
                <w:rFonts w:hint="eastAsia" w:ascii="Times New Roman" w:hAnsi="Times New Roman"/>
                <w:b/>
                <w:color w:val="auto"/>
                <w:kern w:val="0"/>
                <w:szCs w:val="21"/>
              </w:rPr>
              <w:t xml:space="preserve">表3-12（4）   </w:t>
            </w:r>
            <w:r>
              <w:rPr>
                <w:rFonts w:ascii="Times New Roman" w:hAnsi="Times New Roman"/>
                <w:b/>
                <w:color w:val="auto"/>
                <w:kern w:val="0"/>
                <w:szCs w:val="21"/>
              </w:rPr>
              <w:t>建设用地土壤现状监测</w:t>
            </w:r>
            <w:r>
              <w:rPr>
                <w:rFonts w:hint="eastAsia" w:ascii="Times New Roman" w:hAnsi="Times New Roman"/>
                <w:b/>
                <w:color w:val="auto"/>
                <w:kern w:val="0"/>
                <w:szCs w:val="21"/>
              </w:rPr>
              <w:t>及评价结果表</w:t>
            </w:r>
          </w:p>
          <w:tbl>
            <w:tblPr>
              <w:tblStyle w:val="38"/>
              <w:tblW w:w="497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546"/>
              <w:gridCol w:w="803"/>
              <w:gridCol w:w="1309"/>
              <w:gridCol w:w="824"/>
              <w:gridCol w:w="950"/>
              <w:gridCol w:w="23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58"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序号</w:t>
                  </w:r>
                </w:p>
              </w:tc>
              <w:tc>
                <w:tcPr>
                  <w:tcW w:w="938"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监测因子</w:t>
                  </w:r>
                </w:p>
              </w:tc>
              <w:tc>
                <w:tcPr>
                  <w:tcW w:w="487"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单位</w:t>
                  </w:r>
                </w:p>
              </w:tc>
              <w:tc>
                <w:tcPr>
                  <w:tcW w:w="1870" w:type="pct"/>
                  <w:gridSpan w:val="3"/>
                  <w:vAlign w:val="center"/>
                </w:tcPr>
                <w:p>
                  <w:pPr>
                    <w:pStyle w:val="43"/>
                    <w:spacing w:line="240" w:lineRule="auto"/>
                    <w:rPr>
                      <w:rFonts w:ascii="Times New Roman" w:hAnsi="Times New Roman"/>
                      <w:color w:val="auto"/>
                      <w:szCs w:val="21"/>
                    </w:rPr>
                  </w:pPr>
                  <w:r>
                    <w:rPr>
                      <w:rFonts w:ascii="Times New Roman" w:hAnsi="Times New Roman"/>
                      <w:color w:val="auto"/>
                      <w:szCs w:val="21"/>
                    </w:rPr>
                    <w:t>T-6#（采样深度：20cm）</w:t>
                  </w:r>
                </w:p>
              </w:tc>
              <w:tc>
                <w:tcPr>
                  <w:tcW w:w="1445" w:type="pct"/>
                  <w:vMerge w:val="restart"/>
                  <w:vAlign w:val="center"/>
                </w:tcPr>
                <w:p>
                  <w:pPr>
                    <w:pStyle w:val="43"/>
                    <w:spacing w:line="240" w:lineRule="auto"/>
                    <w:jc w:val="both"/>
                    <w:rPr>
                      <w:rFonts w:ascii="Times New Roman" w:hAnsi="Times New Roman"/>
                      <w:b/>
                      <w:color w:val="auto"/>
                      <w:kern w:val="0"/>
                      <w:szCs w:val="21"/>
                    </w:rPr>
                  </w:pPr>
                  <w:r>
                    <w:rPr>
                      <w:rFonts w:ascii="Times New Roman" w:hAnsi="Times New Roman"/>
                      <w:bCs/>
                      <w:color w:val="auto"/>
                      <w:kern w:val="0"/>
                      <w:szCs w:val="21"/>
                      <w:lang w:bidi="ar"/>
                    </w:rPr>
                    <w:t>《土壤环境质量 建设用地土壤污染风险管控标准（试行）》（GB36600-2018）第二类用地筛选值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Merge w:val="continue"/>
                  <w:vAlign w:val="center"/>
                </w:tcPr>
                <w:p>
                  <w:pPr>
                    <w:pStyle w:val="43"/>
                    <w:spacing w:line="240" w:lineRule="auto"/>
                    <w:rPr>
                      <w:rFonts w:ascii="Times New Roman" w:hAnsi="Times New Roman"/>
                      <w:b/>
                      <w:color w:val="auto"/>
                      <w:kern w:val="0"/>
                      <w:szCs w:val="21"/>
                    </w:rPr>
                  </w:pPr>
                </w:p>
              </w:tc>
              <w:tc>
                <w:tcPr>
                  <w:tcW w:w="938" w:type="pct"/>
                  <w:vMerge w:val="continue"/>
                  <w:vAlign w:val="center"/>
                </w:tcPr>
                <w:p>
                  <w:pPr>
                    <w:pStyle w:val="43"/>
                    <w:spacing w:line="240" w:lineRule="auto"/>
                    <w:rPr>
                      <w:rFonts w:ascii="Times New Roman" w:hAnsi="Times New Roman"/>
                      <w:b/>
                      <w:color w:val="auto"/>
                      <w:kern w:val="0"/>
                      <w:szCs w:val="21"/>
                    </w:rPr>
                  </w:pPr>
                </w:p>
              </w:tc>
              <w:tc>
                <w:tcPr>
                  <w:tcW w:w="487" w:type="pct"/>
                  <w:vMerge w:val="continue"/>
                  <w:vAlign w:val="center"/>
                </w:tcPr>
                <w:p>
                  <w:pPr>
                    <w:pStyle w:val="43"/>
                    <w:spacing w:line="240" w:lineRule="auto"/>
                    <w:rPr>
                      <w:rFonts w:ascii="Times New Roman" w:hAnsi="Times New Roman"/>
                      <w:b/>
                      <w:color w:val="auto"/>
                      <w:kern w:val="0"/>
                      <w:szCs w:val="21"/>
                    </w:rPr>
                  </w:pPr>
                </w:p>
              </w:tc>
              <w:tc>
                <w:tcPr>
                  <w:tcW w:w="794" w:type="pct"/>
                  <w:vAlign w:val="center"/>
                </w:tcPr>
                <w:p>
                  <w:pPr>
                    <w:pStyle w:val="43"/>
                    <w:spacing w:line="240" w:lineRule="auto"/>
                    <w:rPr>
                      <w:rFonts w:ascii="Times New Roman" w:hAnsi="Times New Roman"/>
                      <w:b/>
                      <w:color w:val="auto"/>
                      <w:kern w:val="0"/>
                      <w:szCs w:val="21"/>
                    </w:rPr>
                  </w:pPr>
                  <w:r>
                    <w:rPr>
                      <w:rFonts w:ascii="Times New Roman" w:hAnsi="Times New Roman"/>
                      <w:bCs/>
                      <w:color w:val="auto"/>
                      <w:kern w:val="0"/>
                      <w:szCs w:val="21"/>
                    </w:rPr>
                    <w:t>监测值</w:t>
                  </w:r>
                </w:p>
              </w:tc>
              <w:tc>
                <w:tcPr>
                  <w:tcW w:w="500" w:type="pct"/>
                  <w:vAlign w:val="center"/>
                </w:tcPr>
                <w:p>
                  <w:pPr>
                    <w:pStyle w:val="43"/>
                    <w:spacing w:line="240" w:lineRule="auto"/>
                    <w:rPr>
                      <w:rFonts w:ascii="Times New Roman" w:hAnsi="Times New Roman"/>
                      <w:b/>
                      <w:color w:val="auto"/>
                      <w:kern w:val="0"/>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576" w:type="pc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达标情况</w:t>
                  </w:r>
                </w:p>
              </w:tc>
              <w:tc>
                <w:tcPr>
                  <w:tcW w:w="1445" w:type="pct"/>
                  <w:vMerge w:val="continue"/>
                  <w:vAlign w:val="center"/>
                </w:tcPr>
                <w:p>
                  <w:pPr>
                    <w:pStyle w:val="43"/>
                    <w:spacing w:line="240" w:lineRule="auto"/>
                    <w:rPr>
                      <w:rFonts w:ascii="Times New Roman" w:hAnsi="Times New Roman"/>
                      <w:b/>
                      <w:color w:val="auto"/>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w:t>
                  </w:r>
                </w:p>
              </w:tc>
              <w:tc>
                <w:tcPr>
                  <w:tcW w:w="938" w:type="pct"/>
                  <w:vAlign w:val="center"/>
                </w:tcPr>
                <w:p>
                  <w:pPr>
                    <w:jc w:val="center"/>
                    <w:rPr>
                      <w:rFonts w:ascii="Times New Roman" w:hAnsi="Times New Roman"/>
                      <w:bCs/>
                      <w:color w:val="auto"/>
                      <w:kern w:val="0"/>
                      <w:szCs w:val="21"/>
                    </w:rPr>
                  </w:pPr>
                  <w:r>
                    <w:rPr>
                      <w:rFonts w:ascii="Times New Roman" w:hAnsi="Times New Roman"/>
                      <w:color w:val="auto"/>
                      <w:szCs w:val="21"/>
                    </w:rPr>
                    <w:t>氯乙烯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&lt;1.5</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0.43</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w:t>
                  </w:r>
                </w:p>
              </w:tc>
              <w:tc>
                <w:tcPr>
                  <w:tcW w:w="938" w:type="pct"/>
                  <w:vAlign w:val="center"/>
                </w:tcPr>
                <w:p>
                  <w:pPr>
                    <w:jc w:val="center"/>
                    <w:rPr>
                      <w:rFonts w:ascii="Times New Roman" w:hAnsi="Times New Roman"/>
                      <w:bCs/>
                      <w:color w:val="auto"/>
                      <w:kern w:val="0"/>
                      <w:szCs w:val="21"/>
                    </w:rPr>
                  </w:pPr>
                  <w:r>
                    <w:rPr>
                      <w:rFonts w:ascii="Times New Roman" w:hAnsi="Times New Roman"/>
                      <w:color w:val="auto"/>
                      <w:szCs w:val="21"/>
                    </w:rPr>
                    <w:t>1,1-二氯乙烯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&lt;0.8</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66</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w:t>
                  </w:r>
                </w:p>
              </w:tc>
              <w:tc>
                <w:tcPr>
                  <w:tcW w:w="938" w:type="pct"/>
                  <w:vAlign w:val="center"/>
                </w:tcPr>
                <w:p>
                  <w:pPr>
                    <w:jc w:val="center"/>
                    <w:rPr>
                      <w:rFonts w:ascii="Times New Roman" w:hAnsi="Times New Roman"/>
                      <w:bCs/>
                      <w:color w:val="auto"/>
                      <w:kern w:val="0"/>
                      <w:szCs w:val="21"/>
                    </w:rPr>
                  </w:pPr>
                  <w:r>
                    <w:rPr>
                      <w:rFonts w:ascii="Times New Roman" w:hAnsi="Times New Roman"/>
                      <w:bCs/>
                      <w:color w:val="auto"/>
                      <w:szCs w:val="21"/>
                    </w:rPr>
                    <w:t>二氯甲烷</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&lt;2.6</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616</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w:t>
                  </w:r>
                </w:p>
              </w:tc>
              <w:tc>
                <w:tcPr>
                  <w:tcW w:w="938" w:type="pct"/>
                  <w:vAlign w:val="center"/>
                </w:tcPr>
                <w:p>
                  <w:pPr>
                    <w:jc w:val="center"/>
                    <w:rPr>
                      <w:rFonts w:ascii="Times New Roman" w:hAnsi="Times New Roman"/>
                      <w:bCs/>
                      <w:color w:val="auto"/>
                      <w:kern w:val="0"/>
                      <w:szCs w:val="21"/>
                    </w:rPr>
                  </w:pPr>
                  <w:r>
                    <w:rPr>
                      <w:rFonts w:ascii="Times New Roman" w:hAnsi="Times New Roman"/>
                      <w:bCs/>
                      <w:color w:val="auto"/>
                      <w:szCs w:val="21"/>
                    </w:rPr>
                    <w:t>反-1,2-二氯乙烯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&lt;0.9</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54</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5</w:t>
                  </w:r>
                </w:p>
              </w:tc>
              <w:tc>
                <w:tcPr>
                  <w:tcW w:w="938" w:type="pct"/>
                  <w:vAlign w:val="center"/>
                </w:tcPr>
                <w:p>
                  <w:pPr>
                    <w:jc w:val="center"/>
                    <w:rPr>
                      <w:rFonts w:ascii="Times New Roman" w:hAnsi="Times New Roman"/>
                      <w:bCs/>
                      <w:color w:val="auto"/>
                      <w:kern w:val="0"/>
                      <w:szCs w:val="21"/>
                    </w:rPr>
                  </w:pPr>
                  <w:r>
                    <w:rPr>
                      <w:rFonts w:ascii="Times New Roman" w:hAnsi="Times New Roman"/>
                      <w:color w:val="auto"/>
                      <w:szCs w:val="21"/>
                    </w:rPr>
                    <w:t>1,1-二氯乙烷</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&lt;1.6</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9</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6</w:t>
                  </w:r>
                </w:p>
              </w:tc>
              <w:tc>
                <w:tcPr>
                  <w:tcW w:w="938" w:type="pct"/>
                  <w:vAlign w:val="center"/>
                </w:tcPr>
                <w:p>
                  <w:pPr>
                    <w:jc w:val="center"/>
                    <w:rPr>
                      <w:rFonts w:ascii="Times New Roman" w:hAnsi="Times New Roman"/>
                      <w:bCs/>
                      <w:color w:val="auto"/>
                      <w:kern w:val="0"/>
                      <w:szCs w:val="21"/>
                    </w:rPr>
                  </w:pPr>
                  <w:r>
                    <w:rPr>
                      <w:rFonts w:ascii="Times New Roman" w:hAnsi="Times New Roman"/>
                      <w:bCs/>
                      <w:color w:val="auto"/>
                      <w:szCs w:val="21"/>
                    </w:rPr>
                    <w:t>顺-1,2-二氯乙烯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&lt;0.9</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596</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7</w:t>
                  </w:r>
                </w:p>
              </w:tc>
              <w:tc>
                <w:tcPr>
                  <w:tcW w:w="938" w:type="pct"/>
                  <w:vAlign w:val="center"/>
                </w:tcPr>
                <w:p>
                  <w:pPr>
                    <w:jc w:val="center"/>
                    <w:rPr>
                      <w:rFonts w:ascii="Times New Roman" w:hAnsi="Times New Roman"/>
                      <w:bCs/>
                      <w:color w:val="auto"/>
                      <w:kern w:val="0"/>
                      <w:szCs w:val="21"/>
                    </w:rPr>
                  </w:pPr>
                  <w:r>
                    <w:rPr>
                      <w:rFonts w:ascii="Times New Roman" w:hAnsi="Times New Roman"/>
                      <w:color w:val="auto"/>
                      <w:szCs w:val="21"/>
                    </w:rPr>
                    <w:t>氯仿</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&lt;1.5</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0.9</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8</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1,1,1-三氯乙烷</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&lt;1.1</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840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9</w:t>
                  </w:r>
                </w:p>
              </w:tc>
              <w:tc>
                <w:tcPr>
                  <w:tcW w:w="938" w:type="pct"/>
                  <w:vAlign w:val="center"/>
                </w:tcPr>
                <w:p>
                  <w:pPr>
                    <w:jc w:val="center"/>
                    <w:rPr>
                      <w:rFonts w:ascii="Times New Roman" w:hAnsi="Times New Roman"/>
                      <w:bCs/>
                      <w:color w:val="auto"/>
                      <w:szCs w:val="21"/>
                    </w:rPr>
                  </w:pPr>
                  <w:r>
                    <w:rPr>
                      <w:rFonts w:ascii="Times New Roman" w:hAnsi="Times New Roman"/>
                      <w:color w:val="auto"/>
                      <w:szCs w:val="21"/>
                    </w:rPr>
                    <w:t>四氯化碳</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&lt;2.1</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2.8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10</w:t>
                  </w:r>
                </w:p>
              </w:tc>
              <w:tc>
                <w:tcPr>
                  <w:tcW w:w="938" w:type="pct"/>
                  <w:vAlign w:val="center"/>
                </w:tcPr>
                <w:p>
                  <w:pPr>
                    <w:jc w:val="center"/>
                    <w:rPr>
                      <w:rFonts w:ascii="Times New Roman" w:hAnsi="Times New Roman"/>
                      <w:bCs/>
                      <w:color w:val="auto"/>
                      <w:szCs w:val="21"/>
                    </w:rPr>
                  </w:pPr>
                  <w:r>
                    <w:rPr>
                      <w:rFonts w:ascii="Times New Roman" w:hAnsi="Times New Roman"/>
                      <w:color w:val="auto"/>
                      <w:szCs w:val="21"/>
                    </w:rPr>
                    <w:t>1,2-二氯乙烷</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&lt;1.3</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11</w:t>
                  </w:r>
                </w:p>
              </w:tc>
              <w:tc>
                <w:tcPr>
                  <w:tcW w:w="938" w:type="pct"/>
                  <w:vAlign w:val="center"/>
                </w:tcPr>
                <w:p>
                  <w:pPr>
                    <w:jc w:val="center"/>
                    <w:rPr>
                      <w:rFonts w:ascii="Times New Roman" w:hAnsi="Times New Roman"/>
                      <w:bCs/>
                      <w:color w:val="auto"/>
                      <w:szCs w:val="21"/>
                    </w:rPr>
                  </w:pPr>
                  <w:r>
                    <w:rPr>
                      <w:rFonts w:ascii="Times New Roman" w:hAnsi="Times New Roman"/>
                      <w:bCs/>
                      <w:color w:val="auto"/>
                      <w:szCs w:val="21"/>
                    </w:rPr>
                    <w:t>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&lt;1.6</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4</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12</w:t>
                  </w:r>
                </w:p>
              </w:tc>
              <w:tc>
                <w:tcPr>
                  <w:tcW w:w="938" w:type="pct"/>
                  <w:vAlign w:val="center"/>
                </w:tcPr>
                <w:p>
                  <w:pPr>
                    <w:jc w:val="center"/>
                    <w:rPr>
                      <w:rFonts w:ascii="Times New Roman" w:hAnsi="Times New Roman"/>
                      <w:bCs/>
                      <w:color w:val="auto"/>
                      <w:szCs w:val="21"/>
                    </w:rPr>
                  </w:pPr>
                  <w:r>
                    <w:rPr>
                      <w:rFonts w:ascii="Times New Roman" w:hAnsi="Times New Roman"/>
                      <w:color w:val="auto"/>
                      <w:szCs w:val="21"/>
                    </w:rPr>
                    <w:t>三氯乙烯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&lt;0.9</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2.8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13</w:t>
                  </w:r>
                </w:p>
              </w:tc>
              <w:tc>
                <w:tcPr>
                  <w:tcW w:w="938" w:type="pct"/>
                  <w:vAlign w:val="center"/>
                </w:tcPr>
                <w:p>
                  <w:pPr>
                    <w:jc w:val="center"/>
                    <w:rPr>
                      <w:rFonts w:ascii="Times New Roman" w:hAnsi="Times New Roman"/>
                      <w:color w:val="auto"/>
                      <w:szCs w:val="21"/>
                    </w:rPr>
                  </w:pPr>
                  <w:r>
                    <w:rPr>
                      <w:rFonts w:ascii="Times New Roman" w:hAnsi="Times New Roman"/>
                      <w:bCs/>
                      <w:color w:val="auto"/>
                      <w:szCs w:val="21"/>
                    </w:rPr>
                    <w:t>1,2-二氯丙烷</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&lt;1.9</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14</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甲苯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&lt;2.0</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1200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15</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1,1,2-三氯乙烷</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&lt;1.4</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2.8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16</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四氯乙烯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&lt;0.8</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53</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17</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氯苯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&lt;1.1</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270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18</w:t>
                  </w:r>
                </w:p>
              </w:tc>
              <w:tc>
                <w:tcPr>
                  <w:tcW w:w="938" w:type="pct"/>
                  <w:vAlign w:val="center"/>
                </w:tcPr>
                <w:p>
                  <w:pPr>
                    <w:jc w:val="center"/>
                    <w:rPr>
                      <w:rFonts w:ascii="Times New Roman" w:hAnsi="Times New Roman"/>
                      <w:color w:val="auto"/>
                      <w:szCs w:val="21"/>
                    </w:rPr>
                  </w:pPr>
                  <w:r>
                    <w:rPr>
                      <w:rFonts w:ascii="Times New Roman" w:hAnsi="Times New Roman"/>
                      <w:bCs/>
                      <w:color w:val="auto"/>
                      <w:szCs w:val="21"/>
                    </w:rPr>
                    <w:t>1,1,1,2-四氯乙烷</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&lt;1.0</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10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19</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乙苯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&lt;1.2</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28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20</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间,对-二甲苯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&lt;3.6</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570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21</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邻-二甲苯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&lt;1.3</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640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22</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苯乙烯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b/>
                      <w:color w:val="auto"/>
                      <w:kern w:val="0"/>
                      <w:szCs w:val="21"/>
                    </w:rPr>
                  </w:pPr>
                  <w:r>
                    <w:rPr>
                      <w:rFonts w:ascii="Times New Roman" w:hAnsi="Times New Roman"/>
                      <w:color w:val="auto"/>
                      <w:szCs w:val="21"/>
                    </w:rPr>
                    <w:t>&lt;1.6</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1290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23</w:t>
                  </w:r>
                </w:p>
              </w:tc>
              <w:tc>
                <w:tcPr>
                  <w:tcW w:w="938" w:type="pct"/>
                  <w:vAlign w:val="center"/>
                </w:tcPr>
                <w:p>
                  <w:pPr>
                    <w:jc w:val="center"/>
                    <w:rPr>
                      <w:rFonts w:ascii="Times New Roman" w:hAnsi="Times New Roman"/>
                      <w:color w:val="auto"/>
                      <w:szCs w:val="21"/>
                    </w:rPr>
                  </w:pPr>
                  <w:r>
                    <w:rPr>
                      <w:rFonts w:ascii="Times New Roman" w:hAnsi="Times New Roman"/>
                      <w:bCs/>
                      <w:color w:val="auto"/>
                      <w:szCs w:val="21"/>
                    </w:rPr>
                    <w:t>1,1,2,2-四氯乙烷</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&lt;1.0</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6.8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24</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1,2,3-三氯丙烷</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&lt;1.0</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0.5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25</w:t>
                  </w:r>
                </w:p>
              </w:tc>
              <w:tc>
                <w:tcPr>
                  <w:tcW w:w="938" w:type="pct"/>
                  <w:vAlign w:val="center"/>
                </w:tcPr>
                <w:p>
                  <w:pPr>
                    <w:jc w:val="center"/>
                    <w:rPr>
                      <w:rFonts w:ascii="Times New Roman" w:hAnsi="Times New Roman"/>
                      <w:color w:val="auto"/>
                      <w:szCs w:val="21"/>
                    </w:rPr>
                  </w:pPr>
                  <w:r>
                    <w:rPr>
                      <w:rFonts w:ascii="Times New Roman" w:hAnsi="Times New Roman"/>
                      <w:bCs/>
                      <w:color w:val="auto"/>
                      <w:szCs w:val="21"/>
                    </w:rPr>
                    <w:t>1,4-二氯苯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&lt;1.2</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20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26</w:t>
                  </w:r>
                </w:p>
              </w:tc>
              <w:tc>
                <w:tcPr>
                  <w:tcW w:w="938" w:type="pct"/>
                  <w:vAlign w:val="center"/>
                </w:tcPr>
                <w:p>
                  <w:pPr>
                    <w:jc w:val="center"/>
                    <w:rPr>
                      <w:rFonts w:ascii="Times New Roman" w:hAnsi="Times New Roman"/>
                      <w:color w:val="auto"/>
                      <w:szCs w:val="21"/>
                    </w:rPr>
                  </w:pPr>
                  <w:r>
                    <w:rPr>
                      <w:rFonts w:ascii="Times New Roman" w:hAnsi="Times New Roman"/>
                      <w:bCs/>
                      <w:color w:val="auto"/>
                      <w:szCs w:val="21"/>
                    </w:rPr>
                    <w:t>1,2-二氯苯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&lt;1.0</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560</w:t>
                  </w:r>
                  <w:r>
                    <w:rPr>
                      <w:rFonts w:ascii="Times New Roman" w:hAnsi="Times New Roman"/>
                      <w:color w:val="auto"/>
                      <w:kern w:val="0"/>
                    </w:rPr>
                    <w:t>mg/kg</w:t>
                  </w:r>
                </w:p>
              </w:tc>
            </w:tr>
          </w:tbl>
          <w:p>
            <w:pPr>
              <w:spacing w:before="120" w:beforeLines="50"/>
              <w:jc w:val="center"/>
              <w:rPr>
                <w:color w:val="auto"/>
              </w:rPr>
            </w:pPr>
            <w:r>
              <w:rPr>
                <w:rFonts w:hint="eastAsia" w:ascii="Times New Roman" w:hAnsi="Times New Roman"/>
                <w:b/>
                <w:color w:val="auto"/>
                <w:kern w:val="0"/>
                <w:szCs w:val="21"/>
              </w:rPr>
              <w:t xml:space="preserve">续表3-12（4）   </w:t>
            </w:r>
            <w:r>
              <w:rPr>
                <w:rFonts w:ascii="Times New Roman" w:hAnsi="Times New Roman"/>
                <w:b/>
                <w:color w:val="auto"/>
                <w:kern w:val="0"/>
                <w:szCs w:val="21"/>
              </w:rPr>
              <w:t>建设用地土壤现状监测</w:t>
            </w:r>
            <w:r>
              <w:rPr>
                <w:rFonts w:hint="eastAsia" w:ascii="Times New Roman" w:hAnsi="Times New Roman"/>
                <w:b/>
                <w:color w:val="auto"/>
                <w:kern w:val="0"/>
                <w:szCs w:val="21"/>
              </w:rPr>
              <w:t>及评价结果表</w:t>
            </w:r>
          </w:p>
          <w:tbl>
            <w:tblPr>
              <w:tblStyle w:val="38"/>
              <w:tblW w:w="497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546"/>
              <w:gridCol w:w="803"/>
              <w:gridCol w:w="1309"/>
              <w:gridCol w:w="824"/>
              <w:gridCol w:w="950"/>
              <w:gridCol w:w="23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8"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序号</w:t>
                  </w:r>
                </w:p>
              </w:tc>
              <w:tc>
                <w:tcPr>
                  <w:tcW w:w="938"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监测因子</w:t>
                  </w:r>
                </w:p>
              </w:tc>
              <w:tc>
                <w:tcPr>
                  <w:tcW w:w="487" w:type="pct"/>
                  <w:vMerge w:val="restar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单位</w:t>
                  </w:r>
                </w:p>
              </w:tc>
              <w:tc>
                <w:tcPr>
                  <w:tcW w:w="1870" w:type="pct"/>
                  <w:gridSpan w:val="3"/>
                  <w:vAlign w:val="center"/>
                </w:tcPr>
                <w:p>
                  <w:pPr>
                    <w:pStyle w:val="43"/>
                    <w:spacing w:line="240" w:lineRule="auto"/>
                    <w:rPr>
                      <w:rFonts w:ascii="Times New Roman" w:hAnsi="Times New Roman"/>
                      <w:color w:val="auto"/>
                      <w:szCs w:val="21"/>
                    </w:rPr>
                  </w:pPr>
                  <w:r>
                    <w:rPr>
                      <w:rFonts w:ascii="Times New Roman" w:hAnsi="Times New Roman"/>
                      <w:color w:val="auto"/>
                      <w:szCs w:val="21"/>
                    </w:rPr>
                    <w:t>T-6#（采样深度：20cm）</w:t>
                  </w:r>
                </w:p>
              </w:tc>
              <w:tc>
                <w:tcPr>
                  <w:tcW w:w="1445" w:type="pct"/>
                  <w:vMerge w:val="restart"/>
                  <w:vAlign w:val="center"/>
                </w:tcPr>
                <w:p>
                  <w:pPr>
                    <w:jc w:val="center"/>
                    <w:rPr>
                      <w:rFonts w:ascii="Times New Roman" w:hAnsi="Times New Roman"/>
                      <w:color w:val="auto"/>
                      <w:szCs w:val="21"/>
                    </w:rPr>
                  </w:pPr>
                  <w:r>
                    <w:rPr>
                      <w:rFonts w:ascii="Times New Roman" w:hAnsi="Times New Roman"/>
                      <w:bCs/>
                      <w:color w:val="auto"/>
                      <w:kern w:val="0"/>
                      <w:szCs w:val="21"/>
                      <w:lang w:bidi="ar"/>
                    </w:rPr>
                    <w:t>《土壤环境质量 建设用地土壤污染风险管控标准（试行）》（GB36600-2018）第二类用地筛选值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8" w:type="pct"/>
                  <w:vMerge w:val="continue"/>
                  <w:vAlign w:val="center"/>
                </w:tcPr>
                <w:p>
                  <w:pPr>
                    <w:jc w:val="center"/>
                    <w:textAlignment w:val="bottom"/>
                    <w:rPr>
                      <w:color w:val="auto"/>
                    </w:rPr>
                  </w:pPr>
                </w:p>
              </w:tc>
              <w:tc>
                <w:tcPr>
                  <w:tcW w:w="938" w:type="pct"/>
                  <w:vMerge w:val="continue"/>
                  <w:vAlign w:val="center"/>
                </w:tcPr>
                <w:p>
                  <w:pPr>
                    <w:jc w:val="center"/>
                    <w:textAlignment w:val="bottom"/>
                    <w:rPr>
                      <w:color w:val="auto"/>
                    </w:rPr>
                  </w:pPr>
                </w:p>
              </w:tc>
              <w:tc>
                <w:tcPr>
                  <w:tcW w:w="487" w:type="pct"/>
                  <w:vMerge w:val="continue"/>
                  <w:vAlign w:val="center"/>
                </w:tcPr>
                <w:p>
                  <w:pPr>
                    <w:jc w:val="center"/>
                    <w:textAlignment w:val="bottom"/>
                    <w:rPr>
                      <w:color w:val="auto"/>
                    </w:rPr>
                  </w:pPr>
                </w:p>
              </w:tc>
              <w:tc>
                <w:tcPr>
                  <w:tcW w:w="794" w:type="pct"/>
                  <w:vAlign w:val="center"/>
                </w:tcPr>
                <w:p>
                  <w:pPr>
                    <w:pStyle w:val="43"/>
                    <w:spacing w:line="240" w:lineRule="auto"/>
                    <w:rPr>
                      <w:rFonts w:ascii="Times New Roman" w:hAnsi="Times New Roman"/>
                      <w:b/>
                      <w:color w:val="auto"/>
                      <w:kern w:val="0"/>
                      <w:szCs w:val="21"/>
                    </w:rPr>
                  </w:pPr>
                  <w:r>
                    <w:rPr>
                      <w:rFonts w:ascii="Times New Roman" w:hAnsi="Times New Roman"/>
                      <w:bCs/>
                      <w:color w:val="auto"/>
                      <w:kern w:val="0"/>
                      <w:szCs w:val="21"/>
                    </w:rPr>
                    <w:t>监测值</w:t>
                  </w:r>
                </w:p>
              </w:tc>
              <w:tc>
                <w:tcPr>
                  <w:tcW w:w="500" w:type="pct"/>
                  <w:vAlign w:val="center"/>
                </w:tcPr>
                <w:p>
                  <w:pPr>
                    <w:pStyle w:val="43"/>
                    <w:spacing w:line="240" w:lineRule="auto"/>
                    <w:rPr>
                      <w:rFonts w:ascii="Times New Roman" w:hAnsi="Times New Roman"/>
                      <w:b/>
                      <w:color w:val="auto"/>
                      <w:kern w:val="0"/>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576" w:type="pct"/>
                  <w:vAlign w:val="center"/>
                </w:tcPr>
                <w:p>
                  <w:pPr>
                    <w:pStyle w:val="43"/>
                    <w:spacing w:line="240" w:lineRule="auto"/>
                    <w:rPr>
                      <w:rFonts w:ascii="Times New Roman" w:hAnsi="Times New Roman"/>
                      <w:bCs/>
                      <w:color w:val="auto"/>
                      <w:kern w:val="0"/>
                      <w:szCs w:val="21"/>
                    </w:rPr>
                  </w:pPr>
                  <w:r>
                    <w:rPr>
                      <w:rFonts w:ascii="Times New Roman" w:hAnsi="Times New Roman"/>
                      <w:bCs/>
                      <w:color w:val="auto"/>
                      <w:kern w:val="0"/>
                      <w:szCs w:val="21"/>
                    </w:rPr>
                    <w:t>达标情况</w:t>
                  </w:r>
                </w:p>
              </w:tc>
              <w:tc>
                <w:tcPr>
                  <w:tcW w:w="1445" w:type="pct"/>
                  <w:vMerge w:val="continue"/>
                  <w:vAlign w:val="center"/>
                </w:tcPr>
                <w:p>
                  <w:pPr>
                    <w:jc w:val="center"/>
                    <w:textAlignment w:val="bottom"/>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27</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氯甲烷</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μg/kg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&lt;3.0</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37</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28</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硝基苯</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&lt;0.09</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76</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29</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苯胺</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&lt;3.78</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260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30</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2-氯苯酚</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&lt;0.06</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2256</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31</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苯并[a]蒽</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bottom"/>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15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32</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苯并[a]芘</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1.5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33</w:t>
                  </w:r>
                </w:p>
              </w:tc>
              <w:tc>
                <w:tcPr>
                  <w:tcW w:w="938" w:type="pct"/>
                  <w:vAlign w:val="center"/>
                </w:tcPr>
                <w:p>
                  <w:pPr>
                    <w:jc w:val="center"/>
                    <w:rPr>
                      <w:rFonts w:ascii="Times New Roman" w:hAnsi="Times New Roman"/>
                      <w:color w:val="auto"/>
                      <w:szCs w:val="21"/>
                    </w:rPr>
                  </w:pPr>
                  <w:r>
                    <w:rPr>
                      <w:rFonts w:ascii="Times New Roman" w:hAnsi="Times New Roman"/>
                      <w:bCs/>
                      <w:color w:val="auto"/>
                      <w:szCs w:val="21"/>
                    </w:rPr>
                    <w:t>苯并[b]荧蒽</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&lt;0.2</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15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34</w:t>
                  </w:r>
                </w:p>
              </w:tc>
              <w:tc>
                <w:tcPr>
                  <w:tcW w:w="938" w:type="pct"/>
                  <w:vAlign w:val="center"/>
                </w:tcPr>
                <w:p>
                  <w:pPr>
                    <w:jc w:val="center"/>
                    <w:rPr>
                      <w:rFonts w:ascii="Times New Roman" w:hAnsi="Times New Roman"/>
                      <w:color w:val="auto"/>
                      <w:szCs w:val="21"/>
                    </w:rPr>
                  </w:pPr>
                  <w:r>
                    <w:rPr>
                      <w:rFonts w:ascii="Times New Roman" w:hAnsi="Times New Roman"/>
                      <w:bCs/>
                      <w:color w:val="auto"/>
                      <w:szCs w:val="21"/>
                    </w:rPr>
                    <w:t>苯并[k]荧蒽</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151</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35</w:t>
                  </w:r>
                </w:p>
              </w:tc>
              <w:tc>
                <w:tcPr>
                  <w:tcW w:w="938" w:type="pct"/>
                  <w:vAlign w:val="center"/>
                </w:tcPr>
                <w:p>
                  <w:pPr>
                    <w:jc w:val="center"/>
                    <w:rPr>
                      <w:rFonts w:ascii="Times New Roman" w:hAnsi="Times New Roman"/>
                      <w:color w:val="auto"/>
                      <w:szCs w:val="21"/>
                    </w:rPr>
                  </w:pPr>
                  <w:r>
                    <w:rPr>
                      <w:rFonts w:ascii="Times New Roman" w:hAnsi="Times New Roman"/>
                      <w:bCs/>
                      <w:color w:val="auto"/>
                      <w:szCs w:val="21"/>
                    </w:rPr>
                    <w:t>䓛</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color w:val="auto"/>
                    </w:rPr>
                  </w:pPr>
                  <w:r>
                    <w:rPr>
                      <w:rFonts w:ascii="Times New Roman" w:hAnsi="Times New Roman"/>
                      <w:color w:val="auto"/>
                    </w:rPr>
                    <w:t>1293mg/kg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36</w:t>
                  </w:r>
                </w:p>
              </w:tc>
              <w:tc>
                <w:tcPr>
                  <w:tcW w:w="938" w:type="pct"/>
                  <w:vAlign w:val="center"/>
                </w:tcPr>
                <w:p>
                  <w:pPr>
                    <w:jc w:val="center"/>
                    <w:rPr>
                      <w:rFonts w:ascii="Times New Roman" w:hAnsi="Times New Roman"/>
                      <w:color w:val="auto"/>
                      <w:szCs w:val="21"/>
                    </w:rPr>
                  </w:pPr>
                  <w:r>
                    <w:rPr>
                      <w:rFonts w:ascii="Times New Roman" w:hAnsi="Times New Roman"/>
                      <w:bCs/>
                      <w:color w:val="auto"/>
                      <w:szCs w:val="21"/>
                    </w:rPr>
                    <w:t>二苯并[a,h]蒽</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1.5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37</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茚并[1,2,3-cd]芘</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&lt;0.1</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15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38</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萘</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&lt;0.09</w:t>
                  </w:r>
                </w:p>
              </w:tc>
              <w:tc>
                <w:tcPr>
                  <w:tcW w:w="500"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70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39</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pH</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无量纲</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8.21</w:t>
                  </w:r>
                </w:p>
              </w:tc>
              <w:tc>
                <w:tcPr>
                  <w:tcW w:w="500" w:type="pct"/>
                  <w:vAlign w:val="center"/>
                </w:tcPr>
                <w:p>
                  <w:pPr>
                    <w:pStyle w:val="43"/>
                    <w:spacing w:line="240" w:lineRule="auto"/>
                    <w:rPr>
                      <w:rFonts w:ascii="Times New Roman" w:hAnsi="Times New Roman"/>
                      <w:b/>
                      <w:color w:val="auto"/>
                      <w:kern w:val="0"/>
                      <w:szCs w:val="21"/>
                    </w:rPr>
                  </w:pPr>
                  <w:r>
                    <w:rPr>
                      <w:rFonts w:ascii="Times New Roman" w:hAnsi="Times New Roman"/>
                      <w:b/>
                      <w:color w:val="auto"/>
                      <w:kern w:val="0"/>
                      <w:szCs w:val="21"/>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bCs/>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40</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砷</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10.2</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0.17</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color w:val="auto"/>
                      <w:szCs w:val="21"/>
                    </w:rPr>
                    <w:t>60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41</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铅</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40</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0.05</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bCs/>
                      <w:color w:val="auto"/>
                      <w:szCs w:val="21"/>
                    </w:rPr>
                    <w:t>800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42</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汞</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0.231</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0.01</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bCs/>
                      <w:color w:val="auto"/>
                      <w:szCs w:val="21"/>
                    </w:rPr>
                    <w:t>38</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43</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镉</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0.16</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0.00</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bCs/>
                      <w:color w:val="auto"/>
                      <w:szCs w:val="21"/>
                    </w:rPr>
                    <w:t>65</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44</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铜</w:t>
                  </w:r>
                </w:p>
              </w:tc>
              <w:tc>
                <w:tcPr>
                  <w:tcW w:w="487" w:type="pct"/>
                  <w:vAlign w:val="center"/>
                </w:tcPr>
                <w:p>
                  <w:pPr>
                    <w:jc w:val="center"/>
                    <w:rPr>
                      <w:rFonts w:ascii="Times New Roman" w:hAnsi="Times New Roman"/>
                      <w:color w:val="auto"/>
                      <w:szCs w:val="21"/>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36</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0.00</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bCs/>
                      <w:color w:val="auto"/>
                      <w:szCs w:val="21"/>
                    </w:rPr>
                    <w:t>18000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45</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镍</w:t>
                  </w:r>
                </w:p>
              </w:tc>
              <w:tc>
                <w:tcPr>
                  <w:tcW w:w="487" w:type="pct"/>
                  <w:vAlign w:val="center"/>
                </w:tcPr>
                <w:p>
                  <w:pPr>
                    <w:jc w:val="center"/>
                    <w:rPr>
                      <w:rFonts w:ascii="Times New Roman" w:hAnsi="Times New Roman"/>
                      <w:color w:val="auto"/>
                      <w:kern w:val="0"/>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34</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0.04</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bCs/>
                      <w:color w:val="auto"/>
                      <w:szCs w:val="21"/>
                    </w:rPr>
                    <w:t>900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46</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六价铬</w:t>
                  </w:r>
                </w:p>
              </w:tc>
              <w:tc>
                <w:tcPr>
                  <w:tcW w:w="487" w:type="pct"/>
                  <w:vAlign w:val="center"/>
                </w:tcPr>
                <w:p>
                  <w:pPr>
                    <w:jc w:val="center"/>
                    <w:rPr>
                      <w:rFonts w:ascii="Times New Roman" w:hAnsi="Times New Roman"/>
                      <w:color w:val="auto"/>
                      <w:kern w:val="0"/>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2.0</w:t>
                  </w:r>
                </w:p>
              </w:tc>
              <w:tc>
                <w:tcPr>
                  <w:tcW w:w="500" w:type="pct"/>
                  <w:vAlign w:val="center"/>
                </w:tcPr>
                <w:p>
                  <w:pPr>
                    <w:jc w:val="center"/>
                    <w:textAlignment w:val="center"/>
                    <w:rPr>
                      <w:rFonts w:ascii="Times New Roman" w:hAnsi="Times New Roman"/>
                      <w:color w:val="auto"/>
                      <w:kern w:val="0"/>
                      <w:szCs w:val="21"/>
                    </w:rPr>
                  </w:pPr>
                  <w:r>
                    <w:rPr>
                      <w:rFonts w:ascii="Times New Roman" w:hAnsi="Times New Roman"/>
                      <w:color w:val="auto"/>
                      <w:kern w:val="0"/>
                      <w:szCs w:val="21"/>
                      <w:lang w:bidi="ar"/>
                    </w:rPr>
                    <w:t>0.35</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bCs/>
                      <w:color w:val="auto"/>
                      <w:szCs w:val="21"/>
                    </w:rPr>
                    <w:t>5.7</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47</w:t>
                  </w:r>
                </w:p>
              </w:tc>
              <w:tc>
                <w:tcPr>
                  <w:tcW w:w="938" w:type="pct"/>
                  <w:vAlign w:val="center"/>
                </w:tcPr>
                <w:p>
                  <w:pPr>
                    <w:jc w:val="center"/>
                    <w:rPr>
                      <w:rFonts w:ascii="Times New Roman" w:hAnsi="Times New Roman"/>
                      <w:color w:val="auto"/>
                      <w:szCs w:val="21"/>
                    </w:rPr>
                  </w:pPr>
                  <w:r>
                    <w:rPr>
                      <w:rFonts w:ascii="Times New Roman" w:hAnsi="Times New Roman"/>
                      <w:color w:val="auto"/>
                      <w:szCs w:val="21"/>
                    </w:rPr>
                    <w:t>石油烃（C</w:t>
                  </w:r>
                  <w:r>
                    <w:rPr>
                      <w:rFonts w:ascii="Times New Roman" w:hAnsi="Times New Roman"/>
                      <w:color w:val="auto"/>
                      <w:szCs w:val="21"/>
                      <w:vertAlign w:val="subscript"/>
                    </w:rPr>
                    <w:t>10</w:t>
                  </w:r>
                  <w:r>
                    <w:rPr>
                      <w:rFonts w:ascii="Times New Roman" w:hAnsi="Times New Roman"/>
                      <w:color w:val="auto"/>
                      <w:szCs w:val="21"/>
                    </w:rPr>
                    <w:t>-C</w:t>
                  </w:r>
                  <w:r>
                    <w:rPr>
                      <w:rFonts w:ascii="Times New Roman" w:hAnsi="Times New Roman"/>
                      <w:color w:val="auto"/>
                      <w:szCs w:val="21"/>
                      <w:vertAlign w:val="subscript"/>
                    </w:rPr>
                    <w:t>40</w:t>
                  </w:r>
                  <w:r>
                    <w:rPr>
                      <w:rFonts w:ascii="Times New Roman" w:hAnsi="Times New Roman"/>
                      <w:color w:val="auto"/>
                      <w:szCs w:val="21"/>
                    </w:rPr>
                    <w:t>）</w:t>
                  </w:r>
                </w:p>
              </w:tc>
              <w:tc>
                <w:tcPr>
                  <w:tcW w:w="487" w:type="pct"/>
                  <w:vAlign w:val="center"/>
                </w:tcPr>
                <w:p>
                  <w:pPr>
                    <w:jc w:val="center"/>
                    <w:rPr>
                      <w:rFonts w:ascii="Times New Roman" w:hAnsi="Times New Roman"/>
                      <w:color w:val="auto"/>
                      <w:kern w:val="0"/>
                    </w:rPr>
                  </w:pPr>
                  <w:r>
                    <w:rPr>
                      <w:rFonts w:ascii="Times New Roman" w:hAnsi="Times New Roman"/>
                      <w:color w:val="auto"/>
                      <w:kern w:val="0"/>
                    </w:rPr>
                    <w:t>mg/kg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&lt;6</w:t>
                  </w:r>
                </w:p>
              </w:tc>
              <w:tc>
                <w:tcPr>
                  <w:tcW w:w="500" w:type="pct"/>
                  <w:vAlign w:val="center"/>
                </w:tcPr>
                <w:p>
                  <w:pPr>
                    <w:pStyle w:val="43"/>
                    <w:spacing w:line="240" w:lineRule="auto"/>
                    <w:rPr>
                      <w:rFonts w:ascii="Times New Roman" w:hAnsi="Times New Roman"/>
                      <w:b/>
                      <w:color w:val="auto"/>
                      <w:kern w:val="0"/>
                      <w:szCs w:val="21"/>
                    </w:rPr>
                  </w:pPr>
                  <w:r>
                    <w:rPr>
                      <w:rFonts w:ascii="Times New Roman" w:hAnsi="Times New Roman"/>
                      <w:b/>
                      <w:color w:val="auto"/>
                      <w:kern w:val="0"/>
                      <w:szCs w:val="21"/>
                    </w:rPr>
                    <w:t>/</w:t>
                  </w:r>
                </w:p>
              </w:tc>
              <w:tc>
                <w:tcPr>
                  <w:tcW w:w="576"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达标</w:t>
                  </w:r>
                </w:p>
              </w:tc>
              <w:tc>
                <w:tcPr>
                  <w:tcW w:w="1445" w:type="pct"/>
                  <w:vAlign w:val="center"/>
                </w:tcPr>
                <w:p>
                  <w:pPr>
                    <w:jc w:val="center"/>
                    <w:rPr>
                      <w:rFonts w:ascii="Times New Roman" w:hAnsi="Times New Roman"/>
                      <w:b/>
                      <w:color w:val="auto"/>
                      <w:kern w:val="0"/>
                      <w:szCs w:val="21"/>
                    </w:rPr>
                  </w:pPr>
                  <w:r>
                    <w:rPr>
                      <w:rFonts w:ascii="Times New Roman" w:hAnsi="Times New Roman"/>
                      <w:bCs/>
                      <w:color w:val="auto"/>
                      <w:szCs w:val="21"/>
                    </w:rPr>
                    <w:t>4500</w:t>
                  </w:r>
                  <w:r>
                    <w:rPr>
                      <w:rFonts w:ascii="Times New Roman" w:hAnsi="Times New Roman"/>
                      <w:color w:val="auto"/>
                      <w:kern w:val="0"/>
                    </w:rPr>
                    <w:t>mg/kg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textAlignment w:val="bottom"/>
                    <w:rPr>
                      <w:rFonts w:ascii="Times New Roman" w:hAnsi="Times New Roman"/>
                      <w:b/>
                      <w:color w:val="auto"/>
                      <w:kern w:val="0"/>
                      <w:szCs w:val="21"/>
                    </w:rPr>
                  </w:pPr>
                  <w:r>
                    <w:rPr>
                      <w:rFonts w:ascii="Times New Roman" w:hAnsi="Times New Roman"/>
                      <w:color w:val="auto"/>
                      <w:kern w:val="0"/>
                      <w:szCs w:val="21"/>
                      <w:lang w:bidi="ar"/>
                    </w:rPr>
                    <w:t>48</w:t>
                  </w:r>
                </w:p>
              </w:tc>
              <w:tc>
                <w:tcPr>
                  <w:tcW w:w="938" w:type="pct"/>
                  <w:vAlign w:val="center"/>
                </w:tcPr>
                <w:p>
                  <w:pPr>
                    <w:jc w:val="center"/>
                    <w:rPr>
                      <w:rFonts w:ascii="Times New Roman" w:hAnsi="Times New Roman"/>
                      <w:color w:val="auto"/>
                      <w:szCs w:val="21"/>
                    </w:rPr>
                  </w:pPr>
                  <w:r>
                    <w:rPr>
                      <w:rFonts w:ascii="Times New Roman" w:hAnsi="Times New Roman"/>
                      <w:bCs/>
                      <w:color w:val="auto"/>
                      <w:kern w:val="0"/>
                      <w:szCs w:val="21"/>
                    </w:rPr>
                    <w:t>全盐量</w:t>
                  </w:r>
                </w:p>
              </w:tc>
              <w:tc>
                <w:tcPr>
                  <w:tcW w:w="487" w:type="pct"/>
                  <w:vAlign w:val="center"/>
                </w:tcPr>
                <w:p>
                  <w:pPr>
                    <w:jc w:val="center"/>
                    <w:rPr>
                      <w:rFonts w:ascii="Times New Roman" w:hAnsi="Times New Roman"/>
                      <w:color w:val="auto"/>
                      <w:kern w:val="0"/>
                    </w:rPr>
                  </w:pPr>
                  <w:r>
                    <w:rPr>
                      <w:rFonts w:ascii="Times New Roman" w:hAnsi="Times New Roman"/>
                      <w:color w:val="auto"/>
                      <w:kern w:val="0"/>
                    </w:rPr>
                    <w:t>g/kg</w:t>
                  </w:r>
                </w:p>
              </w:tc>
              <w:tc>
                <w:tcPr>
                  <w:tcW w:w="794" w:type="pct"/>
                  <w:vAlign w:val="center"/>
                </w:tcPr>
                <w:p>
                  <w:pPr>
                    <w:jc w:val="center"/>
                    <w:rPr>
                      <w:rFonts w:ascii="Times New Roman" w:hAnsi="Times New Roman"/>
                      <w:color w:val="auto"/>
                      <w:szCs w:val="21"/>
                    </w:rPr>
                  </w:pPr>
                  <w:r>
                    <w:rPr>
                      <w:rFonts w:ascii="Times New Roman" w:hAnsi="Times New Roman"/>
                      <w:color w:val="auto"/>
                      <w:szCs w:val="21"/>
                    </w:rPr>
                    <w:t>0.7</w:t>
                  </w:r>
                </w:p>
              </w:tc>
              <w:tc>
                <w:tcPr>
                  <w:tcW w:w="500" w:type="pct"/>
                  <w:vAlign w:val="center"/>
                </w:tcPr>
                <w:p>
                  <w:pPr>
                    <w:pStyle w:val="43"/>
                    <w:spacing w:line="240" w:lineRule="auto"/>
                    <w:rPr>
                      <w:rFonts w:ascii="Times New Roman" w:hAnsi="Times New Roman"/>
                      <w:b/>
                      <w:color w:val="auto"/>
                      <w:kern w:val="0"/>
                      <w:szCs w:val="21"/>
                    </w:rPr>
                  </w:pPr>
                  <w:r>
                    <w:rPr>
                      <w:rFonts w:ascii="Times New Roman" w:hAnsi="Times New Roman"/>
                      <w:b/>
                      <w:color w:val="auto"/>
                      <w:kern w:val="0"/>
                      <w:szCs w:val="21"/>
                    </w:rPr>
                    <w:t>/</w:t>
                  </w:r>
                </w:p>
              </w:tc>
              <w:tc>
                <w:tcPr>
                  <w:tcW w:w="576" w:type="pct"/>
                  <w:vAlign w:val="center"/>
                </w:tcPr>
                <w:p>
                  <w:pPr>
                    <w:pStyle w:val="43"/>
                    <w:spacing w:line="240" w:lineRule="auto"/>
                    <w:rPr>
                      <w:rFonts w:ascii="Times New Roman" w:hAnsi="Times New Roman"/>
                      <w:b/>
                      <w:color w:val="auto"/>
                      <w:kern w:val="0"/>
                      <w:szCs w:val="21"/>
                    </w:rPr>
                  </w:pPr>
                  <w:r>
                    <w:rPr>
                      <w:rFonts w:ascii="Times New Roman" w:hAnsi="Times New Roman"/>
                      <w:b/>
                      <w:color w:val="auto"/>
                      <w:kern w:val="0"/>
                      <w:szCs w:val="21"/>
                    </w:rPr>
                    <w:t>/</w:t>
                  </w:r>
                </w:p>
              </w:tc>
              <w:tc>
                <w:tcPr>
                  <w:tcW w:w="1445" w:type="pct"/>
                  <w:vAlign w:val="center"/>
                </w:tcPr>
                <w:p>
                  <w:pPr>
                    <w:jc w:val="center"/>
                    <w:rPr>
                      <w:rFonts w:ascii="Times New Roman" w:hAnsi="Times New Roman"/>
                      <w:b/>
                      <w:color w:val="auto"/>
                      <w:kern w:val="0"/>
                      <w:szCs w:val="21"/>
                    </w:rPr>
                  </w:pPr>
                  <w:r>
                    <w:rPr>
                      <w:rFonts w:ascii="Times New Roman" w:hAnsi="Times New Roman"/>
                      <w:bCs/>
                      <w:color w:val="auto"/>
                      <w:szCs w:val="21"/>
                    </w:rPr>
                    <w:t>--</w:t>
                  </w:r>
                </w:p>
              </w:tc>
            </w:tr>
          </w:tbl>
          <w:p>
            <w:pPr>
              <w:pStyle w:val="43"/>
              <w:widowControl w:val="0"/>
              <w:spacing w:line="240" w:lineRule="auto"/>
              <w:rPr>
                <w:rFonts w:ascii="Times New Roman" w:hAnsi="Times New Roman"/>
                <w:b/>
                <w:color w:val="auto"/>
                <w:kern w:val="0"/>
                <w:szCs w:val="21"/>
              </w:rPr>
            </w:pPr>
          </w:p>
          <w:p>
            <w:pPr>
              <w:pStyle w:val="43"/>
              <w:widowControl w:val="0"/>
              <w:spacing w:line="240" w:lineRule="auto"/>
              <w:rPr>
                <w:rFonts w:ascii="Times New Roman" w:hAnsi="Times New Roman"/>
                <w:b/>
                <w:color w:val="auto"/>
                <w:kern w:val="0"/>
                <w:szCs w:val="21"/>
              </w:rPr>
            </w:pPr>
            <w:r>
              <w:rPr>
                <w:rFonts w:hint="eastAsia" w:ascii="Times New Roman" w:hAnsi="Times New Roman"/>
                <w:b/>
                <w:color w:val="auto"/>
                <w:kern w:val="0"/>
                <w:szCs w:val="21"/>
              </w:rPr>
              <w:t xml:space="preserve">表3-13  </w:t>
            </w:r>
            <w:r>
              <w:rPr>
                <w:rFonts w:ascii="Times New Roman" w:hAnsi="Times New Roman"/>
                <w:b/>
                <w:color w:val="auto"/>
                <w:kern w:val="0"/>
                <w:szCs w:val="21"/>
              </w:rPr>
              <w:t>农用地土壤现状</w:t>
            </w:r>
            <w:r>
              <w:rPr>
                <w:rFonts w:hint="eastAsia" w:ascii="Times New Roman" w:hAnsi="Times New Roman"/>
                <w:b/>
                <w:color w:val="auto"/>
                <w:kern w:val="0"/>
                <w:szCs w:val="21"/>
              </w:rPr>
              <w:t>监测及评价</w:t>
            </w:r>
            <w:r>
              <w:rPr>
                <w:rFonts w:ascii="Times New Roman" w:hAnsi="Times New Roman"/>
                <w:b/>
                <w:color w:val="auto"/>
                <w:kern w:val="0"/>
                <w:szCs w:val="21"/>
              </w:rPr>
              <w:t>结果表</w:t>
            </w:r>
          </w:p>
          <w:tbl>
            <w:tblPr>
              <w:tblStyle w:val="37"/>
              <w:tblW w:w="499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66"/>
              <w:gridCol w:w="1072"/>
              <w:gridCol w:w="593"/>
              <w:gridCol w:w="532"/>
              <w:gridCol w:w="424"/>
              <w:gridCol w:w="598"/>
              <w:gridCol w:w="598"/>
              <w:gridCol w:w="550"/>
              <w:gridCol w:w="442"/>
              <w:gridCol w:w="570"/>
              <w:gridCol w:w="538"/>
              <w:gridCol w:w="636"/>
              <w:gridCol w:w="145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785" w:hRule="atLeast"/>
                <w:tblHeader/>
                <w:jc w:val="center"/>
              </w:trPr>
              <w:tc>
                <w:tcPr>
                  <w:tcW w:w="160"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序号</w:t>
                  </w:r>
                </w:p>
              </w:tc>
              <w:tc>
                <w:tcPr>
                  <w:tcW w:w="648"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监测因子</w:t>
                  </w:r>
                </w:p>
              </w:tc>
              <w:tc>
                <w:tcPr>
                  <w:tcW w:w="358"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单位</w:t>
                  </w:r>
                </w:p>
              </w:tc>
              <w:tc>
                <w:tcPr>
                  <w:tcW w:w="321"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T-8#</w:t>
                  </w:r>
                </w:p>
              </w:tc>
              <w:tc>
                <w:tcPr>
                  <w:tcW w:w="256" w:type="pct"/>
                  <w:vMerge w:val="restart"/>
                  <w:shd w:val="clear" w:color="auto" w:fill="auto"/>
                  <w:tcMar>
                    <w:left w:w="28" w:type="dxa"/>
                    <w:right w:w="28" w:type="dxa"/>
                  </w:tcMar>
                  <w:vAlign w:val="center"/>
                </w:tcPr>
                <w:p>
                  <w:pPr>
                    <w:jc w:val="center"/>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361"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T-9#</w:t>
                  </w:r>
                </w:p>
              </w:tc>
              <w:tc>
                <w:tcPr>
                  <w:tcW w:w="361" w:type="pct"/>
                  <w:vMerge w:val="restart"/>
                  <w:shd w:val="clear" w:color="auto" w:fill="auto"/>
                  <w:tcMar>
                    <w:left w:w="28" w:type="dxa"/>
                    <w:right w:w="28" w:type="dxa"/>
                  </w:tcMar>
                  <w:vAlign w:val="center"/>
                </w:tcPr>
                <w:p>
                  <w:pPr>
                    <w:jc w:val="center"/>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332"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T-10#</w:t>
                  </w:r>
                </w:p>
              </w:tc>
              <w:tc>
                <w:tcPr>
                  <w:tcW w:w="267"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344"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T-11#</w:t>
                  </w:r>
                </w:p>
              </w:tc>
              <w:tc>
                <w:tcPr>
                  <w:tcW w:w="325"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384"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达标</w:t>
                  </w:r>
                </w:p>
                <w:p>
                  <w:pPr>
                    <w:pStyle w:val="105"/>
                    <w:adjustRightInd w:val="0"/>
                    <w:spacing w:line="240" w:lineRule="auto"/>
                    <w:rPr>
                      <w:rFonts w:ascii="Times New Roman" w:hAnsi="Times New Roman"/>
                      <w:color w:val="auto"/>
                      <w:szCs w:val="21"/>
                    </w:rPr>
                  </w:pPr>
                  <w:r>
                    <w:rPr>
                      <w:rFonts w:ascii="Times New Roman" w:hAnsi="Times New Roman"/>
                      <w:color w:val="auto"/>
                      <w:szCs w:val="21"/>
                    </w:rPr>
                    <w:t>情况</w:t>
                  </w:r>
                </w:p>
              </w:tc>
              <w:tc>
                <w:tcPr>
                  <w:tcW w:w="879" w:type="pct"/>
                  <w:vMerge w:val="restart"/>
                  <w:shd w:val="clear" w:color="auto" w:fill="auto"/>
                  <w:tcMar>
                    <w:left w:w="28" w:type="dxa"/>
                    <w:right w:w="28" w:type="dxa"/>
                  </w:tcMar>
                  <w:vAlign w:val="center"/>
                </w:tcPr>
                <w:p>
                  <w:pPr>
                    <w:pStyle w:val="105"/>
                    <w:adjustRightInd w:val="0"/>
                    <w:spacing w:line="240" w:lineRule="auto"/>
                    <w:jc w:val="both"/>
                    <w:rPr>
                      <w:rFonts w:ascii="Times New Roman" w:hAnsi="Times New Roman"/>
                      <w:color w:val="auto"/>
                      <w:szCs w:val="21"/>
                    </w:rPr>
                  </w:pPr>
                  <w:r>
                    <w:rPr>
                      <w:rFonts w:ascii="Times New Roman" w:hAnsi="Times New Roman"/>
                      <w:bCs/>
                      <w:color w:val="auto"/>
                      <w:szCs w:val="21"/>
                    </w:rPr>
                    <w:t>《土壤环境质量 农用地土壤污染风险管控标准（试行）》（GB 15618-2018）中农用地筛选标准值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8" w:hRule="atLeast"/>
                <w:tblHeader/>
                <w:jc w:val="center"/>
              </w:trPr>
              <w:tc>
                <w:tcPr>
                  <w:tcW w:w="160" w:type="pct"/>
                  <w:vMerge w:val="continue"/>
                  <w:shd w:val="clear" w:color="auto" w:fill="auto"/>
                  <w:tcMar>
                    <w:left w:w="28" w:type="dxa"/>
                    <w:right w:w="28" w:type="dxa"/>
                  </w:tcMar>
                  <w:vAlign w:val="center"/>
                </w:tcPr>
                <w:p>
                  <w:pPr>
                    <w:jc w:val="center"/>
                    <w:rPr>
                      <w:color w:val="auto"/>
                    </w:rPr>
                  </w:pPr>
                </w:p>
              </w:tc>
              <w:tc>
                <w:tcPr>
                  <w:tcW w:w="648" w:type="pct"/>
                  <w:vMerge w:val="continue"/>
                  <w:shd w:val="clear" w:color="auto" w:fill="auto"/>
                  <w:tcMar>
                    <w:left w:w="28" w:type="dxa"/>
                    <w:right w:w="28" w:type="dxa"/>
                  </w:tcMar>
                  <w:vAlign w:val="center"/>
                </w:tcPr>
                <w:p>
                  <w:pPr>
                    <w:jc w:val="center"/>
                    <w:rPr>
                      <w:color w:val="auto"/>
                    </w:rPr>
                  </w:pPr>
                </w:p>
              </w:tc>
              <w:tc>
                <w:tcPr>
                  <w:tcW w:w="358" w:type="pct"/>
                  <w:vMerge w:val="continue"/>
                  <w:shd w:val="clear" w:color="auto" w:fill="auto"/>
                  <w:tcMar>
                    <w:left w:w="28" w:type="dxa"/>
                    <w:right w:w="28" w:type="dxa"/>
                  </w:tcMar>
                  <w:vAlign w:val="center"/>
                </w:tcPr>
                <w:p>
                  <w:pPr>
                    <w:jc w:val="center"/>
                    <w:rPr>
                      <w:color w:val="auto"/>
                    </w:rPr>
                  </w:pPr>
                </w:p>
              </w:tc>
              <w:tc>
                <w:tcPr>
                  <w:tcW w:w="321" w:type="pct"/>
                  <w:shd w:val="clear" w:color="auto" w:fill="auto"/>
                  <w:tcMar>
                    <w:left w:w="28" w:type="dxa"/>
                    <w:right w:w="28" w:type="dxa"/>
                  </w:tcMar>
                  <w:vAlign w:val="center"/>
                </w:tcPr>
                <w:p>
                  <w:pPr>
                    <w:jc w:val="both"/>
                    <w:rPr>
                      <w:rFonts w:ascii="Times New Roman" w:hAnsi="Times New Roman"/>
                      <w:color w:val="auto"/>
                      <w:szCs w:val="21"/>
                    </w:rPr>
                  </w:pPr>
                  <w:r>
                    <w:rPr>
                      <w:rFonts w:ascii="Times New Roman" w:hAnsi="Times New Roman"/>
                      <w:color w:val="auto"/>
                      <w:szCs w:val="21"/>
                    </w:rPr>
                    <w:t>采样深度：20cm</w:t>
                  </w:r>
                </w:p>
              </w:tc>
              <w:tc>
                <w:tcPr>
                  <w:tcW w:w="256" w:type="pct"/>
                  <w:vMerge w:val="continue"/>
                  <w:shd w:val="clear" w:color="auto" w:fill="auto"/>
                  <w:tcMar>
                    <w:left w:w="28" w:type="dxa"/>
                    <w:right w:w="28" w:type="dxa"/>
                  </w:tcMar>
                  <w:vAlign w:val="center"/>
                </w:tcPr>
                <w:p>
                  <w:pPr>
                    <w:jc w:val="center"/>
                    <w:rPr>
                      <w:rFonts w:ascii="Times New Roman" w:hAnsi="Times New Roman"/>
                      <w:color w:val="auto"/>
                      <w:szCs w:val="21"/>
                    </w:rPr>
                  </w:pPr>
                </w:p>
              </w:tc>
              <w:tc>
                <w:tcPr>
                  <w:tcW w:w="361" w:type="pct"/>
                  <w:shd w:val="clear" w:color="auto" w:fill="auto"/>
                  <w:tcMar>
                    <w:left w:w="28" w:type="dxa"/>
                    <w:right w:w="28" w:type="dxa"/>
                  </w:tcMar>
                  <w:vAlign w:val="center"/>
                </w:tcPr>
                <w:p>
                  <w:pPr>
                    <w:jc w:val="both"/>
                    <w:rPr>
                      <w:rFonts w:ascii="Times New Roman" w:hAnsi="Times New Roman"/>
                      <w:color w:val="auto"/>
                      <w:szCs w:val="21"/>
                    </w:rPr>
                  </w:pPr>
                  <w:r>
                    <w:rPr>
                      <w:rFonts w:ascii="Times New Roman" w:hAnsi="Times New Roman"/>
                      <w:color w:val="auto"/>
                      <w:szCs w:val="21"/>
                    </w:rPr>
                    <w:t>采样深度：20cm</w:t>
                  </w:r>
                </w:p>
              </w:tc>
              <w:tc>
                <w:tcPr>
                  <w:tcW w:w="361" w:type="pct"/>
                  <w:vMerge w:val="continue"/>
                  <w:shd w:val="clear" w:color="auto" w:fill="auto"/>
                  <w:tcMar>
                    <w:left w:w="28" w:type="dxa"/>
                    <w:right w:w="28" w:type="dxa"/>
                  </w:tcMar>
                  <w:vAlign w:val="center"/>
                </w:tcPr>
                <w:p>
                  <w:pPr>
                    <w:jc w:val="center"/>
                    <w:rPr>
                      <w:rFonts w:ascii="Times New Roman" w:hAnsi="Times New Roman"/>
                      <w:color w:val="auto"/>
                      <w:szCs w:val="21"/>
                    </w:rPr>
                  </w:pPr>
                </w:p>
              </w:tc>
              <w:tc>
                <w:tcPr>
                  <w:tcW w:w="332"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采样深度：20cm</w:t>
                  </w:r>
                </w:p>
              </w:tc>
              <w:tc>
                <w:tcPr>
                  <w:tcW w:w="267" w:type="pct"/>
                  <w:vMerge w:val="continue"/>
                  <w:shd w:val="clear" w:color="auto" w:fill="auto"/>
                  <w:tcMar>
                    <w:left w:w="28" w:type="dxa"/>
                    <w:right w:w="28" w:type="dxa"/>
                  </w:tcMar>
                  <w:vAlign w:val="center"/>
                </w:tcPr>
                <w:p>
                  <w:pPr>
                    <w:jc w:val="center"/>
                    <w:rPr>
                      <w:rFonts w:ascii="Times New Roman" w:hAnsi="Times New Roman"/>
                      <w:color w:val="auto"/>
                      <w:szCs w:val="21"/>
                    </w:rPr>
                  </w:pPr>
                </w:p>
              </w:tc>
              <w:tc>
                <w:tcPr>
                  <w:tcW w:w="344" w:type="pct"/>
                  <w:shd w:val="clear" w:color="auto" w:fill="auto"/>
                  <w:tcMar>
                    <w:left w:w="28" w:type="dxa"/>
                    <w:right w:w="28" w:type="dxa"/>
                  </w:tcMar>
                  <w:vAlign w:val="center"/>
                </w:tcPr>
                <w:p>
                  <w:pPr>
                    <w:jc w:val="both"/>
                    <w:rPr>
                      <w:rFonts w:ascii="Times New Roman" w:hAnsi="Times New Roman"/>
                      <w:color w:val="auto"/>
                      <w:szCs w:val="21"/>
                    </w:rPr>
                  </w:pPr>
                  <w:r>
                    <w:rPr>
                      <w:rFonts w:ascii="Times New Roman" w:hAnsi="Times New Roman"/>
                      <w:color w:val="auto"/>
                      <w:szCs w:val="21"/>
                    </w:rPr>
                    <w:t>采样深度：20cm</w:t>
                  </w:r>
                </w:p>
              </w:tc>
              <w:tc>
                <w:tcPr>
                  <w:tcW w:w="325" w:type="pct"/>
                  <w:vMerge w:val="continue"/>
                  <w:shd w:val="clear" w:color="auto" w:fill="auto"/>
                  <w:tcMar>
                    <w:left w:w="28" w:type="dxa"/>
                    <w:right w:w="28" w:type="dxa"/>
                  </w:tcMar>
                  <w:vAlign w:val="center"/>
                </w:tcPr>
                <w:p>
                  <w:pPr>
                    <w:jc w:val="center"/>
                    <w:rPr>
                      <w:rFonts w:ascii="Times New Roman" w:hAnsi="Times New Roman"/>
                      <w:color w:val="auto"/>
                      <w:szCs w:val="21"/>
                    </w:rPr>
                  </w:pPr>
                </w:p>
              </w:tc>
              <w:tc>
                <w:tcPr>
                  <w:tcW w:w="384" w:type="pct"/>
                  <w:vMerge w:val="continue"/>
                  <w:shd w:val="clear" w:color="auto" w:fill="auto"/>
                  <w:tcMar>
                    <w:left w:w="28" w:type="dxa"/>
                    <w:right w:w="28" w:type="dxa"/>
                  </w:tcMar>
                  <w:vAlign w:val="center"/>
                </w:tcPr>
                <w:p>
                  <w:pPr>
                    <w:jc w:val="center"/>
                    <w:rPr>
                      <w:rFonts w:ascii="Times New Roman" w:hAnsi="Times New Roman"/>
                      <w:color w:val="auto"/>
                      <w:szCs w:val="21"/>
                    </w:rPr>
                  </w:pPr>
                </w:p>
              </w:tc>
              <w:tc>
                <w:tcPr>
                  <w:tcW w:w="879" w:type="pct"/>
                  <w:vMerge w:val="continue"/>
                  <w:shd w:val="clear" w:color="auto" w:fill="auto"/>
                  <w:tcMar>
                    <w:left w:w="28" w:type="dxa"/>
                    <w:right w:w="28" w:type="dxa"/>
                  </w:tcMar>
                  <w:vAlign w:val="center"/>
                </w:tcPr>
                <w:p>
                  <w:pPr>
                    <w:jc w:val="center"/>
                    <w:rPr>
                      <w:rFonts w:ascii="Times New Roman" w:hAnsi="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0"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1</w:t>
                  </w:r>
                </w:p>
              </w:tc>
              <w:tc>
                <w:tcPr>
                  <w:tcW w:w="64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pH</w:t>
                  </w:r>
                </w:p>
              </w:tc>
              <w:tc>
                <w:tcPr>
                  <w:tcW w:w="358" w:type="pct"/>
                  <w:shd w:val="clear" w:color="auto" w:fill="auto"/>
                  <w:tcMar>
                    <w:left w:w="28" w:type="dxa"/>
                    <w:right w:w="28" w:type="dxa"/>
                  </w:tcMar>
                  <w:vAlign w:val="center"/>
                </w:tcPr>
                <w:p>
                  <w:pPr>
                    <w:jc w:val="center"/>
                    <w:rPr>
                      <w:rFonts w:ascii="Times New Roman" w:hAnsi="Times New Roman"/>
                      <w:color w:val="auto"/>
                      <w:szCs w:val="21"/>
                    </w:rPr>
                  </w:pPr>
                  <w:r>
                    <w:rPr>
                      <w:rFonts w:hint="eastAsia"/>
                      <w:color w:val="auto"/>
                      <w:kern w:val="0"/>
                    </w:rPr>
                    <w:t>无量纲</w:t>
                  </w:r>
                </w:p>
              </w:tc>
              <w:tc>
                <w:tcPr>
                  <w:tcW w:w="32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8.18</w:t>
                  </w:r>
                </w:p>
              </w:tc>
              <w:tc>
                <w:tcPr>
                  <w:tcW w:w="25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w:t>
                  </w:r>
                </w:p>
              </w:tc>
              <w:tc>
                <w:tcPr>
                  <w:tcW w:w="36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7.94</w:t>
                  </w:r>
                </w:p>
              </w:tc>
              <w:tc>
                <w:tcPr>
                  <w:tcW w:w="361" w:type="pct"/>
                  <w:shd w:val="clear" w:color="auto" w:fill="auto"/>
                  <w:vAlign w:val="center"/>
                </w:tcPr>
                <w:p>
                  <w:pPr>
                    <w:jc w:val="center"/>
                    <w:rPr>
                      <w:rFonts w:ascii="Times New Roman" w:hAnsi="Times New Roman"/>
                      <w:bCs/>
                      <w:color w:val="auto"/>
                      <w:szCs w:val="21"/>
                    </w:rPr>
                  </w:pPr>
                  <w:r>
                    <w:rPr>
                      <w:rFonts w:hint="eastAsia" w:ascii="Times New Roman" w:hAnsi="Times New Roman"/>
                      <w:bCs/>
                      <w:color w:val="auto"/>
                      <w:szCs w:val="21"/>
                    </w:rPr>
                    <w:t>/</w:t>
                  </w:r>
                </w:p>
              </w:tc>
              <w:tc>
                <w:tcPr>
                  <w:tcW w:w="332"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8.28</w:t>
                  </w:r>
                </w:p>
              </w:tc>
              <w:tc>
                <w:tcPr>
                  <w:tcW w:w="267"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w:t>
                  </w:r>
                </w:p>
              </w:tc>
              <w:tc>
                <w:tcPr>
                  <w:tcW w:w="344"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7.92</w:t>
                  </w:r>
                </w:p>
              </w:tc>
              <w:tc>
                <w:tcPr>
                  <w:tcW w:w="325"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w:t>
                  </w:r>
                </w:p>
              </w:tc>
              <w:tc>
                <w:tcPr>
                  <w:tcW w:w="384"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hint="eastAsia" w:ascii="Times New Roman" w:hAnsi="Times New Roman"/>
                      <w:color w:val="auto"/>
                      <w:kern w:val="0"/>
                      <w:szCs w:val="21"/>
                      <w:lang w:bidi="ar"/>
                    </w:rPr>
                    <w:t>/</w:t>
                  </w:r>
                </w:p>
              </w:tc>
              <w:tc>
                <w:tcPr>
                  <w:tcW w:w="879"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 w:val="20"/>
                      <w:szCs w:val="21"/>
                    </w:rPr>
                  </w:pPr>
                  <w:r>
                    <w:rPr>
                      <w:rFonts w:ascii="Times New Roman" w:hAnsi="Times New Roman"/>
                      <w:bCs/>
                      <w:color w:val="auto"/>
                      <w:szCs w:val="21"/>
                    </w:rPr>
                    <w:t>pH</w:t>
                  </w:r>
                  <w:r>
                    <w:rPr>
                      <w:rFonts w:ascii="Times New Roman" w:hAnsi="Times New Roman"/>
                      <w:color w:val="auto"/>
                      <w:szCs w:val="21"/>
                    </w:rPr>
                    <w:t>&gt;7.5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0"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2</w:t>
                  </w:r>
                </w:p>
              </w:tc>
              <w:tc>
                <w:tcPr>
                  <w:tcW w:w="64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砷</w:t>
                  </w:r>
                </w:p>
              </w:tc>
              <w:tc>
                <w:tcPr>
                  <w:tcW w:w="35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w:t>
                  </w:r>
                  <w:r>
                    <w:rPr>
                      <w:rFonts w:hint="eastAsia" w:ascii="Times New Roman" w:hAnsi="Times New Roman"/>
                      <w:color w:val="auto"/>
                      <w:kern w:val="0"/>
                    </w:rPr>
                    <w:t>kg</w:t>
                  </w:r>
                </w:p>
              </w:tc>
              <w:tc>
                <w:tcPr>
                  <w:tcW w:w="32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10.5</w:t>
                  </w:r>
                </w:p>
              </w:tc>
              <w:tc>
                <w:tcPr>
                  <w:tcW w:w="256"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0.42</w:t>
                  </w:r>
                </w:p>
              </w:tc>
              <w:tc>
                <w:tcPr>
                  <w:tcW w:w="36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9.62</w:t>
                  </w:r>
                </w:p>
              </w:tc>
              <w:tc>
                <w:tcPr>
                  <w:tcW w:w="361"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0.38</w:t>
                  </w:r>
                </w:p>
              </w:tc>
              <w:tc>
                <w:tcPr>
                  <w:tcW w:w="332"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10.9</w:t>
                  </w:r>
                </w:p>
              </w:tc>
              <w:tc>
                <w:tcPr>
                  <w:tcW w:w="267"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0.44</w:t>
                  </w:r>
                </w:p>
              </w:tc>
              <w:tc>
                <w:tcPr>
                  <w:tcW w:w="344"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10.1</w:t>
                  </w:r>
                </w:p>
              </w:tc>
              <w:tc>
                <w:tcPr>
                  <w:tcW w:w="325"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0.40</w:t>
                  </w:r>
                </w:p>
              </w:tc>
              <w:tc>
                <w:tcPr>
                  <w:tcW w:w="384"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879"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ascii="Times New Roman" w:hAnsi="Times New Roman"/>
                      <w:color w:val="auto"/>
                      <w:sz w:val="20"/>
                      <w:szCs w:val="21"/>
                    </w:rPr>
                    <w:t>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0"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3</w:t>
                  </w:r>
                </w:p>
              </w:tc>
              <w:tc>
                <w:tcPr>
                  <w:tcW w:w="64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铅</w:t>
                  </w:r>
                </w:p>
              </w:tc>
              <w:tc>
                <w:tcPr>
                  <w:tcW w:w="35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w:t>
                  </w:r>
                  <w:r>
                    <w:rPr>
                      <w:rFonts w:hint="eastAsia" w:ascii="Times New Roman" w:hAnsi="Times New Roman"/>
                      <w:color w:val="auto"/>
                      <w:kern w:val="0"/>
                    </w:rPr>
                    <w:t>kg</w:t>
                  </w:r>
                </w:p>
              </w:tc>
              <w:tc>
                <w:tcPr>
                  <w:tcW w:w="32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42</w:t>
                  </w:r>
                </w:p>
              </w:tc>
              <w:tc>
                <w:tcPr>
                  <w:tcW w:w="256"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0.25</w:t>
                  </w:r>
                </w:p>
              </w:tc>
              <w:tc>
                <w:tcPr>
                  <w:tcW w:w="36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40</w:t>
                  </w:r>
                </w:p>
              </w:tc>
              <w:tc>
                <w:tcPr>
                  <w:tcW w:w="361"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0.24</w:t>
                  </w:r>
                </w:p>
              </w:tc>
              <w:tc>
                <w:tcPr>
                  <w:tcW w:w="332"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39</w:t>
                  </w:r>
                </w:p>
              </w:tc>
              <w:tc>
                <w:tcPr>
                  <w:tcW w:w="267"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0.23</w:t>
                  </w:r>
                </w:p>
              </w:tc>
              <w:tc>
                <w:tcPr>
                  <w:tcW w:w="344"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23</w:t>
                  </w:r>
                </w:p>
              </w:tc>
              <w:tc>
                <w:tcPr>
                  <w:tcW w:w="325"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0.14</w:t>
                  </w:r>
                </w:p>
              </w:tc>
              <w:tc>
                <w:tcPr>
                  <w:tcW w:w="384"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879"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ascii="Times New Roman" w:hAnsi="Times New Roman"/>
                      <w:color w:val="auto"/>
                      <w:sz w:val="20"/>
                      <w:szCs w:val="21"/>
                    </w:rPr>
                    <w:t>170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4</w:t>
                  </w:r>
                </w:p>
              </w:tc>
              <w:tc>
                <w:tcPr>
                  <w:tcW w:w="64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汞</w:t>
                  </w:r>
                </w:p>
              </w:tc>
              <w:tc>
                <w:tcPr>
                  <w:tcW w:w="35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w:t>
                  </w:r>
                  <w:r>
                    <w:rPr>
                      <w:rFonts w:hint="eastAsia" w:ascii="Times New Roman" w:hAnsi="Times New Roman"/>
                      <w:color w:val="auto"/>
                      <w:kern w:val="0"/>
                    </w:rPr>
                    <w:t>kg</w:t>
                  </w:r>
                </w:p>
              </w:tc>
              <w:tc>
                <w:tcPr>
                  <w:tcW w:w="32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0.241</w:t>
                  </w:r>
                </w:p>
              </w:tc>
              <w:tc>
                <w:tcPr>
                  <w:tcW w:w="256"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0.07</w:t>
                  </w:r>
                </w:p>
              </w:tc>
              <w:tc>
                <w:tcPr>
                  <w:tcW w:w="36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0.225</w:t>
                  </w:r>
                </w:p>
              </w:tc>
              <w:tc>
                <w:tcPr>
                  <w:tcW w:w="361"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0.07</w:t>
                  </w:r>
                </w:p>
              </w:tc>
              <w:tc>
                <w:tcPr>
                  <w:tcW w:w="332"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0.232</w:t>
                  </w:r>
                </w:p>
              </w:tc>
              <w:tc>
                <w:tcPr>
                  <w:tcW w:w="267"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0.07</w:t>
                  </w:r>
                </w:p>
              </w:tc>
              <w:tc>
                <w:tcPr>
                  <w:tcW w:w="344"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0.037</w:t>
                  </w:r>
                </w:p>
              </w:tc>
              <w:tc>
                <w:tcPr>
                  <w:tcW w:w="325"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0.01</w:t>
                  </w:r>
                </w:p>
              </w:tc>
              <w:tc>
                <w:tcPr>
                  <w:tcW w:w="384"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879"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ascii="Times New Roman" w:hAnsi="Times New Roman"/>
                      <w:color w:val="auto"/>
                      <w:sz w:val="20"/>
                      <w:szCs w:val="21"/>
                    </w:rPr>
                    <w:t>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0"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5</w:t>
                  </w:r>
                </w:p>
              </w:tc>
              <w:tc>
                <w:tcPr>
                  <w:tcW w:w="64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镉</w:t>
                  </w:r>
                </w:p>
              </w:tc>
              <w:tc>
                <w:tcPr>
                  <w:tcW w:w="35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w:t>
                  </w:r>
                  <w:r>
                    <w:rPr>
                      <w:rFonts w:hint="eastAsia" w:ascii="Times New Roman" w:hAnsi="Times New Roman"/>
                      <w:color w:val="auto"/>
                      <w:kern w:val="0"/>
                    </w:rPr>
                    <w:t>kg</w:t>
                  </w:r>
                </w:p>
              </w:tc>
              <w:tc>
                <w:tcPr>
                  <w:tcW w:w="32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0.16</w:t>
                  </w:r>
                </w:p>
              </w:tc>
              <w:tc>
                <w:tcPr>
                  <w:tcW w:w="256"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0.27</w:t>
                  </w:r>
                </w:p>
              </w:tc>
              <w:tc>
                <w:tcPr>
                  <w:tcW w:w="36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0.17</w:t>
                  </w:r>
                </w:p>
              </w:tc>
              <w:tc>
                <w:tcPr>
                  <w:tcW w:w="361"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0.28</w:t>
                  </w:r>
                </w:p>
              </w:tc>
              <w:tc>
                <w:tcPr>
                  <w:tcW w:w="332"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0.16</w:t>
                  </w:r>
                </w:p>
              </w:tc>
              <w:tc>
                <w:tcPr>
                  <w:tcW w:w="267"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0.27</w:t>
                  </w:r>
                </w:p>
              </w:tc>
              <w:tc>
                <w:tcPr>
                  <w:tcW w:w="344"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0.08</w:t>
                  </w:r>
                </w:p>
              </w:tc>
              <w:tc>
                <w:tcPr>
                  <w:tcW w:w="325"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0.13</w:t>
                  </w:r>
                </w:p>
              </w:tc>
              <w:tc>
                <w:tcPr>
                  <w:tcW w:w="384"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879"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ascii="Times New Roman" w:hAnsi="Times New Roman"/>
                      <w:color w:val="auto"/>
                      <w:sz w:val="20"/>
                      <w:szCs w:val="21"/>
                    </w:rPr>
                    <w:t>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0"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6</w:t>
                  </w:r>
                </w:p>
              </w:tc>
              <w:tc>
                <w:tcPr>
                  <w:tcW w:w="64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铜</w:t>
                  </w:r>
                </w:p>
              </w:tc>
              <w:tc>
                <w:tcPr>
                  <w:tcW w:w="35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w:t>
                  </w:r>
                  <w:r>
                    <w:rPr>
                      <w:rFonts w:hint="eastAsia" w:ascii="Times New Roman" w:hAnsi="Times New Roman"/>
                      <w:color w:val="auto"/>
                      <w:kern w:val="0"/>
                    </w:rPr>
                    <w:t>kg</w:t>
                  </w:r>
                </w:p>
              </w:tc>
              <w:tc>
                <w:tcPr>
                  <w:tcW w:w="32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36</w:t>
                  </w:r>
                </w:p>
              </w:tc>
              <w:tc>
                <w:tcPr>
                  <w:tcW w:w="256"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0.36</w:t>
                  </w:r>
                </w:p>
              </w:tc>
              <w:tc>
                <w:tcPr>
                  <w:tcW w:w="361"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35</w:t>
                  </w:r>
                </w:p>
              </w:tc>
              <w:tc>
                <w:tcPr>
                  <w:tcW w:w="361"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0.35</w:t>
                  </w:r>
                </w:p>
              </w:tc>
              <w:tc>
                <w:tcPr>
                  <w:tcW w:w="332"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34</w:t>
                  </w:r>
                </w:p>
              </w:tc>
              <w:tc>
                <w:tcPr>
                  <w:tcW w:w="267"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0.34</w:t>
                  </w:r>
                </w:p>
              </w:tc>
              <w:tc>
                <w:tcPr>
                  <w:tcW w:w="344"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23</w:t>
                  </w:r>
                </w:p>
              </w:tc>
              <w:tc>
                <w:tcPr>
                  <w:tcW w:w="325"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0.23</w:t>
                  </w:r>
                </w:p>
              </w:tc>
              <w:tc>
                <w:tcPr>
                  <w:tcW w:w="384"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879"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ascii="Times New Roman" w:hAnsi="Times New Roman"/>
                      <w:color w:val="auto"/>
                      <w:sz w:val="20"/>
                      <w:szCs w:val="21"/>
                    </w:rPr>
                    <w:t>100</w:t>
                  </w:r>
                </w:p>
              </w:tc>
            </w:tr>
          </w:tbl>
          <w:p>
            <w:pPr>
              <w:pStyle w:val="43"/>
              <w:widowControl w:val="0"/>
              <w:spacing w:before="120" w:beforeLines="50" w:line="240" w:lineRule="auto"/>
              <w:rPr>
                <w:rFonts w:ascii="Times New Roman" w:hAnsi="Times New Roman"/>
                <w:b/>
                <w:color w:val="auto"/>
                <w:kern w:val="0"/>
                <w:szCs w:val="21"/>
              </w:rPr>
            </w:pPr>
            <w:r>
              <w:rPr>
                <w:rFonts w:hint="eastAsia" w:ascii="Times New Roman" w:hAnsi="Times New Roman"/>
                <w:b/>
                <w:color w:val="auto"/>
                <w:kern w:val="0"/>
                <w:szCs w:val="21"/>
              </w:rPr>
              <w:t xml:space="preserve">续表3-13  </w:t>
            </w:r>
            <w:r>
              <w:rPr>
                <w:rFonts w:ascii="Times New Roman" w:hAnsi="Times New Roman"/>
                <w:b/>
                <w:color w:val="auto"/>
                <w:kern w:val="0"/>
                <w:szCs w:val="21"/>
              </w:rPr>
              <w:t>农用地土壤现状</w:t>
            </w:r>
            <w:r>
              <w:rPr>
                <w:rFonts w:hint="eastAsia" w:ascii="Times New Roman" w:hAnsi="Times New Roman"/>
                <w:b/>
                <w:color w:val="auto"/>
                <w:kern w:val="0"/>
                <w:szCs w:val="21"/>
              </w:rPr>
              <w:t>监测及评价</w:t>
            </w:r>
            <w:r>
              <w:rPr>
                <w:rFonts w:ascii="Times New Roman" w:hAnsi="Times New Roman"/>
                <w:b/>
                <w:color w:val="auto"/>
                <w:kern w:val="0"/>
                <w:szCs w:val="21"/>
              </w:rPr>
              <w:t>结果表</w:t>
            </w:r>
          </w:p>
          <w:tbl>
            <w:tblPr>
              <w:tblStyle w:val="37"/>
              <w:tblW w:w="4995"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66"/>
              <w:gridCol w:w="1074"/>
              <w:gridCol w:w="593"/>
              <w:gridCol w:w="523"/>
              <w:gridCol w:w="424"/>
              <w:gridCol w:w="597"/>
              <w:gridCol w:w="598"/>
              <w:gridCol w:w="550"/>
              <w:gridCol w:w="559"/>
              <w:gridCol w:w="607"/>
              <w:gridCol w:w="477"/>
              <w:gridCol w:w="630"/>
              <w:gridCol w:w="137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160"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序号</w:t>
                  </w:r>
                </w:p>
              </w:tc>
              <w:tc>
                <w:tcPr>
                  <w:tcW w:w="648"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监测因子</w:t>
                  </w:r>
                </w:p>
              </w:tc>
              <w:tc>
                <w:tcPr>
                  <w:tcW w:w="358"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单位</w:t>
                  </w:r>
                </w:p>
              </w:tc>
              <w:tc>
                <w:tcPr>
                  <w:tcW w:w="316"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T-8#</w:t>
                  </w:r>
                </w:p>
              </w:tc>
              <w:tc>
                <w:tcPr>
                  <w:tcW w:w="256" w:type="pct"/>
                  <w:vMerge w:val="restart"/>
                  <w:shd w:val="clear" w:color="auto" w:fill="auto"/>
                  <w:tcMar>
                    <w:left w:w="28" w:type="dxa"/>
                    <w:right w:w="28" w:type="dxa"/>
                  </w:tcMar>
                  <w:vAlign w:val="center"/>
                </w:tcPr>
                <w:p>
                  <w:pPr>
                    <w:jc w:val="center"/>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p>
                  <w:pPr>
                    <w:jc w:val="center"/>
                    <w:textAlignment w:val="bottom"/>
                    <w:rPr>
                      <w:rFonts w:ascii="Times New Roman" w:hAnsi="Times New Roman" w:eastAsia="等线"/>
                      <w:color w:val="auto"/>
                      <w:kern w:val="0"/>
                      <w:szCs w:val="21"/>
                      <w:lang w:bidi="ar"/>
                    </w:rPr>
                  </w:pPr>
                </w:p>
              </w:tc>
              <w:tc>
                <w:tcPr>
                  <w:tcW w:w="360"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T-9#</w:t>
                  </w:r>
                </w:p>
              </w:tc>
              <w:tc>
                <w:tcPr>
                  <w:tcW w:w="361" w:type="pct"/>
                  <w:vMerge w:val="restart"/>
                  <w:shd w:val="clear" w:color="auto" w:fill="auto"/>
                  <w:vAlign w:val="center"/>
                </w:tcPr>
                <w:p>
                  <w:pPr>
                    <w:jc w:val="center"/>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p>
                  <w:pPr>
                    <w:jc w:val="center"/>
                    <w:textAlignment w:val="bottom"/>
                    <w:rPr>
                      <w:rFonts w:ascii="Times New Roman" w:hAnsi="Times New Roman" w:eastAsia="等线"/>
                      <w:color w:val="auto"/>
                      <w:kern w:val="0"/>
                      <w:szCs w:val="21"/>
                      <w:lang w:bidi="ar"/>
                    </w:rPr>
                  </w:pPr>
                </w:p>
              </w:tc>
              <w:tc>
                <w:tcPr>
                  <w:tcW w:w="332"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T-10#</w:t>
                  </w:r>
                </w:p>
              </w:tc>
              <w:tc>
                <w:tcPr>
                  <w:tcW w:w="337"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p>
                  <w:pPr>
                    <w:jc w:val="center"/>
                    <w:textAlignment w:val="bottom"/>
                    <w:rPr>
                      <w:rFonts w:ascii="Times New Roman" w:hAnsi="Times New Roman" w:eastAsia="等线"/>
                      <w:color w:val="auto"/>
                      <w:kern w:val="0"/>
                      <w:szCs w:val="21"/>
                      <w:lang w:bidi="ar"/>
                    </w:rPr>
                  </w:pPr>
                </w:p>
              </w:tc>
              <w:tc>
                <w:tcPr>
                  <w:tcW w:w="366"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T-11#</w:t>
                  </w:r>
                </w:p>
              </w:tc>
              <w:tc>
                <w:tcPr>
                  <w:tcW w:w="288"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hint="eastAsia" w:ascii="Times New Roman" w:hAnsi="Times New Roman"/>
                      <w:color w:val="auto"/>
                      <w:szCs w:val="21"/>
                    </w:rPr>
                    <w:t>S</w:t>
                  </w:r>
                  <w:r>
                    <w:rPr>
                      <w:rFonts w:ascii="Times New Roman" w:hAnsi="Times New Roman"/>
                      <w:color w:val="auto"/>
                      <w:szCs w:val="21"/>
                      <w:vertAlign w:val="subscript"/>
                    </w:rPr>
                    <w:t>i</w:t>
                  </w:r>
                  <w:r>
                    <w:rPr>
                      <w:rFonts w:hint="eastAsia" w:ascii="Times New Roman" w:hAnsi="Times New Roman"/>
                      <w:color w:val="auto"/>
                      <w:szCs w:val="21"/>
                      <w:vertAlign w:val="subscript"/>
                    </w:rPr>
                    <w:t>,j</w:t>
                  </w:r>
                </w:p>
              </w:tc>
              <w:tc>
                <w:tcPr>
                  <w:tcW w:w="380" w:type="pct"/>
                  <w:vMerge w:val="restar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达标</w:t>
                  </w:r>
                </w:p>
                <w:p>
                  <w:pPr>
                    <w:pStyle w:val="105"/>
                    <w:adjustRightInd w:val="0"/>
                    <w:spacing w:line="240" w:lineRule="auto"/>
                    <w:rPr>
                      <w:rFonts w:ascii="Times New Roman" w:hAnsi="Times New Roman"/>
                      <w:color w:val="auto"/>
                      <w:szCs w:val="21"/>
                    </w:rPr>
                  </w:pPr>
                  <w:r>
                    <w:rPr>
                      <w:rFonts w:ascii="Times New Roman" w:hAnsi="Times New Roman"/>
                      <w:color w:val="auto"/>
                      <w:szCs w:val="21"/>
                    </w:rPr>
                    <w:t>情况</w:t>
                  </w:r>
                </w:p>
              </w:tc>
              <w:tc>
                <w:tcPr>
                  <w:tcW w:w="831" w:type="pct"/>
                  <w:vMerge w:val="restart"/>
                  <w:shd w:val="clear" w:color="auto" w:fill="auto"/>
                  <w:tcMar>
                    <w:left w:w="28" w:type="dxa"/>
                    <w:right w:w="28" w:type="dxa"/>
                  </w:tcMar>
                  <w:vAlign w:val="center"/>
                </w:tcPr>
                <w:p>
                  <w:pPr>
                    <w:pStyle w:val="105"/>
                    <w:adjustRightInd w:val="0"/>
                    <w:spacing w:line="240" w:lineRule="auto"/>
                    <w:jc w:val="both"/>
                    <w:rPr>
                      <w:rFonts w:ascii="Times New Roman" w:hAnsi="Times New Roman"/>
                      <w:color w:val="auto"/>
                      <w:szCs w:val="21"/>
                    </w:rPr>
                  </w:pPr>
                  <w:r>
                    <w:rPr>
                      <w:rFonts w:ascii="Times New Roman" w:hAnsi="Times New Roman"/>
                      <w:bCs/>
                      <w:color w:val="auto"/>
                      <w:szCs w:val="21"/>
                    </w:rPr>
                    <w:t>《土壤环境质量 农用地土壤污染风险管控标准（试行）》（GB 15618-2018）中农用地筛选标准值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160" w:type="pct"/>
                  <w:vMerge w:val="continue"/>
                  <w:shd w:val="clear" w:color="auto" w:fill="auto"/>
                  <w:tcMar>
                    <w:left w:w="28" w:type="dxa"/>
                    <w:right w:w="28" w:type="dxa"/>
                  </w:tcMar>
                  <w:vAlign w:val="center"/>
                </w:tcPr>
                <w:p>
                  <w:pPr>
                    <w:jc w:val="center"/>
                    <w:rPr>
                      <w:color w:val="auto"/>
                    </w:rPr>
                  </w:pPr>
                </w:p>
              </w:tc>
              <w:tc>
                <w:tcPr>
                  <w:tcW w:w="648" w:type="pct"/>
                  <w:vMerge w:val="continue"/>
                  <w:shd w:val="clear" w:color="auto" w:fill="auto"/>
                  <w:tcMar>
                    <w:left w:w="28" w:type="dxa"/>
                    <w:right w:w="28" w:type="dxa"/>
                  </w:tcMar>
                  <w:vAlign w:val="center"/>
                </w:tcPr>
                <w:p>
                  <w:pPr>
                    <w:jc w:val="center"/>
                    <w:rPr>
                      <w:color w:val="auto"/>
                    </w:rPr>
                  </w:pPr>
                </w:p>
              </w:tc>
              <w:tc>
                <w:tcPr>
                  <w:tcW w:w="358" w:type="pct"/>
                  <w:vMerge w:val="continue"/>
                  <w:shd w:val="clear" w:color="auto" w:fill="auto"/>
                  <w:tcMar>
                    <w:left w:w="28" w:type="dxa"/>
                    <w:right w:w="28" w:type="dxa"/>
                  </w:tcMar>
                  <w:vAlign w:val="center"/>
                </w:tcPr>
                <w:p>
                  <w:pPr>
                    <w:jc w:val="center"/>
                    <w:rPr>
                      <w:color w:val="auto"/>
                    </w:rPr>
                  </w:pPr>
                </w:p>
              </w:tc>
              <w:tc>
                <w:tcPr>
                  <w:tcW w:w="316" w:type="pct"/>
                  <w:shd w:val="clear" w:color="auto" w:fill="auto"/>
                  <w:tcMar>
                    <w:left w:w="28" w:type="dxa"/>
                    <w:right w:w="28" w:type="dxa"/>
                  </w:tcMar>
                  <w:vAlign w:val="center"/>
                </w:tcPr>
                <w:p>
                  <w:pPr>
                    <w:jc w:val="both"/>
                    <w:rPr>
                      <w:rFonts w:ascii="Times New Roman" w:hAnsi="Times New Roman"/>
                      <w:color w:val="auto"/>
                      <w:szCs w:val="21"/>
                    </w:rPr>
                  </w:pPr>
                  <w:r>
                    <w:rPr>
                      <w:rFonts w:ascii="Times New Roman" w:hAnsi="Times New Roman"/>
                      <w:color w:val="auto"/>
                      <w:szCs w:val="21"/>
                    </w:rPr>
                    <w:t>采样深度：20cm</w:t>
                  </w:r>
                </w:p>
              </w:tc>
              <w:tc>
                <w:tcPr>
                  <w:tcW w:w="256" w:type="pct"/>
                  <w:vMerge w:val="continue"/>
                  <w:shd w:val="clear" w:color="auto" w:fill="auto"/>
                  <w:tcMar>
                    <w:left w:w="28" w:type="dxa"/>
                    <w:right w:w="28" w:type="dxa"/>
                  </w:tcMar>
                  <w:vAlign w:val="center"/>
                </w:tcPr>
                <w:p>
                  <w:pPr>
                    <w:jc w:val="center"/>
                    <w:rPr>
                      <w:rFonts w:ascii="Times New Roman" w:hAnsi="Times New Roman"/>
                      <w:bCs/>
                      <w:color w:val="auto"/>
                      <w:szCs w:val="21"/>
                    </w:rPr>
                  </w:pPr>
                </w:p>
              </w:tc>
              <w:tc>
                <w:tcPr>
                  <w:tcW w:w="360" w:type="pct"/>
                  <w:shd w:val="clear" w:color="auto" w:fill="auto"/>
                  <w:tcMar>
                    <w:left w:w="28" w:type="dxa"/>
                    <w:right w:w="28" w:type="dxa"/>
                  </w:tcMar>
                  <w:vAlign w:val="center"/>
                </w:tcPr>
                <w:p>
                  <w:pPr>
                    <w:jc w:val="both"/>
                    <w:rPr>
                      <w:rFonts w:ascii="Times New Roman" w:hAnsi="Times New Roman"/>
                      <w:color w:val="auto"/>
                      <w:szCs w:val="21"/>
                    </w:rPr>
                  </w:pPr>
                  <w:r>
                    <w:rPr>
                      <w:rFonts w:ascii="Times New Roman" w:hAnsi="Times New Roman"/>
                      <w:color w:val="auto"/>
                      <w:szCs w:val="21"/>
                    </w:rPr>
                    <w:t>采样深度：20cm</w:t>
                  </w:r>
                </w:p>
              </w:tc>
              <w:tc>
                <w:tcPr>
                  <w:tcW w:w="361" w:type="pct"/>
                  <w:vMerge w:val="continue"/>
                  <w:shd w:val="clear" w:color="auto" w:fill="auto"/>
                  <w:vAlign w:val="center"/>
                </w:tcPr>
                <w:p>
                  <w:pPr>
                    <w:jc w:val="center"/>
                    <w:rPr>
                      <w:rFonts w:ascii="Times New Roman" w:hAnsi="Times New Roman"/>
                      <w:bCs/>
                      <w:color w:val="auto"/>
                      <w:szCs w:val="21"/>
                    </w:rPr>
                  </w:pPr>
                </w:p>
              </w:tc>
              <w:tc>
                <w:tcPr>
                  <w:tcW w:w="332"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采样深度：20cm</w:t>
                  </w:r>
                </w:p>
              </w:tc>
              <w:tc>
                <w:tcPr>
                  <w:tcW w:w="337" w:type="pct"/>
                  <w:vMerge w:val="continue"/>
                  <w:shd w:val="clear" w:color="auto" w:fill="auto"/>
                  <w:tcMar>
                    <w:left w:w="28" w:type="dxa"/>
                    <w:right w:w="28" w:type="dxa"/>
                  </w:tcMar>
                  <w:vAlign w:val="center"/>
                </w:tcPr>
                <w:p>
                  <w:pPr>
                    <w:jc w:val="center"/>
                    <w:rPr>
                      <w:rFonts w:ascii="Times New Roman" w:hAnsi="Times New Roman"/>
                      <w:bCs/>
                      <w:color w:val="auto"/>
                      <w:szCs w:val="21"/>
                    </w:rPr>
                  </w:pPr>
                </w:p>
              </w:tc>
              <w:tc>
                <w:tcPr>
                  <w:tcW w:w="366" w:type="pct"/>
                  <w:shd w:val="clear" w:color="auto" w:fill="auto"/>
                  <w:tcMar>
                    <w:left w:w="28" w:type="dxa"/>
                    <w:right w:w="28" w:type="dxa"/>
                  </w:tcMar>
                  <w:vAlign w:val="center"/>
                </w:tcPr>
                <w:p>
                  <w:pPr>
                    <w:jc w:val="both"/>
                    <w:rPr>
                      <w:rFonts w:ascii="Times New Roman" w:hAnsi="Times New Roman"/>
                      <w:color w:val="auto"/>
                      <w:szCs w:val="21"/>
                    </w:rPr>
                  </w:pPr>
                  <w:r>
                    <w:rPr>
                      <w:rFonts w:ascii="Times New Roman" w:hAnsi="Times New Roman"/>
                      <w:color w:val="auto"/>
                      <w:szCs w:val="21"/>
                    </w:rPr>
                    <w:t>采样深度：20cm</w:t>
                  </w:r>
                </w:p>
              </w:tc>
              <w:tc>
                <w:tcPr>
                  <w:tcW w:w="288" w:type="pct"/>
                  <w:vMerge w:val="continue"/>
                  <w:shd w:val="clear" w:color="auto" w:fill="auto"/>
                  <w:tcMar>
                    <w:left w:w="28" w:type="dxa"/>
                    <w:right w:w="28" w:type="dxa"/>
                  </w:tcMar>
                  <w:vAlign w:val="center"/>
                </w:tcPr>
                <w:p>
                  <w:pPr>
                    <w:jc w:val="center"/>
                    <w:rPr>
                      <w:rFonts w:ascii="Times New Roman" w:hAnsi="Times New Roman"/>
                      <w:bCs/>
                      <w:color w:val="auto"/>
                      <w:szCs w:val="21"/>
                    </w:rPr>
                  </w:pPr>
                </w:p>
              </w:tc>
              <w:tc>
                <w:tcPr>
                  <w:tcW w:w="380" w:type="pct"/>
                  <w:vMerge w:val="continue"/>
                  <w:shd w:val="clear" w:color="auto" w:fill="auto"/>
                  <w:tcMar>
                    <w:left w:w="28" w:type="dxa"/>
                    <w:right w:w="28" w:type="dxa"/>
                  </w:tcMar>
                  <w:vAlign w:val="center"/>
                </w:tcPr>
                <w:p>
                  <w:pPr>
                    <w:jc w:val="center"/>
                    <w:rPr>
                      <w:rFonts w:ascii="Times New Roman" w:hAnsi="Times New Roman"/>
                      <w:bCs/>
                      <w:color w:val="auto"/>
                      <w:szCs w:val="21"/>
                    </w:rPr>
                  </w:pPr>
                </w:p>
              </w:tc>
              <w:tc>
                <w:tcPr>
                  <w:tcW w:w="831" w:type="pct"/>
                  <w:vMerge w:val="continue"/>
                  <w:shd w:val="clear" w:color="auto" w:fill="auto"/>
                  <w:tcMar>
                    <w:left w:w="28" w:type="dxa"/>
                    <w:right w:w="28" w:type="dxa"/>
                  </w:tcMar>
                  <w:vAlign w:val="center"/>
                </w:tcPr>
                <w:p>
                  <w:pPr>
                    <w:jc w:val="center"/>
                    <w:rPr>
                      <w:rFonts w:ascii="Times New Roman" w:hAnsi="Times New Roman"/>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0"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7</w:t>
                  </w:r>
                </w:p>
              </w:tc>
              <w:tc>
                <w:tcPr>
                  <w:tcW w:w="64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镍</w:t>
                  </w:r>
                </w:p>
              </w:tc>
              <w:tc>
                <w:tcPr>
                  <w:tcW w:w="35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w:t>
                  </w:r>
                  <w:r>
                    <w:rPr>
                      <w:rFonts w:hint="eastAsia" w:ascii="Times New Roman" w:hAnsi="Times New Roman"/>
                      <w:color w:val="auto"/>
                      <w:kern w:val="0"/>
                    </w:rPr>
                    <w:t>kg</w:t>
                  </w:r>
                </w:p>
              </w:tc>
              <w:tc>
                <w:tcPr>
                  <w:tcW w:w="31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32</w:t>
                  </w:r>
                </w:p>
              </w:tc>
              <w:tc>
                <w:tcPr>
                  <w:tcW w:w="256"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0.17</w:t>
                  </w:r>
                </w:p>
              </w:tc>
              <w:tc>
                <w:tcPr>
                  <w:tcW w:w="36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33</w:t>
                  </w:r>
                </w:p>
              </w:tc>
              <w:tc>
                <w:tcPr>
                  <w:tcW w:w="361"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0.17</w:t>
                  </w:r>
                </w:p>
              </w:tc>
              <w:tc>
                <w:tcPr>
                  <w:tcW w:w="332"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34</w:t>
                  </w:r>
                </w:p>
              </w:tc>
              <w:tc>
                <w:tcPr>
                  <w:tcW w:w="337"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0.18</w:t>
                  </w:r>
                </w:p>
              </w:tc>
              <w:tc>
                <w:tcPr>
                  <w:tcW w:w="36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14</w:t>
                  </w:r>
                </w:p>
              </w:tc>
              <w:tc>
                <w:tcPr>
                  <w:tcW w:w="288"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0.07</w:t>
                  </w:r>
                </w:p>
              </w:tc>
              <w:tc>
                <w:tcPr>
                  <w:tcW w:w="380"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831"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ascii="Times New Roman" w:hAnsi="Times New Roman"/>
                      <w:color w:val="auto"/>
                      <w:sz w:val="20"/>
                      <w:szCs w:val="21"/>
                    </w:rPr>
                    <w:t>190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8</w:t>
                  </w:r>
                </w:p>
              </w:tc>
              <w:tc>
                <w:tcPr>
                  <w:tcW w:w="64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铬</w:t>
                  </w:r>
                </w:p>
              </w:tc>
              <w:tc>
                <w:tcPr>
                  <w:tcW w:w="35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w:t>
                  </w:r>
                  <w:r>
                    <w:rPr>
                      <w:rFonts w:hint="eastAsia" w:ascii="Times New Roman" w:hAnsi="Times New Roman"/>
                      <w:color w:val="auto"/>
                      <w:kern w:val="0"/>
                    </w:rPr>
                    <w:t>kg</w:t>
                  </w:r>
                </w:p>
              </w:tc>
              <w:tc>
                <w:tcPr>
                  <w:tcW w:w="31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20</w:t>
                  </w:r>
                </w:p>
              </w:tc>
              <w:tc>
                <w:tcPr>
                  <w:tcW w:w="256"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0.08</w:t>
                  </w:r>
                </w:p>
              </w:tc>
              <w:tc>
                <w:tcPr>
                  <w:tcW w:w="36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23</w:t>
                  </w:r>
                </w:p>
              </w:tc>
              <w:tc>
                <w:tcPr>
                  <w:tcW w:w="361"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0.09</w:t>
                  </w:r>
                </w:p>
              </w:tc>
              <w:tc>
                <w:tcPr>
                  <w:tcW w:w="332"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17</w:t>
                  </w:r>
                </w:p>
              </w:tc>
              <w:tc>
                <w:tcPr>
                  <w:tcW w:w="337"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0.07</w:t>
                  </w:r>
                </w:p>
              </w:tc>
              <w:tc>
                <w:tcPr>
                  <w:tcW w:w="36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71</w:t>
                  </w:r>
                </w:p>
              </w:tc>
              <w:tc>
                <w:tcPr>
                  <w:tcW w:w="288"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0.28</w:t>
                  </w:r>
                </w:p>
              </w:tc>
              <w:tc>
                <w:tcPr>
                  <w:tcW w:w="380"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831"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ascii="Times New Roman" w:hAnsi="Times New Roman"/>
                      <w:color w:val="auto"/>
                      <w:sz w:val="20"/>
                      <w:szCs w:val="21"/>
                    </w:rPr>
                    <w:t>250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0"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9</w:t>
                  </w:r>
                </w:p>
              </w:tc>
              <w:tc>
                <w:tcPr>
                  <w:tcW w:w="64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锌</w:t>
                  </w:r>
                </w:p>
              </w:tc>
              <w:tc>
                <w:tcPr>
                  <w:tcW w:w="35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w:t>
                  </w:r>
                  <w:r>
                    <w:rPr>
                      <w:rFonts w:hint="eastAsia" w:ascii="Times New Roman" w:hAnsi="Times New Roman"/>
                      <w:color w:val="auto"/>
                      <w:kern w:val="0"/>
                    </w:rPr>
                    <w:t>kg</w:t>
                  </w:r>
                </w:p>
              </w:tc>
              <w:tc>
                <w:tcPr>
                  <w:tcW w:w="31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34</w:t>
                  </w:r>
                </w:p>
              </w:tc>
              <w:tc>
                <w:tcPr>
                  <w:tcW w:w="256"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0.11</w:t>
                  </w:r>
                </w:p>
              </w:tc>
              <w:tc>
                <w:tcPr>
                  <w:tcW w:w="36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34</w:t>
                  </w:r>
                </w:p>
              </w:tc>
              <w:tc>
                <w:tcPr>
                  <w:tcW w:w="361"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0.11</w:t>
                  </w:r>
                </w:p>
              </w:tc>
              <w:tc>
                <w:tcPr>
                  <w:tcW w:w="332"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33</w:t>
                  </w:r>
                </w:p>
              </w:tc>
              <w:tc>
                <w:tcPr>
                  <w:tcW w:w="337"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0.11</w:t>
                  </w:r>
                </w:p>
              </w:tc>
              <w:tc>
                <w:tcPr>
                  <w:tcW w:w="36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65</w:t>
                  </w:r>
                </w:p>
              </w:tc>
              <w:tc>
                <w:tcPr>
                  <w:tcW w:w="288"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0.22</w:t>
                  </w:r>
                </w:p>
              </w:tc>
              <w:tc>
                <w:tcPr>
                  <w:tcW w:w="380"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831"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ascii="Times New Roman" w:hAnsi="Times New Roman"/>
                      <w:color w:val="auto"/>
                      <w:sz w:val="20"/>
                      <w:szCs w:val="21"/>
                    </w:rPr>
                    <w:t>300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0"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10</w:t>
                  </w:r>
                </w:p>
              </w:tc>
              <w:tc>
                <w:tcPr>
                  <w:tcW w:w="64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bCs/>
                      <w:color w:val="auto"/>
                      <w:kern w:val="0"/>
                      <w:szCs w:val="21"/>
                    </w:rPr>
                    <w:t>全盐量</w:t>
                  </w:r>
                </w:p>
              </w:tc>
              <w:tc>
                <w:tcPr>
                  <w:tcW w:w="358" w:type="pct"/>
                  <w:shd w:val="clear" w:color="auto" w:fill="auto"/>
                  <w:tcMar>
                    <w:left w:w="28" w:type="dxa"/>
                    <w:right w:w="28" w:type="dxa"/>
                  </w:tcMar>
                  <w:vAlign w:val="center"/>
                </w:tcPr>
                <w:p>
                  <w:pPr>
                    <w:jc w:val="center"/>
                    <w:rPr>
                      <w:rFonts w:ascii="Times New Roman" w:hAnsi="Times New Roman"/>
                      <w:color w:val="auto"/>
                      <w:kern w:val="0"/>
                    </w:rPr>
                  </w:pPr>
                  <w:r>
                    <w:rPr>
                      <w:rFonts w:ascii="Times New Roman" w:hAnsi="Times New Roman"/>
                      <w:color w:val="auto"/>
                      <w:kern w:val="0"/>
                    </w:rPr>
                    <w:t>g/</w:t>
                  </w:r>
                  <w:r>
                    <w:rPr>
                      <w:rFonts w:hint="eastAsia" w:ascii="Times New Roman" w:hAnsi="Times New Roman"/>
                      <w:color w:val="auto"/>
                      <w:kern w:val="0"/>
                    </w:rPr>
                    <w:t>kg</w:t>
                  </w:r>
                </w:p>
              </w:tc>
              <w:tc>
                <w:tcPr>
                  <w:tcW w:w="31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0.8</w:t>
                  </w:r>
                </w:p>
              </w:tc>
              <w:tc>
                <w:tcPr>
                  <w:tcW w:w="256" w:type="pct"/>
                  <w:shd w:val="clear" w:color="auto" w:fill="auto"/>
                  <w:tcMar>
                    <w:left w:w="28" w:type="dxa"/>
                    <w:right w:w="28"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0.42</w:t>
                  </w:r>
                </w:p>
              </w:tc>
              <w:tc>
                <w:tcPr>
                  <w:tcW w:w="36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0.9</w:t>
                  </w:r>
                </w:p>
              </w:tc>
              <w:tc>
                <w:tcPr>
                  <w:tcW w:w="361" w:type="pct"/>
                  <w:shd w:val="clear" w:color="auto" w:fill="auto"/>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0.38</w:t>
                  </w:r>
                </w:p>
              </w:tc>
              <w:tc>
                <w:tcPr>
                  <w:tcW w:w="332"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0.8</w:t>
                  </w:r>
                </w:p>
              </w:tc>
              <w:tc>
                <w:tcPr>
                  <w:tcW w:w="337"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0.44</w:t>
                  </w:r>
                </w:p>
              </w:tc>
              <w:tc>
                <w:tcPr>
                  <w:tcW w:w="36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1.5</w:t>
                  </w:r>
                </w:p>
              </w:tc>
              <w:tc>
                <w:tcPr>
                  <w:tcW w:w="288"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eastAsia="等线"/>
                      <w:color w:val="auto"/>
                      <w:kern w:val="0"/>
                      <w:szCs w:val="21"/>
                      <w:lang w:bidi="ar"/>
                    </w:rPr>
                    <w:t>0.40</w:t>
                  </w:r>
                </w:p>
              </w:tc>
              <w:tc>
                <w:tcPr>
                  <w:tcW w:w="380"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hint="eastAsia" w:ascii="Times New Roman" w:hAnsi="Times New Roman"/>
                      <w:color w:val="auto"/>
                      <w:szCs w:val="21"/>
                    </w:rPr>
                    <w:t>/</w:t>
                  </w:r>
                </w:p>
              </w:tc>
              <w:tc>
                <w:tcPr>
                  <w:tcW w:w="831"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ascii="Times New Roman" w:hAnsi="Times New Roman"/>
                      <w:color w:val="auto"/>
                      <w:sz w:val="2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0" w:type="pct"/>
                  <w:shd w:val="clear" w:color="auto" w:fill="auto"/>
                  <w:tcMar>
                    <w:left w:w="28" w:type="dxa"/>
                    <w:right w:w="28" w:type="dxa"/>
                  </w:tcMar>
                  <w:vAlign w:val="center"/>
                </w:tcPr>
                <w:p>
                  <w:pPr>
                    <w:pStyle w:val="105"/>
                    <w:adjustRightInd w:val="0"/>
                    <w:spacing w:line="240" w:lineRule="auto"/>
                    <w:rPr>
                      <w:rFonts w:ascii="Times New Roman" w:hAnsi="Times New Roman"/>
                      <w:color w:val="auto"/>
                      <w:szCs w:val="21"/>
                    </w:rPr>
                  </w:pPr>
                  <w:r>
                    <w:rPr>
                      <w:rFonts w:ascii="Times New Roman" w:hAnsi="Times New Roman"/>
                      <w:color w:val="auto"/>
                      <w:szCs w:val="21"/>
                    </w:rPr>
                    <w:t>11</w:t>
                  </w:r>
                </w:p>
              </w:tc>
              <w:tc>
                <w:tcPr>
                  <w:tcW w:w="64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bCs/>
                      <w:color w:val="auto"/>
                      <w:kern w:val="0"/>
                      <w:szCs w:val="21"/>
                    </w:rPr>
                    <w:t>石油烃（C</w:t>
                  </w:r>
                  <w:r>
                    <w:rPr>
                      <w:rFonts w:ascii="Times New Roman" w:hAnsi="Times New Roman"/>
                      <w:bCs/>
                      <w:color w:val="auto"/>
                      <w:kern w:val="0"/>
                      <w:szCs w:val="21"/>
                      <w:vertAlign w:val="subscript"/>
                    </w:rPr>
                    <w:t>10-</w:t>
                  </w:r>
                  <w:r>
                    <w:rPr>
                      <w:rFonts w:ascii="Times New Roman" w:hAnsi="Times New Roman"/>
                      <w:bCs/>
                      <w:color w:val="auto"/>
                      <w:kern w:val="0"/>
                      <w:szCs w:val="21"/>
                    </w:rPr>
                    <w:t>C</w:t>
                  </w:r>
                  <w:r>
                    <w:rPr>
                      <w:rFonts w:ascii="Times New Roman" w:hAnsi="Times New Roman"/>
                      <w:bCs/>
                      <w:color w:val="auto"/>
                      <w:kern w:val="0"/>
                      <w:szCs w:val="21"/>
                      <w:vertAlign w:val="subscript"/>
                    </w:rPr>
                    <w:t>40</w:t>
                  </w:r>
                  <w:r>
                    <w:rPr>
                      <w:rFonts w:ascii="Times New Roman" w:hAnsi="Times New Roman"/>
                      <w:bCs/>
                      <w:color w:val="auto"/>
                      <w:kern w:val="0"/>
                      <w:szCs w:val="21"/>
                    </w:rPr>
                    <w:t>）</w:t>
                  </w:r>
                </w:p>
              </w:tc>
              <w:tc>
                <w:tcPr>
                  <w:tcW w:w="358" w:type="pct"/>
                  <w:shd w:val="clear" w:color="auto" w:fill="auto"/>
                  <w:tcMar>
                    <w:left w:w="28" w:type="dxa"/>
                    <w:right w:w="28" w:type="dxa"/>
                  </w:tcMar>
                  <w:vAlign w:val="center"/>
                </w:tcPr>
                <w:p>
                  <w:pPr>
                    <w:jc w:val="center"/>
                    <w:rPr>
                      <w:rFonts w:ascii="Times New Roman" w:hAnsi="Times New Roman"/>
                      <w:color w:val="auto"/>
                      <w:szCs w:val="21"/>
                    </w:rPr>
                  </w:pPr>
                  <w:r>
                    <w:rPr>
                      <w:rFonts w:ascii="Times New Roman" w:hAnsi="Times New Roman"/>
                      <w:color w:val="auto"/>
                      <w:kern w:val="0"/>
                    </w:rPr>
                    <w:t>mg/</w:t>
                  </w:r>
                  <w:r>
                    <w:rPr>
                      <w:rFonts w:hint="eastAsia" w:ascii="Times New Roman" w:hAnsi="Times New Roman"/>
                      <w:color w:val="auto"/>
                      <w:kern w:val="0"/>
                    </w:rPr>
                    <w:t>kg</w:t>
                  </w:r>
                </w:p>
              </w:tc>
              <w:tc>
                <w:tcPr>
                  <w:tcW w:w="31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&lt;6</w:t>
                  </w:r>
                </w:p>
              </w:tc>
              <w:tc>
                <w:tcPr>
                  <w:tcW w:w="25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w:t>
                  </w:r>
                </w:p>
              </w:tc>
              <w:tc>
                <w:tcPr>
                  <w:tcW w:w="360"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&lt;6</w:t>
                  </w:r>
                </w:p>
              </w:tc>
              <w:tc>
                <w:tcPr>
                  <w:tcW w:w="361" w:type="pct"/>
                  <w:shd w:val="clear" w:color="auto" w:fill="auto"/>
                  <w:vAlign w:val="center"/>
                </w:tcPr>
                <w:p>
                  <w:pPr>
                    <w:jc w:val="center"/>
                    <w:rPr>
                      <w:rFonts w:ascii="Times New Roman" w:hAnsi="Times New Roman"/>
                      <w:bCs/>
                      <w:color w:val="auto"/>
                      <w:szCs w:val="21"/>
                    </w:rPr>
                  </w:pPr>
                  <w:r>
                    <w:rPr>
                      <w:rFonts w:hint="eastAsia" w:ascii="Times New Roman" w:hAnsi="Times New Roman"/>
                      <w:bCs/>
                      <w:color w:val="auto"/>
                      <w:szCs w:val="21"/>
                    </w:rPr>
                    <w:t>/</w:t>
                  </w:r>
                </w:p>
              </w:tc>
              <w:tc>
                <w:tcPr>
                  <w:tcW w:w="332"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&lt;6</w:t>
                  </w:r>
                </w:p>
              </w:tc>
              <w:tc>
                <w:tcPr>
                  <w:tcW w:w="337" w:type="pct"/>
                  <w:shd w:val="clear" w:color="auto" w:fill="auto"/>
                  <w:tcMar>
                    <w:left w:w="28" w:type="dxa"/>
                    <w:right w:w="28" w:type="dxa"/>
                  </w:tcMar>
                  <w:vAlign w:val="center"/>
                </w:tcPr>
                <w:p>
                  <w:pPr>
                    <w:adjustRightInd w:val="0"/>
                    <w:jc w:val="center"/>
                    <w:rPr>
                      <w:rFonts w:ascii="Times New Roman" w:hAnsi="Times New Roman"/>
                      <w:color w:val="auto"/>
                      <w:szCs w:val="21"/>
                    </w:rPr>
                  </w:pPr>
                  <w:r>
                    <w:rPr>
                      <w:rFonts w:hint="eastAsia" w:ascii="Times New Roman" w:hAnsi="Times New Roman"/>
                      <w:color w:val="auto"/>
                      <w:szCs w:val="21"/>
                    </w:rPr>
                    <w:t>/</w:t>
                  </w:r>
                </w:p>
              </w:tc>
              <w:tc>
                <w:tcPr>
                  <w:tcW w:w="366" w:type="pct"/>
                  <w:shd w:val="clear" w:color="auto" w:fill="auto"/>
                  <w:tcMar>
                    <w:left w:w="28" w:type="dxa"/>
                    <w:right w:w="28" w:type="dxa"/>
                  </w:tcMar>
                  <w:vAlign w:val="center"/>
                </w:tcPr>
                <w:p>
                  <w:pPr>
                    <w:jc w:val="center"/>
                    <w:rPr>
                      <w:rFonts w:ascii="Times New Roman" w:hAnsi="Times New Roman"/>
                      <w:bCs/>
                      <w:color w:val="auto"/>
                      <w:szCs w:val="21"/>
                    </w:rPr>
                  </w:pPr>
                  <w:r>
                    <w:rPr>
                      <w:rFonts w:ascii="Times New Roman" w:hAnsi="Times New Roman"/>
                      <w:bCs/>
                      <w:color w:val="auto"/>
                      <w:szCs w:val="21"/>
                    </w:rPr>
                    <w:t>17</w:t>
                  </w:r>
                </w:p>
              </w:tc>
              <w:tc>
                <w:tcPr>
                  <w:tcW w:w="288" w:type="pct"/>
                  <w:shd w:val="clear" w:color="auto" w:fill="auto"/>
                  <w:tcMar>
                    <w:left w:w="28" w:type="dxa"/>
                    <w:right w:w="28" w:type="dxa"/>
                  </w:tcMar>
                  <w:vAlign w:val="center"/>
                </w:tcPr>
                <w:p>
                  <w:pPr>
                    <w:adjustRightInd w:val="0"/>
                    <w:jc w:val="center"/>
                    <w:rPr>
                      <w:rFonts w:ascii="Times New Roman" w:hAnsi="Times New Roman"/>
                      <w:color w:val="auto"/>
                      <w:szCs w:val="21"/>
                    </w:rPr>
                  </w:pPr>
                  <w:r>
                    <w:rPr>
                      <w:rFonts w:hint="eastAsia" w:ascii="Times New Roman" w:hAnsi="Times New Roman"/>
                      <w:color w:val="auto"/>
                      <w:szCs w:val="21"/>
                    </w:rPr>
                    <w:t>/</w:t>
                  </w:r>
                </w:p>
              </w:tc>
              <w:tc>
                <w:tcPr>
                  <w:tcW w:w="380" w:type="pct"/>
                  <w:shd w:val="clear" w:color="auto" w:fill="auto"/>
                  <w:tcMar>
                    <w:left w:w="28" w:type="dxa"/>
                    <w:right w:w="28" w:type="dxa"/>
                  </w:tcMar>
                  <w:vAlign w:val="center"/>
                </w:tcPr>
                <w:p>
                  <w:pPr>
                    <w:jc w:val="center"/>
                    <w:textAlignment w:val="bottom"/>
                    <w:rPr>
                      <w:rFonts w:ascii="Times New Roman" w:hAnsi="Times New Roman"/>
                      <w:color w:val="auto"/>
                      <w:szCs w:val="21"/>
                    </w:rPr>
                  </w:pPr>
                  <w:r>
                    <w:rPr>
                      <w:rFonts w:ascii="Times New Roman" w:hAnsi="Times New Roman"/>
                      <w:color w:val="auto"/>
                      <w:kern w:val="0"/>
                      <w:szCs w:val="21"/>
                      <w:lang w:bidi="ar"/>
                    </w:rPr>
                    <w:t>达标</w:t>
                  </w:r>
                </w:p>
              </w:tc>
              <w:tc>
                <w:tcPr>
                  <w:tcW w:w="831" w:type="pct"/>
                  <w:shd w:val="clear" w:color="auto" w:fill="auto"/>
                  <w:tcMar>
                    <w:left w:w="28" w:type="dxa"/>
                    <w:right w:w="28" w:type="dxa"/>
                  </w:tcMar>
                  <w:vAlign w:val="center"/>
                </w:tcPr>
                <w:p>
                  <w:pPr>
                    <w:adjustRightInd w:val="0"/>
                    <w:jc w:val="center"/>
                    <w:rPr>
                      <w:rFonts w:ascii="Times New Roman" w:hAnsi="Times New Roman"/>
                      <w:color w:val="auto"/>
                      <w:sz w:val="20"/>
                      <w:szCs w:val="21"/>
                    </w:rPr>
                  </w:pPr>
                  <w:r>
                    <w:rPr>
                      <w:rFonts w:hint="eastAsia" w:ascii="Times New Roman" w:hAnsi="Times New Roman"/>
                      <w:color w:val="auto"/>
                      <w:sz w:val="20"/>
                      <w:szCs w:val="21"/>
                    </w:rPr>
                    <w:t>/</w:t>
                  </w:r>
                </w:p>
              </w:tc>
            </w:tr>
          </w:tbl>
          <w:p>
            <w:pPr>
              <w:pStyle w:val="74"/>
              <w:tabs>
                <w:tab w:val="left" w:pos="3910"/>
              </w:tabs>
              <w:spacing w:line="360" w:lineRule="auto"/>
              <w:ind w:firstLine="480"/>
              <w:jc w:val="both"/>
              <w:outlineLvl w:val="9"/>
              <w:rPr>
                <w:rFonts w:ascii="Times New Roman" w:hAnsi="Times New Roman"/>
                <w:b w:val="0"/>
                <w:bCs/>
                <w:color w:val="auto"/>
              </w:rPr>
            </w:pPr>
            <w:r>
              <w:rPr>
                <w:rFonts w:ascii="Times New Roman" w:hAnsi="Times New Roman"/>
                <w:b w:val="0"/>
                <w:bCs/>
                <w:color w:val="auto"/>
              </w:rPr>
              <w:t>由表</w:t>
            </w:r>
            <w:r>
              <w:rPr>
                <w:rFonts w:hint="eastAsia" w:ascii="Times New Roman" w:hAnsi="Times New Roman"/>
                <w:b w:val="0"/>
                <w:bCs/>
                <w:color w:val="auto"/>
              </w:rPr>
              <w:t>3-12</w:t>
            </w:r>
            <w:r>
              <w:rPr>
                <w:rFonts w:ascii="Times New Roman" w:hAnsi="Times New Roman"/>
                <w:b w:val="0"/>
                <w:bCs/>
                <w:color w:val="auto"/>
              </w:rPr>
              <w:t>、</w:t>
            </w:r>
            <w:r>
              <w:rPr>
                <w:rFonts w:hint="eastAsia" w:ascii="Times New Roman" w:hAnsi="Times New Roman"/>
                <w:b w:val="0"/>
                <w:bCs/>
                <w:color w:val="auto"/>
              </w:rPr>
              <w:t>3-13</w:t>
            </w:r>
            <w:r>
              <w:rPr>
                <w:rFonts w:ascii="Times New Roman" w:hAnsi="Times New Roman"/>
                <w:b w:val="0"/>
                <w:bCs/>
                <w:color w:val="auto"/>
              </w:rPr>
              <w:t>可知：</w:t>
            </w:r>
            <w:r>
              <w:rPr>
                <w:rFonts w:hint="eastAsia" w:ascii="Times New Roman" w:hAnsi="Times New Roman"/>
                <w:b w:val="0"/>
                <w:bCs/>
                <w:color w:val="auto"/>
              </w:rPr>
              <w:t>占地范围内</w:t>
            </w:r>
            <w:r>
              <w:rPr>
                <w:rFonts w:ascii="Times New Roman" w:hAnsi="Times New Roman"/>
                <w:b w:val="0"/>
                <w:bCs/>
                <w:color w:val="auto"/>
              </w:rPr>
              <w:t>土壤各项监测因子均满足《土壤环境质量 建设用地土壤污染风险管控标准（试行）》（GB36600-2018）中第二类</w:t>
            </w:r>
            <w:r>
              <w:rPr>
                <w:rFonts w:hint="eastAsia" w:ascii="Times New Roman" w:hAnsi="Times New Roman"/>
                <w:b w:val="0"/>
                <w:bCs/>
                <w:color w:val="auto"/>
              </w:rPr>
              <w:t>用地</w:t>
            </w:r>
            <w:r>
              <w:rPr>
                <w:rFonts w:ascii="Times New Roman" w:hAnsi="Times New Roman"/>
                <w:b w:val="0"/>
                <w:bCs/>
                <w:color w:val="auto"/>
              </w:rPr>
              <w:t>筛选值</w:t>
            </w:r>
            <w:r>
              <w:rPr>
                <w:rFonts w:hint="eastAsia" w:ascii="Times New Roman" w:hAnsi="Times New Roman"/>
                <w:b w:val="0"/>
                <w:bCs/>
                <w:color w:val="auto"/>
              </w:rPr>
              <w:t>，占地范围外耕地土壤各项监测因子均满足</w:t>
            </w:r>
            <w:r>
              <w:rPr>
                <w:rFonts w:ascii="Times New Roman" w:hAnsi="Times New Roman"/>
                <w:b w:val="0"/>
                <w:bCs/>
                <w:color w:val="auto"/>
              </w:rPr>
              <w:t>《土壤环境质量 农用地土壤污染风险管控标准（试行）》（GB 15618-2018）中农用地</w:t>
            </w:r>
            <w:r>
              <w:rPr>
                <w:rFonts w:hint="eastAsia" w:ascii="Times New Roman" w:hAnsi="Times New Roman"/>
                <w:b w:val="0"/>
                <w:bCs/>
                <w:color w:val="auto"/>
              </w:rPr>
              <w:t>土壤污染风险</w:t>
            </w:r>
            <w:r>
              <w:rPr>
                <w:rFonts w:ascii="Times New Roman" w:hAnsi="Times New Roman"/>
                <w:b w:val="0"/>
                <w:bCs/>
                <w:color w:val="auto"/>
              </w:rPr>
              <w:t>筛选值。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70" w:hRule="atLeast"/>
        </w:trPr>
        <w:tc>
          <w:tcPr>
            <w:tcW w:w="254" w:type="pct"/>
            <w:vAlign w:val="center"/>
          </w:tcPr>
          <w:p>
            <w:pPr>
              <w:adjustRightInd w:val="0"/>
              <w:snapToGrid w:val="0"/>
              <w:jc w:val="both"/>
              <w:rPr>
                <w:rFonts w:ascii="Times New Roman" w:hAnsi="Times New Roman"/>
                <w:color w:val="auto"/>
                <w:kern w:val="0"/>
                <w:sz w:val="24"/>
              </w:rPr>
            </w:pPr>
            <w:r>
              <w:rPr>
                <w:rFonts w:ascii="Times New Roman" w:hAnsi="Times New Roman"/>
                <w:bCs/>
                <w:color w:val="auto"/>
                <w:sz w:val="24"/>
              </w:rPr>
              <w:t>与项目有关的原有环境污染和生态破坏问题</w:t>
            </w:r>
          </w:p>
        </w:tc>
        <w:tc>
          <w:tcPr>
            <w:tcW w:w="4745" w:type="pct"/>
            <w:vAlign w:val="center"/>
          </w:tcPr>
          <w:p>
            <w:pPr>
              <w:pStyle w:val="74"/>
              <w:adjustRightInd w:val="0"/>
              <w:snapToGrid w:val="0"/>
              <w:spacing w:line="500" w:lineRule="exact"/>
              <w:ind w:firstLine="482" w:firstLineChars="0"/>
              <w:jc w:val="both"/>
              <w:outlineLvl w:val="9"/>
              <w:rPr>
                <w:color w:val="auto"/>
              </w:rPr>
            </w:pPr>
            <w:bookmarkStart w:id="8" w:name="_Hlk64748666"/>
            <w:r>
              <w:rPr>
                <w:rFonts w:ascii="Times New Roman" w:hAnsi="Times New Roman"/>
                <w:color w:val="auto"/>
              </w:rPr>
              <w:t>1. 春光油田春2井区开发现状环</w:t>
            </w:r>
            <w:r>
              <w:rPr>
                <w:color w:val="auto"/>
              </w:rPr>
              <w:t>保手续履行情况</w:t>
            </w:r>
          </w:p>
          <w:bookmarkEnd w:id="8"/>
          <w:p>
            <w:pPr>
              <w:pStyle w:val="74"/>
              <w:adjustRightInd w:val="0"/>
              <w:snapToGrid w:val="0"/>
              <w:spacing w:line="500" w:lineRule="exact"/>
              <w:ind w:firstLine="480"/>
              <w:rPr>
                <w:rFonts w:ascii="Times New Roman" w:hAnsi="Times New Roman"/>
                <w:b w:val="0"/>
                <w:bCs/>
                <w:color w:val="auto"/>
                <w:lang w:eastAsia="zh-Hans"/>
              </w:rPr>
            </w:pPr>
            <w:r>
              <w:rPr>
                <w:rFonts w:ascii="Times New Roman" w:hAnsi="Times New Roman"/>
                <w:b w:val="0"/>
                <w:bCs/>
                <w:color w:val="auto"/>
              </w:rPr>
              <w:t>相关环保手续履行情况及建设情况</w:t>
            </w:r>
            <w:r>
              <w:rPr>
                <w:rFonts w:ascii="Times New Roman" w:hAnsi="Times New Roman"/>
                <w:b w:val="0"/>
                <w:bCs/>
                <w:color w:val="auto"/>
                <w:lang w:eastAsia="zh-Hans"/>
              </w:rPr>
              <w:t>见表</w:t>
            </w:r>
            <w:r>
              <w:rPr>
                <w:rFonts w:ascii="Times New Roman" w:hAnsi="Times New Roman"/>
                <w:b w:val="0"/>
                <w:bCs/>
                <w:color w:val="auto"/>
              </w:rPr>
              <w:t>3-1</w:t>
            </w:r>
            <w:r>
              <w:rPr>
                <w:rFonts w:hint="eastAsia" w:ascii="Times New Roman" w:hAnsi="Times New Roman"/>
                <w:b w:val="0"/>
                <w:bCs/>
                <w:color w:val="auto"/>
              </w:rPr>
              <w:t>4</w:t>
            </w:r>
            <w:r>
              <w:rPr>
                <w:rFonts w:ascii="Times New Roman" w:hAnsi="Times New Roman"/>
                <w:b w:val="0"/>
                <w:bCs/>
                <w:color w:val="auto"/>
                <w:lang w:eastAsia="zh-Hans"/>
              </w:rPr>
              <w:t>所示</w:t>
            </w:r>
            <w:r>
              <w:rPr>
                <w:rFonts w:ascii="Times New Roman" w:hAnsi="Times New Roman"/>
                <w:b w:val="0"/>
                <w:bCs/>
                <w:color w:val="auto"/>
              </w:rPr>
              <w:t>，现有项目环评批复</w:t>
            </w:r>
            <w:r>
              <w:rPr>
                <w:rFonts w:hint="eastAsia" w:ascii="Times New Roman" w:hAnsi="Times New Roman"/>
                <w:b w:val="0"/>
                <w:bCs/>
                <w:color w:val="auto"/>
              </w:rPr>
              <w:t>及验收意见</w:t>
            </w:r>
            <w:r>
              <w:rPr>
                <w:rFonts w:ascii="Times New Roman" w:hAnsi="Times New Roman"/>
                <w:b w:val="0"/>
                <w:bCs/>
                <w:color w:val="auto"/>
              </w:rPr>
              <w:t>见附件4</w:t>
            </w:r>
            <w:r>
              <w:rPr>
                <w:rFonts w:ascii="Times New Roman" w:hAnsi="Times New Roman"/>
                <w:b w:val="0"/>
                <w:bCs/>
                <w:color w:val="auto"/>
                <w:lang w:eastAsia="zh-Hans"/>
              </w:rPr>
              <w:t>。</w:t>
            </w:r>
          </w:p>
          <w:p>
            <w:pPr>
              <w:adjustRightInd w:val="0"/>
              <w:snapToGrid w:val="0"/>
              <w:ind w:firstLine="422" w:firstLineChars="200"/>
              <w:jc w:val="center"/>
              <w:rPr>
                <w:rFonts w:ascii="Times New Roman" w:hAnsi="Times New Roman"/>
                <w:b/>
                <w:bCs/>
                <w:color w:val="auto"/>
              </w:rPr>
            </w:pPr>
            <w:r>
              <w:rPr>
                <w:rFonts w:ascii="Times New Roman" w:hAnsi="Times New Roman"/>
                <w:b/>
                <w:bCs/>
                <w:color w:val="auto"/>
              </w:rPr>
              <w:t>表3-1</w:t>
            </w:r>
            <w:r>
              <w:rPr>
                <w:rFonts w:hint="eastAsia" w:ascii="Times New Roman" w:hAnsi="Times New Roman"/>
                <w:b/>
                <w:bCs/>
                <w:color w:val="auto"/>
              </w:rPr>
              <w:t>4</w:t>
            </w:r>
            <w:r>
              <w:rPr>
                <w:rFonts w:ascii="Times New Roman" w:hAnsi="Times New Roman"/>
                <w:b/>
                <w:bCs/>
                <w:color w:val="auto"/>
              </w:rPr>
              <w:t xml:space="preserve">    春2井区环保手续履行情况一览表</w:t>
            </w:r>
          </w:p>
          <w:tbl>
            <w:tblPr>
              <w:tblStyle w:val="3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076"/>
              <w:gridCol w:w="1744"/>
              <w:gridCol w:w="2397"/>
              <w:gridCol w:w="206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53" w:type="pct"/>
                  <w:shd w:val="clear" w:color="auto" w:fill="auto"/>
                  <w:vAlign w:val="center"/>
                </w:tcPr>
                <w:p>
                  <w:pPr>
                    <w:jc w:val="center"/>
                    <w:rPr>
                      <w:rFonts w:ascii="Times New Roman" w:hAnsi="Times New Roman"/>
                      <w:color w:val="auto"/>
                    </w:rPr>
                  </w:pPr>
                  <w:r>
                    <w:rPr>
                      <w:rFonts w:ascii="Times New Roman" w:hAnsi="Times New Roman"/>
                      <w:color w:val="auto"/>
                    </w:rPr>
                    <w:t>项目名称</w:t>
                  </w:r>
                </w:p>
              </w:tc>
              <w:tc>
                <w:tcPr>
                  <w:tcW w:w="1053" w:type="pct"/>
                  <w:shd w:val="clear" w:color="auto" w:fill="auto"/>
                  <w:vAlign w:val="center"/>
                </w:tcPr>
                <w:p>
                  <w:pPr>
                    <w:jc w:val="center"/>
                    <w:rPr>
                      <w:rFonts w:ascii="Times New Roman" w:hAnsi="Times New Roman"/>
                      <w:color w:val="auto"/>
                    </w:rPr>
                  </w:pPr>
                  <w:r>
                    <w:rPr>
                      <w:rFonts w:ascii="Times New Roman" w:hAnsi="Times New Roman"/>
                      <w:color w:val="auto"/>
                    </w:rPr>
                    <w:t>批复文号</w:t>
                  </w:r>
                </w:p>
              </w:tc>
              <w:tc>
                <w:tcPr>
                  <w:tcW w:w="1447" w:type="pct"/>
                  <w:shd w:val="clear" w:color="auto" w:fill="auto"/>
                  <w:vAlign w:val="center"/>
                </w:tcPr>
                <w:p>
                  <w:pPr>
                    <w:jc w:val="center"/>
                    <w:rPr>
                      <w:rFonts w:ascii="Times New Roman" w:hAnsi="Times New Roman"/>
                      <w:color w:val="auto"/>
                    </w:rPr>
                  </w:pPr>
                  <w:r>
                    <w:rPr>
                      <w:rFonts w:ascii="Times New Roman" w:hAnsi="Times New Roman"/>
                      <w:color w:val="auto"/>
                    </w:rPr>
                    <w:t>建设内容</w:t>
                  </w:r>
                </w:p>
              </w:tc>
              <w:tc>
                <w:tcPr>
                  <w:tcW w:w="1247" w:type="pct"/>
                  <w:shd w:val="clear" w:color="auto" w:fill="auto"/>
                  <w:vAlign w:val="center"/>
                </w:tcPr>
                <w:p>
                  <w:pPr>
                    <w:jc w:val="center"/>
                    <w:rPr>
                      <w:rFonts w:ascii="Times New Roman" w:hAnsi="Times New Roman"/>
                      <w:color w:val="auto"/>
                    </w:rPr>
                  </w:pPr>
                  <w:r>
                    <w:rPr>
                      <w:rFonts w:ascii="Times New Roman" w:hAnsi="Times New Roman"/>
                      <w:color w:val="auto"/>
                    </w:rPr>
                    <w:t>验收时间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53" w:type="pct"/>
                  <w:shd w:val="clear" w:color="auto" w:fill="auto"/>
                  <w:vAlign w:val="center"/>
                </w:tcPr>
                <w:p>
                  <w:pPr>
                    <w:jc w:val="center"/>
                    <w:rPr>
                      <w:rFonts w:ascii="Times New Roman" w:hAnsi="Times New Roman"/>
                      <w:color w:val="auto"/>
                    </w:rPr>
                  </w:pPr>
                  <w:r>
                    <w:rPr>
                      <w:rFonts w:ascii="Times New Roman" w:hAnsi="Times New Roman"/>
                      <w:color w:val="auto"/>
                    </w:rPr>
                    <w:t>春光油田春光区块春2-02号、春2-04号、春2-05号、春2-605号采油井项目</w:t>
                  </w:r>
                </w:p>
              </w:tc>
              <w:tc>
                <w:tcPr>
                  <w:tcW w:w="1053" w:type="pct"/>
                  <w:shd w:val="clear" w:color="auto" w:fill="auto"/>
                  <w:vAlign w:val="center"/>
                </w:tcPr>
                <w:p>
                  <w:pPr>
                    <w:jc w:val="center"/>
                    <w:rPr>
                      <w:rFonts w:ascii="Times New Roman" w:hAnsi="Times New Roman"/>
                      <w:color w:val="auto"/>
                    </w:rPr>
                  </w:pPr>
                  <w:r>
                    <w:rPr>
                      <w:rFonts w:ascii="Times New Roman" w:hAnsi="Times New Roman"/>
                      <w:color w:val="auto"/>
                    </w:rPr>
                    <w:t>师市环审〔2020〕150号</w:t>
                  </w:r>
                </w:p>
              </w:tc>
              <w:tc>
                <w:tcPr>
                  <w:tcW w:w="1447" w:type="pct"/>
                  <w:shd w:val="clear" w:color="auto" w:fill="auto"/>
                  <w:vAlign w:val="center"/>
                </w:tcPr>
                <w:p>
                  <w:pPr>
                    <w:jc w:val="center"/>
                    <w:rPr>
                      <w:rFonts w:ascii="Times New Roman" w:hAnsi="Times New Roman"/>
                      <w:color w:val="auto"/>
                    </w:rPr>
                  </w:pPr>
                  <w:r>
                    <w:rPr>
                      <w:rFonts w:ascii="Times New Roman" w:hAnsi="Times New Roman"/>
                      <w:color w:val="auto"/>
                    </w:rPr>
                    <w:t>钻井总进尺4214m，预计4口井新建产能21.1t/d，累计4口井采油25419t</w:t>
                  </w:r>
                </w:p>
              </w:tc>
              <w:tc>
                <w:tcPr>
                  <w:tcW w:w="1247" w:type="pct"/>
                  <w:shd w:val="clear" w:color="auto" w:fill="auto"/>
                  <w:vAlign w:val="center"/>
                </w:tcPr>
                <w:p>
                  <w:pPr>
                    <w:jc w:val="center"/>
                    <w:rPr>
                      <w:rFonts w:ascii="Times New Roman" w:hAnsi="Times New Roman"/>
                      <w:color w:val="auto"/>
                    </w:rPr>
                  </w:pPr>
                  <w:r>
                    <w:rPr>
                      <w:rFonts w:ascii="Times New Roman" w:hAnsi="Times New Roman"/>
                      <w:color w:val="auto"/>
                    </w:rPr>
                    <w:t>2021.7.29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53" w:type="pct"/>
                  <w:shd w:val="clear" w:color="auto" w:fill="auto"/>
                  <w:vAlign w:val="center"/>
                </w:tcPr>
                <w:p>
                  <w:pPr>
                    <w:jc w:val="center"/>
                    <w:rPr>
                      <w:rFonts w:ascii="Times New Roman" w:hAnsi="Times New Roman"/>
                      <w:color w:val="auto"/>
                    </w:rPr>
                  </w:pPr>
                  <w:r>
                    <w:rPr>
                      <w:rFonts w:ascii="Times New Roman" w:hAnsi="Times New Roman"/>
                      <w:color w:val="auto"/>
                    </w:rPr>
                    <w:t>春光油田春光区块排2-184号、春2-03号、春2-604号采油井工程</w:t>
                  </w:r>
                </w:p>
              </w:tc>
              <w:tc>
                <w:tcPr>
                  <w:tcW w:w="1053" w:type="pct"/>
                  <w:shd w:val="clear" w:color="auto" w:fill="auto"/>
                  <w:vAlign w:val="center"/>
                </w:tcPr>
                <w:p>
                  <w:pPr>
                    <w:jc w:val="center"/>
                    <w:rPr>
                      <w:rFonts w:ascii="Times New Roman" w:hAnsi="Times New Roman"/>
                      <w:color w:val="auto"/>
                    </w:rPr>
                  </w:pPr>
                  <w:r>
                    <w:rPr>
                      <w:rFonts w:ascii="Times New Roman" w:hAnsi="Times New Roman"/>
                      <w:color w:val="auto"/>
                    </w:rPr>
                    <w:t>师市环审〔2020〕82号</w:t>
                  </w:r>
                </w:p>
              </w:tc>
              <w:tc>
                <w:tcPr>
                  <w:tcW w:w="1447" w:type="pct"/>
                  <w:shd w:val="clear" w:color="auto" w:fill="auto"/>
                  <w:vAlign w:val="center"/>
                </w:tcPr>
                <w:p>
                  <w:pPr>
                    <w:jc w:val="center"/>
                    <w:rPr>
                      <w:rFonts w:ascii="Times New Roman" w:hAnsi="Times New Roman"/>
                      <w:color w:val="auto"/>
                    </w:rPr>
                  </w:pPr>
                  <w:r>
                    <w:rPr>
                      <w:rFonts w:ascii="Times New Roman" w:hAnsi="Times New Roman"/>
                      <w:color w:val="auto"/>
                    </w:rPr>
                    <w:t>项目钻井总进尺3050m，预计3口井新建产能6680t/a，预测期10年末累计3口井采油25800t</w:t>
                  </w:r>
                </w:p>
              </w:tc>
              <w:tc>
                <w:tcPr>
                  <w:tcW w:w="1247" w:type="pct"/>
                  <w:shd w:val="clear" w:color="auto" w:fill="auto"/>
                  <w:vAlign w:val="center"/>
                </w:tcPr>
                <w:p>
                  <w:pPr>
                    <w:jc w:val="center"/>
                    <w:rPr>
                      <w:rFonts w:ascii="Times New Roman" w:hAnsi="Times New Roman"/>
                      <w:color w:val="auto"/>
                    </w:rPr>
                  </w:pPr>
                  <w:r>
                    <w:rPr>
                      <w:rFonts w:ascii="Times New Roman" w:hAnsi="Times New Roman"/>
                      <w:color w:val="auto"/>
                    </w:rPr>
                    <w:t>2021.</w:t>
                  </w:r>
                  <w:r>
                    <w:rPr>
                      <w:rFonts w:hint="eastAsia" w:ascii="Times New Roman" w:hAnsi="Times New Roman"/>
                      <w:color w:val="auto"/>
                    </w:rPr>
                    <w:t>1.19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53" w:type="pct"/>
                  <w:shd w:val="clear" w:color="auto" w:fill="auto"/>
                  <w:vAlign w:val="center"/>
                </w:tcPr>
                <w:p>
                  <w:pPr>
                    <w:jc w:val="center"/>
                    <w:rPr>
                      <w:rFonts w:ascii="Times New Roman" w:hAnsi="Times New Roman"/>
                      <w:color w:val="auto"/>
                    </w:rPr>
                  </w:pPr>
                  <w:r>
                    <w:rPr>
                      <w:rFonts w:ascii="Times New Roman" w:hAnsi="Times New Roman"/>
                      <w:color w:val="auto"/>
                    </w:rPr>
                    <w:t>春光油田春光区块春121号、春163E号、春154</w:t>
                  </w:r>
                  <w:r>
                    <w:rPr>
                      <w:rFonts w:hint="eastAsia" w:ascii="Times New Roman" w:hAnsi="Times New Roman"/>
                      <w:color w:val="auto"/>
                    </w:rPr>
                    <w:t>E</w:t>
                  </w:r>
                  <w:r>
                    <w:rPr>
                      <w:rFonts w:ascii="Times New Roman" w:hAnsi="Times New Roman"/>
                      <w:color w:val="auto"/>
                    </w:rPr>
                    <w:t>-1号勘探井项目</w:t>
                  </w:r>
                </w:p>
              </w:tc>
              <w:tc>
                <w:tcPr>
                  <w:tcW w:w="1053" w:type="pct"/>
                  <w:shd w:val="clear" w:color="auto" w:fill="auto"/>
                  <w:vAlign w:val="center"/>
                </w:tcPr>
                <w:p>
                  <w:pPr>
                    <w:jc w:val="center"/>
                    <w:rPr>
                      <w:rFonts w:ascii="Times New Roman" w:hAnsi="Times New Roman"/>
                      <w:color w:val="auto"/>
                    </w:rPr>
                  </w:pPr>
                  <w:r>
                    <w:rPr>
                      <w:rFonts w:ascii="Times New Roman" w:hAnsi="Times New Roman"/>
                      <w:color w:val="auto"/>
                    </w:rPr>
                    <w:t>师环审〔2017〕188号</w:t>
                  </w:r>
                </w:p>
              </w:tc>
              <w:tc>
                <w:tcPr>
                  <w:tcW w:w="1447" w:type="pct"/>
                  <w:shd w:val="clear" w:color="auto" w:fill="auto"/>
                  <w:vAlign w:val="center"/>
                </w:tcPr>
                <w:p>
                  <w:pPr>
                    <w:jc w:val="center"/>
                    <w:rPr>
                      <w:rFonts w:ascii="Times New Roman" w:hAnsi="Times New Roman"/>
                      <w:color w:val="auto"/>
                    </w:rPr>
                  </w:pPr>
                  <w:r>
                    <w:rPr>
                      <w:rFonts w:ascii="Times New Roman" w:hAnsi="Times New Roman"/>
                      <w:color w:val="auto"/>
                    </w:rPr>
                    <w:t>井场位于123团8连，钻井深度1142m</w:t>
                  </w:r>
                </w:p>
              </w:tc>
              <w:tc>
                <w:tcPr>
                  <w:tcW w:w="1247" w:type="pct"/>
                  <w:shd w:val="clear" w:color="auto" w:fill="auto"/>
                  <w:vAlign w:val="center"/>
                </w:tcPr>
                <w:p>
                  <w:pPr>
                    <w:jc w:val="center"/>
                    <w:rPr>
                      <w:rFonts w:ascii="Times New Roman" w:hAnsi="Times New Roman"/>
                      <w:color w:val="auto"/>
                    </w:rPr>
                  </w:pPr>
                  <w:r>
                    <w:rPr>
                      <w:rFonts w:ascii="Times New Roman" w:hAnsi="Times New Roman"/>
                      <w:color w:val="auto"/>
                    </w:rPr>
                    <w:t>2018.</w:t>
                  </w:r>
                  <w:r>
                    <w:rPr>
                      <w:rFonts w:hint="eastAsia" w:ascii="Times New Roman" w:hAnsi="Times New Roman"/>
                      <w:color w:val="auto"/>
                    </w:rPr>
                    <w:t>12.8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53" w:type="pct"/>
                  <w:shd w:val="clear" w:color="auto" w:fill="auto"/>
                  <w:vAlign w:val="center"/>
                </w:tcPr>
                <w:p>
                  <w:pPr>
                    <w:jc w:val="center"/>
                    <w:rPr>
                      <w:rFonts w:ascii="Times New Roman" w:hAnsi="Times New Roman"/>
                      <w:color w:val="auto"/>
                    </w:rPr>
                  </w:pPr>
                  <w:r>
                    <w:rPr>
                      <w:rFonts w:ascii="Times New Roman" w:hAnsi="Times New Roman"/>
                      <w:color w:val="auto"/>
                    </w:rPr>
                    <w:t>春光油田春光区块春99-1号、春149E号、春154E号、春92-3号勘探井项目</w:t>
                  </w:r>
                </w:p>
              </w:tc>
              <w:tc>
                <w:tcPr>
                  <w:tcW w:w="1053" w:type="pct"/>
                  <w:shd w:val="clear" w:color="auto" w:fill="auto"/>
                  <w:vAlign w:val="center"/>
                </w:tcPr>
                <w:p>
                  <w:pPr>
                    <w:jc w:val="center"/>
                    <w:rPr>
                      <w:rFonts w:ascii="Times New Roman" w:hAnsi="Times New Roman"/>
                      <w:color w:val="auto"/>
                    </w:rPr>
                  </w:pPr>
                  <w:r>
                    <w:rPr>
                      <w:rFonts w:ascii="Times New Roman" w:hAnsi="Times New Roman"/>
                      <w:color w:val="auto"/>
                    </w:rPr>
                    <w:t>师环审〔2017〕24号</w:t>
                  </w:r>
                </w:p>
              </w:tc>
              <w:tc>
                <w:tcPr>
                  <w:tcW w:w="1447" w:type="pct"/>
                  <w:shd w:val="clear" w:color="auto" w:fill="auto"/>
                  <w:vAlign w:val="center"/>
                </w:tcPr>
                <w:p>
                  <w:pPr>
                    <w:jc w:val="center"/>
                    <w:rPr>
                      <w:rFonts w:ascii="Times New Roman" w:hAnsi="Times New Roman"/>
                      <w:color w:val="auto"/>
                    </w:rPr>
                  </w:pPr>
                  <w:r>
                    <w:rPr>
                      <w:rFonts w:ascii="Times New Roman" w:hAnsi="Times New Roman"/>
                      <w:color w:val="auto"/>
                    </w:rPr>
                    <w:t>春99-1号井位于123团4连，钻井深度1026m</w:t>
                  </w:r>
                </w:p>
              </w:tc>
              <w:tc>
                <w:tcPr>
                  <w:tcW w:w="1247" w:type="pct"/>
                  <w:shd w:val="clear" w:color="auto" w:fill="auto"/>
                  <w:vAlign w:val="center"/>
                </w:tcPr>
                <w:p>
                  <w:pPr>
                    <w:jc w:val="center"/>
                    <w:rPr>
                      <w:rFonts w:ascii="Times New Roman" w:hAnsi="Times New Roman"/>
                      <w:color w:val="auto"/>
                    </w:rPr>
                  </w:pPr>
                  <w:r>
                    <w:rPr>
                      <w:rFonts w:ascii="Times New Roman" w:hAnsi="Times New Roman"/>
                      <w:color w:val="auto"/>
                    </w:rPr>
                    <w:t>2018.</w:t>
                  </w:r>
                  <w:r>
                    <w:rPr>
                      <w:rFonts w:hint="eastAsia" w:ascii="Times New Roman" w:hAnsi="Times New Roman"/>
                      <w:color w:val="auto"/>
                    </w:rPr>
                    <w:t>12.8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82" w:hRule="atLeast"/>
                <w:jc w:val="center"/>
              </w:trPr>
              <w:tc>
                <w:tcPr>
                  <w:tcW w:w="1253" w:type="pct"/>
                  <w:shd w:val="clear" w:color="auto" w:fill="auto"/>
                  <w:vAlign w:val="center"/>
                </w:tcPr>
                <w:p>
                  <w:pPr>
                    <w:jc w:val="center"/>
                    <w:rPr>
                      <w:rFonts w:ascii="Times New Roman" w:hAnsi="Times New Roman"/>
                      <w:color w:val="auto"/>
                    </w:rPr>
                  </w:pPr>
                  <w:r>
                    <w:rPr>
                      <w:rFonts w:ascii="Times New Roman" w:hAnsi="Times New Roman"/>
                      <w:color w:val="auto"/>
                    </w:rPr>
                    <w:t>准噶尔盆地春光油田排2外围滚动开发产能建设工程</w:t>
                  </w:r>
                </w:p>
              </w:tc>
              <w:tc>
                <w:tcPr>
                  <w:tcW w:w="1053" w:type="pct"/>
                  <w:shd w:val="clear" w:color="auto" w:fill="auto"/>
                  <w:vAlign w:val="center"/>
                </w:tcPr>
                <w:p>
                  <w:pPr>
                    <w:jc w:val="center"/>
                    <w:rPr>
                      <w:rFonts w:ascii="Times New Roman" w:hAnsi="Times New Roman"/>
                      <w:color w:val="auto"/>
                    </w:rPr>
                  </w:pPr>
                  <w:r>
                    <w:rPr>
                      <w:rFonts w:ascii="Times New Roman" w:hAnsi="Times New Roman"/>
                      <w:color w:val="auto"/>
                    </w:rPr>
                    <w:t>兵环审〔2008〕10号</w:t>
                  </w:r>
                </w:p>
              </w:tc>
              <w:tc>
                <w:tcPr>
                  <w:tcW w:w="1447" w:type="pct"/>
                  <w:shd w:val="clear" w:color="auto" w:fill="auto"/>
                  <w:vAlign w:val="center"/>
                </w:tcPr>
                <w:p>
                  <w:pPr>
                    <w:jc w:val="center"/>
                    <w:rPr>
                      <w:rFonts w:ascii="Times New Roman" w:hAnsi="Times New Roman"/>
                      <w:color w:val="auto"/>
                    </w:rPr>
                  </w:pPr>
                  <w:r>
                    <w:rPr>
                      <w:rFonts w:ascii="Times New Roman" w:hAnsi="Times New Roman"/>
                      <w:color w:val="auto"/>
                    </w:rPr>
                    <w:t>春2-平1X /春2/春2-6-平1/春2-6/排19-3</w:t>
                  </w:r>
                </w:p>
              </w:tc>
              <w:tc>
                <w:tcPr>
                  <w:tcW w:w="1247" w:type="pct"/>
                  <w:shd w:val="clear" w:color="auto" w:fill="auto"/>
                  <w:vAlign w:val="center"/>
                </w:tcPr>
                <w:p>
                  <w:pPr>
                    <w:jc w:val="center"/>
                    <w:rPr>
                      <w:rFonts w:ascii="Times New Roman" w:hAnsi="Times New Roman"/>
                      <w:color w:val="auto"/>
                    </w:rPr>
                  </w:pPr>
                  <w:r>
                    <w:rPr>
                      <w:rFonts w:ascii="Times New Roman" w:hAnsi="Times New Roman"/>
                      <w:color w:val="auto"/>
                    </w:rPr>
                    <w:t>2008.12.12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253" w:type="pct"/>
                  <w:shd w:val="clear" w:color="auto" w:fill="auto"/>
                  <w:vAlign w:val="center"/>
                </w:tcPr>
                <w:p>
                  <w:pPr>
                    <w:jc w:val="center"/>
                    <w:rPr>
                      <w:rFonts w:ascii="Times New Roman" w:hAnsi="Times New Roman"/>
                      <w:color w:val="auto"/>
                    </w:rPr>
                  </w:pPr>
                  <w:r>
                    <w:rPr>
                      <w:rFonts w:ascii="Times New Roman" w:hAnsi="Times New Roman"/>
                      <w:color w:val="auto"/>
                    </w:rPr>
                    <w:t>春光油田春光区块春2-603号和排8-6X1号采油井工程</w:t>
                  </w:r>
                </w:p>
              </w:tc>
              <w:tc>
                <w:tcPr>
                  <w:tcW w:w="1053" w:type="pct"/>
                  <w:shd w:val="clear" w:color="auto" w:fill="auto"/>
                  <w:vAlign w:val="center"/>
                </w:tcPr>
                <w:p>
                  <w:pPr>
                    <w:jc w:val="center"/>
                    <w:rPr>
                      <w:rFonts w:ascii="Times New Roman" w:hAnsi="Times New Roman"/>
                      <w:color w:val="auto"/>
                    </w:rPr>
                  </w:pPr>
                  <w:r>
                    <w:rPr>
                      <w:rFonts w:ascii="Times New Roman" w:hAnsi="Times New Roman"/>
                      <w:color w:val="auto"/>
                    </w:rPr>
                    <w:t>师环审〔2018〕174号</w:t>
                  </w:r>
                </w:p>
              </w:tc>
              <w:tc>
                <w:tcPr>
                  <w:tcW w:w="1447" w:type="pct"/>
                  <w:shd w:val="clear" w:color="auto" w:fill="auto"/>
                  <w:vAlign w:val="center"/>
                </w:tcPr>
                <w:p>
                  <w:pPr>
                    <w:jc w:val="center"/>
                    <w:rPr>
                      <w:rFonts w:ascii="Times New Roman" w:hAnsi="Times New Roman"/>
                      <w:color w:val="auto"/>
                    </w:rPr>
                  </w:pPr>
                  <w:r>
                    <w:rPr>
                      <w:rFonts w:ascii="Times New Roman" w:hAnsi="Times New Roman"/>
                      <w:color w:val="auto"/>
                    </w:rPr>
                    <w:t>春2-603位于123团试验站境内，钻井深度1104m</w:t>
                  </w:r>
                </w:p>
              </w:tc>
              <w:tc>
                <w:tcPr>
                  <w:tcW w:w="1247" w:type="pct"/>
                  <w:shd w:val="clear" w:color="auto" w:fill="auto"/>
                  <w:vAlign w:val="center"/>
                </w:tcPr>
                <w:p>
                  <w:pPr>
                    <w:jc w:val="center"/>
                    <w:rPr>
                      <w:rFonts w:ascii="Times New Roman" w:hAnsi="Times New Roman"/>
                      <w:color w:val="auto"/>
                    </w:rPr>
                  </w:pPr>
                  <w:r>
                    <w:rPr>
                      <w:rFonts w:ascii="Times New Roman" w:hAnsi="Times New Roman"/>
                      <w:color w:val="auto"/>
                    </w:rPr>
                    <w:t>2019.9.2</w:t>
                  </w:r>
                  <w:r>
                    <w:rPr>
                      <w:rFonts w:hint="eastAsia" w:ascii="Times New Roman" w:hAnsi="Times New Roman"/>
                      <w:color w:val="auto"/>
                    </w:rPr>
                    <w:t>5</w:t>
                  </w:r>
                </w:p>
              </w:tc>
            </w:tr>
          </w:tbl>
          <w:p>
            <w:pPr>
              <w:pStyle w:val="74"/>
              <w:numPr>
                <w:ilvl w:val="0"/>
                <w:numId w:val="6"/>
              </w:numPr>
              <w:adjustRightInd w:val="0"/>
              <w:snapToGrid w:val="0"/>
              <w:spacing w:before="120" w:beforeLines="50" w:line="360" w:lineRule="auto"/>
              <w:ind w:firstLine="482"/>
              <w:outlineLvl w:val="9"/>
              <w:rPr>
                <w:rFonts w:ascii="Times New Roman" w:hAnsi="Times New Roman"/>
                <w:color w:val="auto"/>
              </w:rPr>
            </w:pPr>
            <w:r>
              <w:rPr>
                <w:rFonts w:hint="eastAsia" w:ascii="Times New Roman" w:hAnsi="Times New Roman"/>
                <w:color w:val="auto"/>
              </w:rPr>
              <w:t>现有工程情况</w:t>
            </w:r>
          </w:p>
          <w:p>
            <w:pPr>
              <w:pStyle w:val="74"/>
              <w:adjustRightInd w:val="0"/>
              <w:snapToGrid w:val="0"/>
              <w:spacing w:line="360" w:lineRule="auto"/>
              <w:ind w:firstLine="480"/>
              <w:outlineLvl w:val="9"/>
              <w:rPr>
                <w:rFonts w:ascii="Times New Roman" w:hAnsi="Times New Roman"/>
                <w:color w:val="auto"/>
                <w:szCs w:val="24"/>
              </w:rPr>
            </w:pPr>
            <w:r>
              <w:rPr>
                <w:rFonts w:ascii="Times New Roman" w:hAnsi="Times New Roman"/>
                <w:b w:val="0"/>
                <w:bCs/>
                <w:color w:val="auto"/>
              </w:rPr>
              <w:t>目前，春2井区春2区块投产井数1</w:t>
            </w:r>
            <w:r>
              <w:rPr>
                <w:rFonts w:hint="eastAsia" w:ascii="Times New Roman" w:hAnsi="Times New Roman"/>
                <w:b w:val="0"/>
                <w:bCs/>
                <w:color w:val="auto"/>
              </w:rPr>
              <w:t>3</w:t>
            </w:r>
            <w:r>
              <w:rPr>
                <w:rFonts w:ascii="Times New Roman" w:hAnsi="Times New Roman"/>
                <w:b w:val="0"/>
                <w:bCs/>
                <w:color w:val="auto"/>
              </w:rPr>
              <w:t>口，目前开井5口（春2-平1X、春2-02、春2-04、春2、春2-05）； 春2-6区块投产井数6口，目前开井6口（春2-6-平1、春2-6、春2-604、春163E、春2-603、春2-605）；春99区块投产井数2口，目前开井1口（春99-1）；排19-1区块投产井数3口，目前开井1口（排19-3）。</w:t>
            </w:r>
          </w:p>
          <w:p>
            <w:pPr>
              <w:pStyle w:val="74"/>
              <w:adjustRightInd w:val="0"/>
              <w:snapToGrid w:val="0"/>
              <w:spacing w:before="120" w:beforeLines="50" w:line="360" w:lineRule="auto"/>
              <w:ind w:left="420" w:leftChars="200" w:firstLine="0" w:firstLineChars="0"/>
              <w:outlineLvl w:val="9"/>
              <w:rPr>
                <w:rFonts w:ascii="Times New Roman" w:hAnsi="Times New Roman"/>
                <w:color w:val="auto"/>
                <w:szCs w:val="24"/>
              </w:rPr>
            </w:pPr>
            <w:r>
              <w:rPr>
                <w:rFonts w:hint="eastAsia" w:ascii="Times New Roman" w:hAnsi="Times New Roman"/>
                <w:color w:val="auto"/>
                <w:szCs w:val="24"/>
              </w:rPr>
              <w:t>3. 春光油田春2井区</w:t>
            </w:r>
            <w:r>
              <w:rPr>
                <w:rFonts w:ascii="Times New Roman" w:hAnsi="Times New Roman"/>
                <w:color w:val="auto"/>
                <w:szCs w:val="24"/>
              </w:rPr>
              <w:t>现有工程</w:t>
            </w:r>
            <w:r>
              <w:rPr>
                <w:rFonts w:hint="eastAsia" w:ascii="Times New Roman" w:hAnsi="Times New Roman"/>
                <w:color w:val="auto"/>
                <w:szCs w:val="24"/>
              </w:rPr>
              <w:t>污染物产生及排放情况</w:t>
            </w:r>
          </w:p>
          <w:p>
            <w:pPr>
              <w:spacing w:line="360" w:lineRule="auto"/>
              <w:ind w:firstLine="480" w:firstLineChars="200"/>
              <w:jc w:val="both"/>
              <w:rPr>
                <w:rFonts w:ascii="宋体" w:hAnsi="宋体"/>
                <w:color w:val="auto"/>
                <w:sz w:val="32"/>
              </w:rPr>
            </w:pPr>
            <w:r>
              <w:rPr>
                <w:rFonts w:ascii="Times New Roman" w:hAnsi="Times New Roman"/>
                <w:color w:val="auto"/>
                <w:sz w:val="24"/>
              </w:rPr>
              <w:t>根据</w:t>
            </w:r>
            <w:r>
              <w:rPr>
                <w:rFonts w:hint="eastAsia" w:ascii="Times New Roman" w:hAnsi="Times New Roman"/>
                <w:color w:val="auto"/>
                <w:sz w:val="24"/>
              </w:rPr>
              <w:t>《春光油田春光区块春2-02号、春2-04号、春2-05号、春2-605号采油井工程竣工环境保护验收调查表》、《春光油田春光区块排2-184号、春2-03号和春2-604号采油井工程竣工环境保护验收调查表》、《河南油田分公司新疆采油厂春光油田春光区块春121号、春163E、春154E-1号勘探井项目竣工环境保护验收调查表》、《河南油田分公司新疆采油厂春光油田春光区块春99-1 号、</w:t>
            </w:r>
          </w:p>
          <w:p>
            <w:pPr>
              <w:spacing w:line="360" w:lineRule="auto"/>
              <w:jc w:val="both"/>
              <w:rPr>
                <w:rFonts w:ascii="Times New Roman" w:hAnsi="Times New Roman"/>
                <w:color w:val="auto"/>
                <w:sz w:val="24"/>
              </w:rPr>
            </w:pPr>
            <w:r>
              <w:rPr>
                <w:rFonts w:hint="eastAsia" w:ascii="Times New Roman" w:hAnsi="Times New Roman"/>
                <w:color w:val="auto"/>
                <w:sz w:val="24"/>
              </w:rPr>
              <w:t>春149E号、春154E号、春92-3号勘探井项目竣工环境保护验收调查表》、《关于新疆准噶尔盆地春光油田排2外围滚动开发产能建设工程项目竣工环保验收的批复》、《春光油田春光区块春2-603号和排8-6X1号采油井建设工程项目竣工环境保护验收调查表》的验收意见表明，</w:t>
            </w:r>
            <w:r>
              <w:rPr>
                <w:rFonts w:ascii="Times New Roman" w:hAnsi="Times New Roman"/>
                <w:color w:val="auto"/>
                <w:sz w:val="24"/>
              </w:rPr>
              <w:t>现有项目所在区块未发现</w:t>
            </w:r>
            <w:r>
              <w:rPr>
                <w:rFonts w:hint="eastAsia" w:ascii="Times New Roman" w:hAnsi="Times New Roman"/>
                <w:color w:val="auto"/>
                <w:sz w:val="24"/>
              </w:rPr>
              <w:t>井喷、</w:t>
            </w:r>
            <w:r>
              <w:rPr>
                <w:rFonts w:ascii="Times New Roman" w:hAnsi="Times New Roman"/>
                <w:color w:val="auto"/>
                <w:sz w:val="24"/>
              </w:rPr>
              <w:t xml:space="preserve">油井、管线泄漏造成区域污染的现象。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（1）钻井工程环境保护措施落实情况</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钻井过程中的污染源主要来自钻井设备和钻井施工现场。废气主要来自大功率柴油机燃烧产生的废气及施工扬尘；废水主要为钻井废水；噪声设备主要包括钻井井场内的发电机、柴油机等大型设备；固体废物主要有钻井岩屑、钻井泥浆。此外，钻井队员和相关施工车辆活动会对施工范围内的土壤、植被的生态环境造成一定影响。钻井工程采取的环境保护措施基本达到预期设计要求，效果良好。</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（2）生态</w:t>
            </w:r>
            <w:r>
              <w:rPr>
                <w:rFonts w:hint="eastAsia" w:ascii="Times New Roman" w:hAnsi="Times New Roman"/>
                <w:color w:val="auto"/>
                <w:sz w:val="24"/>
              </w:rPr>
              <w:t>环境保护措施</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现有工程在建设和调试生产运行期间落实了环评中提出的各项生态环境保护措施。项目区占地类型为农田。井场范围未超过环评批复要求的作业范围，施工结束后，施工单位对临时占地进行了清理平整，油区内道路规范。根据对建设区域周围土壤环境的监测结果，各项监测指标均满足相关标准限值。</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（3）水</w:t>
            </w:r>
            <w:r>
              <w:rPr>
                <w:rFonts w:hint="eastAsia" w:ascii="Times New Roman" w:hAnsi="Times New Roman"/>
                <w:color w:val="auto"/>
                <w:sz w:val="24"/>
              </w:rPr>
              <w:t>污染防治措施</w:t>
            </w:r>
          </w:p>
          <w:p>
            <w:pPr>
              <w:spacing w:line="360" w:lineRule="auto"/>
              <w:ind w:firstLine="480" w:firstLineChars="200"/>
              <w:rPr>
                <w:rFonts w:ascii="Times New Roman" w:hAnsi="Times New Roman"/>
                <w:color w:val="auto"/>
                <w:sz w:val="24"/>
              </w:rPr>
            </w:pPr>
            <w:r>
              <w:rPr>
                <w:rFonts w:ascii="Times New Roman" w:hAnsi="Times New Roman"/>
                <w:color w:val="auto"/>
                <w:sz w:val="24"/>
              </w:rPr>
              <w:t>经调查，现有工程周围无地表水体。</w:t>
            </w:r>
            <w:r>
              <w:rPr>
                <w:rFonts w:hint="eastAsia" w:ascii="Times New Roman" w:hAnsi="Times New Roman"/>
                <w:color w:val="auto"/>
                <w:kern w:val="0"/>
                <w:sz w:val="24"/>
              </w:rPr>
              <w:t>生活污水集中在钻井队临时生活区化粪池内进行处理，施工结束后全部拉运至春光联合站进行处理。</w:t>
            </w:r>
            <w:r>
              <w:rPr>
                <w:rFonts w:ascii="Times New Roman" w:hAnsi="Times New Roman"/>
                <w:color w:val="auto"/>
                <w:kern w:val="0"/>
                <w:sz w:val="24"/>
              </w:rPr>
              <w:t>钻</w:t>
            </w:r>
            <w:r>
              <w:rPr>
                <w:rFonts w:ascii="Times New Roman" w:hAnsi="Times New Roman"/>
                <w:color w:val="auto"/>
                <w:sz w:val="24"/>
              </w:rPr>
              <w:t>井废水与钻井泥浆、岩屑一同进入不落地处理系统处理，处理后的液相全部回用于配备钻井液，不外排。钻井井场未发现遗留水环境问题。</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运营期的生产废水主要有采出水和井下作业废水等。采出水和井下作业废水经春光联合站污水处理系统处理达到《碎屑岩油藏注水水质指标及分析方法》（SY/T 5329-2012）中的有关标准后回注油层，无外排。</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（4）</w:t>
            </w:r>
            <w:r>
              <w:rPr>
                <w:rFonts w:hint="eastAsia" w:ascii="Times New Roman" w:hAnsi="Times New Roman"/>
                <w:color w:val="auto"/>
                <w:sz w:val="24"/>
              </w:rPr>
              <w:t>大气污染防治措施</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现有工程在施工期和调试运行期间落实了环评中提出的各项大气污染防治措施。现有工程运营期间的废气污染源为原油集输处理过程中无组织挥发的烃类。油田集输处理过程中由于阀门、法兰等连接处的泄漏等，会产生无组织挥发性烃类排放。</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根据环境空气质量现状监测数据表明，无组织排放的非甲烷总烃满足《陆</w:t>
            </w:r>
          </w:p>
          <w:p>
            <w:pPr>
              <w:adjustRightInd w:val="0"/>
              <w:snapToGrid w:val="0"/>
              <w:spacing w:line="360" w:lineRule="auto"/>
              <w:jc w:val="both"/>
              <w:rPr>
                <w:rFonts w:ascii="Times New Roman" w:hAnsi="Times New Roman"/>
                <w:color w:val="auto"/>
                <w:sz w:val="24"/>
              </w:rPr>
            </w:pPr>
            <w:r>
              <w:rPr>
                <w:rFonts w:ascii="Times New Roman" w:hAnsi="Times New Roman"/>
                <w:color w:val="auto"/>
                <w:sz w:val="24"/>
              </w:rPr>
              <w:t>上石油天然气开采工业大气污染物排放标准》（GB39728—2020）中企业边界污染物控制要求，现有工程对环境空气质量影响较小，在环境可接受范围内。</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（5）噪声</w:t>
            </w:r>
            <w:r>
              <w:rPr>
                <w:rFonts w:hint="eastAsia" w:ascii="Times New Roman" w:hAnsi="Times New Roman"/>
                <w:color w:val="auto"/>
                <w:sz w:val="24"/>
              </w:rPr>
              <w:t>污染防治措施</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现有工程在施工期和调试运行期间落实了环评中提出的各项噪声污染防治措施。井场噪声主要来自各种抽油机机泵产生的噪声，根据对生产井的噪声类比调查结果表明，生产井场界噪声均能满足《工业企业厂界环境噪声排放标准》（GB12348-2008）2类标准要求。</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（6）固体废物</w:t>
            </w:r>
            <w:r>
              <w:rPr>
                <w:rFonts w:hint="eastAsia" w:ascii="Times New Roman" w:hAnsi="Times New Roman"/>
                <w:color w:val="auto"/>
                <w:sz w:val="24"/>
              </w:rPr>
              <w:t>污染控制措施</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施工期产生的钻井泥浆和岩屑全部委托山东奥友环保工程有限公司进行不落地作业。运营期产生的含油污泥委托新疆锦恒利废矿物油处置有限公司进行回收处理。落地原油做到100%回收。现有工程</w:t>
            </w:r>
            <w:r>
              <w:rPr>
                <w:rFonts w:hint="eastAsia" w:ascii="Times New Roman" w:hAnsi="Times New Roman"/>
                <w:color w:val="auto"/>
                <w:sz w:val="24"/>
              </w:rPr>
              <w:t>生活垃圾集中堆放，定期清运至垃圾填埋场，由环卫部门进行统一处理。</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（7）环境管理</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现有工程按照环评和设计要求，针对工程的环境风险因素和可能产生的环境风险，制定了相应的风险防范措施。根据现场调查结果，现有工程的风险事故防范措施得到有效落实，到目前为止未发生环境风险事故。</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（8）综合结论</w:t>
            </w:r>
          </w:p>
          <w:p>
            <w:pPr>
              <w:adjustRightInd w:val="0"/>
              <w:snapToGrid w:val="0"/>
              <w:spacing w:line="360" w:lineRule="auto"/>
              <w:ind w:firstLine="480" w:firstLineChars="200"/>
              <w:jc w:val="both"/>
              <w:rPr>
                <w:color w:val="auto"/>
                <w:sz w:val="24"/>
              </w:rPr>
            </w:pPr>
            <w:r>
              <w:rPr>
                <w:color w:val="auto"/>
                <w:sz w:val="24"/>
              </w:rPr>
              <w:t>综上所述，建设单位落实了环评及批复中提出的生态保护和污染治理措施，主要污染物达标排放，环境风险应急预案完成备案，</w:t>
            </w:r>
            <w:r>
              <w:rPr>
                <w:rFonts w:hint="eastAsia"/>
                <w:color w:val="auto"/>
                <w:sz w:val="24"/>
              </w:rPr>
              <w:t>现有工程</w:t>
            </w:r>
            <w:r>
              <w:rPr>
                <w:color w:val="auto"/>
                <w:sz w:val="24"/>
              </w:rPr>
              <w:t>符合建设项目竣工环境保护验收条件</w:t>
            </w:r>
            <w:r>
              <w:rPr>
                <w:rFonts w:hint="eastAsia"/>
                <w:color w:val="auto"/>
                <w:sz w:val="24"/>
              </w:rPr>
              <w:t>并已</w:t>
            </w:r>
            <w:r>
              <w:rPr>
                <w:color w:val="auto"/>
                <w:sz w:val="24"/>
              </w:rPr>
              <w:t>通过环保验收。</w:t>
            </w:r>
          </w:p>
          <w:p>
            <w:pPr>
              <w:pStyle w:val="74"/>
              <w:adjustRightInd w:val="0"/>
              <w:snapToGrid w:val="0"/>
              <w:spacing w:line="360" w:lineRule="auto"/>
              <w:ind w:firstLine="482"/>
              <w:outlineLvl w:val="9"/>
              <w:rPr>
                <w:rFonts w:ascii="Times New Roman" w:hAnsi="Times New Roman"/>
                <w:color w:val="auto"/>
                <w:szCs w:val="24"/>
              </w:rPr>
            </w:pPr>
            <w:r>
              <w:rPr>
                <w:rFonts w:hint="eastAsia" w:ascii="Times New Roman" w:hAnsi="Times New Roman"/>
                <w:color w:val="auto"/>
                <w:szCs w:val="24"/>
              </w:rPr>
              <w:t>4. 现存环境问题及整改措施</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春2井区尚未进行大规模开发生产，环境影响主要在施工期，根据现场调查结果，各施工井场均按已批复的环评报告及批复提出的要求采取了措施。施工期对易起尘物料遮盖，管道试压废水用于施工区洒水抑尘；钻井井场井口区地面</w:t>
            </w:r>
            <w:r>
              <w:rPr>
                <w:rFonts w:hint="eastAsia" w:ascii="Times New Roman" w:hAnsi="Times New Roman"/>
                <w:color w:val="auto"/>
                <w:sz w:val="24"/>
              </w:rPr>
              <w:t>、</w:t>
            </w:r>
            <w:r>
              <w:rPr>
                <w:rFonts w:ascii="Times New Roman" w:hAnsi="Times New Roman"/>
                <w:color w:val="auto"/>
                <w:sz w:val="24"/>
              </w:rPr>
              <w:t>放喷池池底及池壁</w:t>
            </w:r>
            <w:r>
              <w:rPr>
                <w:rFonts w:hint="eastAsia" w:ascii="Times New Roman" w:hAnsi="Times New Roman"/>
                <w:color w:val="auto"/>
                <w:sz w:val="24"/>
              </w:rPr>
              <w:t>、</w:t>
            </w:r>
            <w:r>
              <w:rPr>
                <w:rFonts w:ascii="Times New Roman" w:hAnsi="Times New Roman"/>
                <w:color w:val="auto"/>
                <w:sz w:val="24"/>
              </w:rPr>
              <w:t>泥浆循环系统区域地面</w:t>
            </w:r>
            <w:r>
              <w:rPr>
                <w:rFonts w:hint="eastAsia" w:ascii="Times New Roman" w:hAnsi="Times New Roman"/>
                <w:color w:val="auto"/>
                <w:sz w:val="24"/>
              </w:rPr>
              <w:t>、柴油机、发电机房、柴油桶区、废油桶、岩屑收集罐存放处</w:t>
            </w:r>
            <w:r>
              <w:rPr>
                <w:rFonts w:ascii="Times New Roman" w:hAnsi="Times New Roman"/>
                <w:color w:val="auto"/>
                <w:sz w:val="24"/>
              </w:rPr>
              <w:t>等关键部位均采用了HDPE膜防渗，钻井时采用下套管注水泥固井完井方式进行了水泥固井，对含水层进行了固封处理；钻井岩屑采用不落地一体化系统进行处理；目前已开采的油井产生的废物均采取了合理的措施，未对环境产生不利影响。对井区内的集油支线，电力设施进行水土流失防治措施，对于地面工程建设扰动的地表进行地面硬化处理。管理上对作业人员加强宣传教育，不得砍伐野生植被，尤其是保护野生植物，不得猎杀野生动物，从各方面提高油田员工保护生态环境的意识。</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项目落实了环评文件及批复的生态保护和污染防治措施，无组织废气、噪声及土壤主要污染物指标检测结果符合相关标准要求，固体废物处置符合环评批复要求。根据验收结论及现场踏勘结果，春2井区已建各项环保设施均能正常运转，无环境问题。</w:t>
            </w:r>
          </w:p>
          <w:p>
            <w:pPr>
              <w:adjustRightInd w:val="0"/>
              <w:snapToGrid w:val="0"/>
              <w:spacing w:line="360" w:lineRule="auto"/>
              <w:ind w:firstLine="482" w:firstLineChars="200"/>
              <w:jc w:val="both"/>
              <w:rPr>
                <w:rFonts w:ascii="Times New Roman" w:hAnsi="Times New Roman"/>
                <w:b/>
                <w:bCs/>
                <w:color w:val="auto"/>
                <w:sz w:val="24"/>
              </w:rPr>
            </w:pPr>
            <w:r>
              <w:rPr>
                <w:rFonts w:hint="eastAsia" w:ascii="Times New Roman" w:hAnsi="Times New Roman"/>
                <w:b/>
                <w:bCs/>
                <w:color w:val="auto"/>
                <w:sz w:val="24"/>
              </w:rPr>
              <w:t>5. 春2井区现有工程污染物排放情况</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春2井区现有工程污染物排放情况见表 3-15。现有工程的数据来源为现有工程竣工环境保护验收调查报告表统计数据。</w:t>
            </w:r>
          </w:p>
          <w:p>
            <w:pPr>
              <w:adjustRightInd w:val="0"/>
              <w:snapToGrid w:val="0"/>
              <w:jc w:val="center"/>
              <w:rPr>
                <w:rFonts w:ascii="Times New Roman" w:hAnsi="Times New Roman"/>
                <w:b/>
                <w:bCs/>
                <w:color w:val="auto"/>
                <w:szCs w:val="21"/>
              </w:rPr>
            </w:pPr>
            <w:r>
              <w:rPr>
                <w:rFonts w:hint="eastAsia" w:ascii="Times New Roman" w:hAnsi="Times New Roman"/>
                <w:b/>
                <w:bCs/>
                <w:color w:val="auto"/>
                <w:szCs w:val="21"/>
              </w:rPr>
              <w:t>表3-15   现有工程运营期污染物排放情况一览表</w:t>
            </w:r>
          </w:p>
          <w:tbl>
            <w:tblPr>
              <w:tblStyle w:val="37"/>
              <w:tblW w:w="4998" w:type="pct"/>
              <w:jc w:val="center"/>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467"/>
              <w:gridCol w:w="1105"/>
              <w:gridCol w:w="1316"/>
              <w:gridCol w:w="1120"/>
              <w:gridCol w:w="1211"/>
              <w:gridCol w:w="1110"/>
              <w:gridCol w:w="1951"/>
            </w:tblGrid>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12" w:hRule="atLeast"/>
                <w:tblHeader/>
                <w:jc w:val="center"/>
              </w:trPr>
              <w:tc>
                <w:tcPr>
                  <w:tcW w:w="282"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项目</w:t>
                  </w:r>
                </w:p>
              </w:tc>
              <w:tc>
                <w:tcPr>
                  <w:tcW w:w="667"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工程</w:t>
                  </w:r>
                </w:p>
              </w:tc>
              <w:tc>
                <w:tcPr>
                  <w:tcW w:w="794"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污染源</w:t>
                  </w:r>
                </w:p>
              </w:tc>
              <w:tc>
                <w:tcPr>
                  <w:tcW w:w="676"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污染物</w:t>
                  </w:r>
                </w:p>
              </w:tc>
              <w:tc>
                <w:tcPr>
                  <w:tcW w:w="731"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产生量</w:t>
                  </w:r>
                </w:p>
              </w:tc>
              <w:tc>
                <w:tcPr>
                  <w:tcW w:w="670"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排放量</w:t>
                  </w:r>
                </w:p>
              </w:tc>
              <w:tc>
                <w:tcPr>
                  <w:tcW w:w="1177"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主要处理措施及排放去向</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82"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废气</w:t>
                  </w:r>
                </w:p>
              </w:tc>
              <w:tc>
                <w:tcPr>
                  <w:tcW w:w="667"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采油（气）及集输</w:t>
                  </w:r>
                </w:p>
              </w:tc>
              <w:tc>
                <w:tcPr>
                  <w:tcW w:w="794"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无组织挥发</w:t>
                  </w:r>
                </w:p>
              </w:tc>
              <w:tc>
                <w:tcPr>
                  <w:tcW w:w="676" w:type="pct"/>
                  <w:tcBorders>
                    <w:tl2br w:val="nil"/>
                    <w:tr2bl w:val="nil"/>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非甲烷总烃</w:t>
                  </w:r>
                </w:p>
              </w:tc>
              <w:tc>
                <w:tcPr>
                  <w:tcW w:w="731" w:type="pct"/>
                  <w:tcBorders>
                    <w:tl2br w:val="nil"/>
                    <w:tr2bl w:val="nil"/>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0.95</w:t>
                  </w:r>
                  <w:r>
                    <w:rPr>
                      <w:rFonts w:ascii="Times New Roman" w:hAnsi="Times New Roman"/>
                      <w:color w:val="auto"/>
                      <w:szCs w:val="21"/>
                    </w:rPr>
                    <w:t>t/a</w:t>
                  </w:r>
                </w:p>
              </w:tc>
              <w:tc>
                <w:tcPr>
                  <w:tcW w:w="670" w:type="pct"/>
                  <w:tcBorders>
                    <w:tl2br w:val="nil"/>
                    <w:tr2bl w:val="nil"/>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0.95</w:t>
                  </w:r>
                  <w:r>
                    <w:rPr>
                      <w:rFonts w:ascii="Times New Roman" w:hAnsi="Times New Roman"/>
                      <w:color w:val="auto"/>
                      <w:szCs w:val="21"/>
                    </w:rPr>
                    <w:t>t/a</w:t>
                  </w:r>
                </w:p>
              </w:tc>
              <w:tc>
                <w:tcPr>
                  <w:tcW w:w="1177"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环境空气</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282" w:type="pct"/>
                  <w:vMerge w:val="restar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废水</w:t>
                  </w:r>
                </w:p>
              </w:tc>
              <w:tc>
                <w:tcPr>
                  <w:tcW w:w="667" w:type="pct"/>
                  <w:vMerge w:val="restar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井场</w:t>
                  </w:r>
                </w:p>
              </w:tc>
              <w:tc>
                <w:tcPr>
                  <w:tcW w:w="794"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井下作业</w:t>
                  </w:r>
                </w:p>
                <w:p>
                  <w:pPr>
                    <w:spacing w:line="240" w:lineRule="exact"/>
                    <w:jc w:val="center"/>
                    <w:rPr>
                      <w:rFonts w:ascii="Times New Roman" w:hAnsi="Times New Roman"/>
                      <w:color w:val="auto"/>
                      <w:szCs w:val="21"/>
                    </w:rPr>
                  </w:pPr>
                  <w:r>
                    <w:rPr>
                      <w:rFonts w:ascii="Times New Roman" w:hAnsi="Times New Roman"/>
                      <w:color w:val="auto"/>
                      <w:szCs w:val="21"/>
                    </w:rPr>
                    <w:t>废水</w:t>
                  </w:r>
                </w:p>
              </w:tc>
              <w:tc>
                <w:tcPr>
                  <w:tcW w:w="676" w:type="pct"/>
                  <w:vMerge w:val="restar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SS、COD</w:t>
                  </w:r>
                </w:p>
                <w:p>
                  <w:pPr>
                    <w:spacing w:line="240" w:lineRule="exact"/>
                    <w:jc w:val="center"/>
                    <w:rPr>
                      <w:rFonts w:ascii="Times New Roman" w:hAnsi="Times New Roman"/>
                      <w:color w:val="auto"/>
                      <w:szCs w:val="21"/>
                    </w:rPr>
                  </w:pPr>
                  <w:r>
                    <w:rPr>
                      <w:rFonts w:ascii="Times New Roman" w:hAnsi="Times New Roman"/>
                      <w:color w:val="auto"/>
                      <w:szCs w:val="21"/>
                    </w:rPr>
                    <w:t>石油类</w:t>
                  </w:r>
                  <w:r>
                    <w:rPr>
                      <w:rFonts w:hint="eastAsia" w:ascii="Times New Roman" w:hAnsi="Times New Roman"/>
                      <w:color w:val="auto"/>
                      <w:szCs w:val="21"/>
                    </w:rPr>
                    <w:t>、</w:t>
                  </w:r>
                </w:p>
                <w:p>
                  <w:pPr>
                    <w:spacing w:line="240" w:lineRule="exact"/>
                    <w:jc w:val="center"/>
                    <w:rPr>
                      <w:rFonts w:ascii="Times New Roman" w:hAnsi="Times New Roman"/>
                      <w:color w:val="auto"/>
                      <w:szCs w:val="21"/>
                    </w:rPr>
                  </w:pPr>
                  <w:r>
                    <w:rPr>
                      <w:rFonts w:ascii="Times New Roman" w:hAnsi="Times New Roman"/>
                      <w:color w:val="auto"/>
                      <w:szCs w:val="21"/>
                    </w:rPr>
                    <w:t>挥发酚</w:t>
                  </w:r>
                  <w:r>
                    <w:rPr>
                      <w:rFonts w:hint="eastAsia" w:ascii="Times New Roman" w:hAnsi="Times New Roman"/>
                      <w:color w:val="auto"/>
                      <w:szCs w:val="21"/>
                    </w:rPr>
                    <w:t>、</w:t>
                  </w:r>
                  <w:r>
                    <w:rPr>
                      <w:rFonts w:ascii="Times New Roman" w:hAnsi="Times New Roman"/>
                      <w:color w:val="auto"/>
                      <w:szCs w:val="21"/>
                    </w:rPr>
                    <w:t>NH</w:t>
                  </w:r>
                  <w:r>
                    <w:rPr>
                      <w:rFonts w:ascii="Times New Roman" w:hAnsi="Times New Roman"/>
                      <w:color w:val="auto"/>
                      <w:szCs w:val="21"/>
                      <w:vertAlign w:val="subscript"/>
                    </w:rPr>
                    <w:t>3</w:t>
                  </w:r>
                  <w:r>
                    <w:rPr>
                      <w:rFonts w:ascii="Times New Roman" w:hAnsi="Times New Roman"/>
                      <w:color w:val="auto"/>
                      <w:szCs w:val="21"/>
                    </w:rPr>
                    <w:t>-N</w:t>
                  </w:r>
                </w:p>
                <w:p>
                  <w:pPr>
                    <w:spacing w:line="240" w:lineRule="exact"/>
                    <w:jc w:val="center"/>
                    <w:rPr>
                      <w:rFonts w:ascii="Times New Roman" w:hAnsi="Times New Roman"/>
                      <w:color w:val="auto"/>
                      <w:szCs w:val="21"/>
                    </w:rPr>
                  </w:pPr>
                </w:p>
              </w:tc>
              <w:tc>
                <w:tcPr>
                  <w:tcW w:w="731" w:type="pct"/>
                  <w:tcBorders>
                    <w:tl2br w:val="nil"/>
                    <w:tr2bl w:val="nil"/>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494.79t</w:t>
                  </w:r>
                  <w:r>
                    <w:rPr>
                      <w:rFonts w:ascii="Times New Roman" w:hAnsi="Times New Roman"/>
                      <w:color w:val="auto"/>
                      <w:szCs w:val="21"/>
                    </w:rPr>
                    <w:t>/a</w:t>
                  </w:r>
                </w:p>
              </w:tc>
              <w:tc>
                <w:tcPr>
                  <w:tcW w:w="670"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0</w:t>
                  </w:r>
                </w:p>
              </w:tc>
              <w:tc>
                <w:tcPr>
                  <w:tcW w:w="1177"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作业单位自带罐体收集井下作业废水，并拉运至</w:t>
                  </w:r>
                  <w:r>
                    <w:rPr>
                      <w:rFonts w:hint="eastAsia" w:ascii="Times New Roman" w:hAnsi="Times New Roman"/>
                      <w:color w:val="auto"/>
                      <w:szCs w:val="21"/>
                    </w:rPr>
                    <w:t>春光联合站</w:t>
                  </w:r>
                  <w:r>
                    <w:rPr>
                      <w:rFonts w:ascii="Times New Roman" w:hAnsi="Times New Roman"/>
                      <w:color w:val="auto"/>
                      <w:szCs w:val="21"/>
                    </w:rPr>
                    <w:t>进行处理</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282" w:type="pct"/>
                  <w:vMerge w:val="continue"/>
                  <w:tcBorders>
                    <w:tl2br w:val="nil"/>
                    <w:tr2bl w:val="nil"/>
                  </w:tcBorders>
                  <w:vAlign w:val="center"/>
                </w:tcPr>
                <w:p>
                  <w:pPr>
                    <w:spacing w:line="240" w:lineRule="exact"/>
                    <w:jc w:val="center"/>
                    <w:rPr>
                      <w:rFonts w:ascii="Times New Roman" w:hAnsi="Times New Roman"/>
                      <w:color w:val="auto"/>
                      <w:szCs w:val="21"/>
                    </w:rPr>
                  </w:pPr>
                </w:p>
              </w:tc>
              <w:tc>
                <w:tcPr>
                  <w:tcW w:w="667" w:type="pct"/>
                  <w:vMerge w:val="continue"/>
                  <w:tcBorders>
                    <w:tl2br w:val="nil"/>
                    <w:tr2bl w:val="nil"/>
                  </w:tcBorders>
                  <w:vAlign w:val="center"/>
                </w:tcPr>
                <w:p>
                  <w:pPr>
                    <w:spacing w:line="240" w:lineRule="exact"/>
                    <w:jc w:val="center"/>
                    <w:rPr>
                      <w:rFonts w:ascii="Times New Roman" w:hAnsi="Times New Roman"/>
                      <w:color w:val="auto"/>
                      <w:szCs w:val="21"/>
                    </w:rPr>
                  </w:pPr>
                </w:p>
              </w:tc>
              <w:tc>
                <w:tcPr>
                  <w:tcW w:w="794"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采出水</w:t>
                  </w:r>
                </w:p>
              </w:tc>
              <w:tc>
                <w:tcPr>
                  <w:tcW w:w="676" w:type="pct"/>
                  <w:vMerge w:val="continue"/>
                  <w:tcBorders>
                    <w:tl2br w:val="nil"/>
                    <w:tr2bl w:val="nil"/>
                  </w:tcBorders>
                  <w:vAlign w:val="center"/>
                </w:tcPr>
                <w:p>
                  <w:pPr>
                    <w:spacing w:line="240" w:lineRule="exact"/>
                    <w:jc w:val="center"/>
                    <w:rPr>
                      <w:rFonts w:ascii="Times New Roman" w:hAnsi="Times New Roman"/>
                      <w:color w:val="auto"/>
                      <w:szCs w:val="21"/>
                    </w:rPr>
                  </w:pPr>
                </w:p>
              </w:tc>
              <w:tc>
                <w:tcPr>
                  <w:tcW w:w="731" w:type="pct"/>
                  <w:tcBorders>
                    <w:tl2br w:val="nil"/>
                    <w:tr2bl w:val="nil"/>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3.24</w:t>
                  </w:r>
                  <w:r>
                    <w:rPr>
                      <w:rFonts w:ascii="Times New Roman" w:hAnsi="Times New Roman"/>
                      <w:color w:val="auto"/>
                      <w:szCs w:val="21"/>
                    </w:rPr>
                    <w:t>×10</w:t>
                  </w:r>
                  <w:r>
                    <w:rPr>
                      <w:rFonts w:ascii="Times New Roman" w:hAnsi="Times New Roman"/>
                      <w:color w:val="auto"/>
                      <w:szCs w:val="21"/>
                      <w:vertAlign w:val="superscript"/>
                    </w:rPr>
                    <w:t>4</w:t>
                  </w:r>
                  <w:r>
                    <w:rPr>
                      <w:rFonts w:hint="eastAsia" w:ascii="Times New Roman" w:hAnsi="Times New Roman"/>
                      <w:color w:val="auto"/>
                      <w:szCs w:val="21"/>
                    </w:rPr>
                    <w:t>t</w:t>
                  </w:r>
                  <w:r>
                    <w:rPr>
                      <w:rFonts w:ascii="Times New Roman" w:hAnsi="Times New Roman"/>
                      <w:color w:val="auto"/>
                      <w:szCs w:val="21"/>
                    </w:rPr>
                    <w:t>/a</w:t>
                  </w:r>
                </w:p>
              </w:tc>
              <w:tc>
                <w:tcPr>
                  <w:tcW w:w="670" w:type="pct"/>
                  <w:tcBorders>
                    <w:tl2br w:val="nil"/>
                    <w:tr2bl w:val="nil"/>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1177" w:type="pct"/>
                  <w:tcBorders>
                    <w:tl2br w:val="nil"/>
                    <w:tr2bl w:val="nil"/>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春光</w:t>
                  </w:r>
                  <w:r>
                    <w:rPr>
                      <w:rFonts w:ascii="Times New Roman" w:hAnsi="Times New Roman"/>
                      <w:color w:val="auto"/>
                      <w:szCs w:val="21"/>
                    </w:rPr>
                    <w:t>联合站污水处理系统进行处理</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94" w:hRule="atLeast"/>
                <w:jc w:val="center"/>
              </w:trPr>
              <w:tc>
                <w:tcPr>
                  <w:tcW w:w="282"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固体废物</w:t>
                  </w:r>
                </w:p>
              </w:tc>
              <w:tc>
                <w:tcPr>
                  <w:tcW w:w="667" w:type="pct"/>
                  <w:tcBorders>
                    <w:tl2br w:val="nil"/>
                    <w:tr2bl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井场</w:t>
                  </w:r>
                </w:p>
              </w:tc>
              <w:tc>
                <w:tcPr>
                  <w:tcW w:w="794" w:type="pct"/>
                  <w:tcBorders>
                    <w:tl2br w:val="nil"/>
                    <w:tr2bl w:val="nil"/>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落地油</w:t>
                  </w:r>
                </w:p>
              </w:tc>
              <w:tc>
                <w:tcPr>
                  <w:tcW w:w="676" w:type="pct"/>
                  <w:tcBorders>
                    <w:tl2br w:val="nil"/>
                    <w:tr2bl w:val="nil"/>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废矿物油</w:t>
                  </w:r>
                </w:p>
              </w:tc>
              <w:tc>
                <w:tcPr>
                  <w:tcW w:w="731" w:type="pct"/>
                  <w:tcBorders>
                    <w:tl2br w:val="nil"/>
                    <w:tr2bl w:val="nil"/>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w:t>
                  </w:r>
                </w:p>
              </w:tc>
              <w:tc>
                <w:tcPr>
                  <w:tcW w:w="670" w:type="pct"/>
                  <w:tcBorders>
                    <w:tl2br w:val="nil"/>
                    <w:tr2bl w:val="nil"/>
                  </w:tcBorders>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1177" w:type="pct"/>
                  <w:tcBorders>
                    <w:tl2br w:val="nil"/>
                    <w:tr2bl w:val="nil"/>
                  </w:tcBorders>
                  <w:vAlign w:val="center"/>
                </w:tcPr>
                <w:p>
                  <w:pPr>
                    <w:spacing w:line="240" w:lineRule="exact"/>
                    <w:jc w:val="center"/>
                    <w:rPr>
                      <w:rFonts w:ascii="Times New Roman" w:hAnsi="Times New Roman"/>
                      <w:color w:val="auto"/>
                      <w:spacing w:val="-6"/>
                      <w:szCs w:val="21"/>
                    </w:rPr>
                  </w:pPr>
                  <w:r>
                    <w:rPr>
                      <w:rFonts w:ascii="Times New Roman" w:hAnsi="Times New Roman"/>
                      <w:color w:val="auto"/>
                      <w:szCs w:val="21"/>
                    </w:rPr>
                    <w:t>作业单位100%回收</w:t>
                  </w:r>
                </w:p>
              </w:tc>
            </w:tr>
          </w:tbl>
          <w:p>
            <w:pPr>
              <w:adjustRightInd w:val="0"/>
              <w:snapToGrid w:val="0"/>
              <w:jc w:val="center"/>
              <w:rPr>
                <w:rFonts w:ascii="Times New Roman" w:hAnsi="Times New Roman"/>
                <w:b/>
                <w:bCs/>
                <w:color w:val="auto"/>
                <w:szCs w:val="21"/>
              </w:rPr>
            </w:pPr>
          </w:p>
          <w:p>
            <w:pPr>
              <w:pStyle w:val="43"/>
              <w:rPr>
                <w:rFonts w:ascii="Times New Roman" w:hAnsi="Times New Roman"/>
                <w:color w:val="auto"/>
                <w:kern w:val="0"/>
                <w:sz w:val="24"/>
              </w:rPr>
            </w:pPr>
          </w:p>
          <w:p>
            <w:pPr>
              <w:pStyle w:val="43"/>
              <w:rPr>
                <w:rFonts w:ascii="Times New Roman" w:hAnsi="Times New Roman"/>
                <w:color w:val="auto"/>
                <w:kern w:val="0"/>
                <w:sz w:val="24"/>
              </w:rPr>
            </w:pPr>
          </w:p>
          <w:p>
            <w:pPr>
              <w:pStyle w:val="43"/>
              <w:rPr>
                <w:rFonts w:ascii="Times New Roman" w:hAnsi="Times New Roman"/>
                <w:color w:val="auto"/>
                <w:kern w:val="0"/>
                <w:sz w:val="24"/>
              </w:rPr>
            </w:pPr>
          </w:p>
          <w:p>
            <w:pPr>
              <w:pStyle w:val="43"/>
              <w:jc w:val="both"/>
              <w:rPr>
                <w:rFonts w:ascii="Times New Roman" w:hAnsi="Times New Roman"/>
                <w:color w:val="auto"/>
                <w:kern w:val="0"/>
                <w:sz w:val="24"/>
              </w:rPr>
            </w:pPr>
          </w:p>
          <w:p>
            <w:pPr>
              <w:pStyle w:val="43"/>
              <w:rPr>
                <w:rFonts w:ascii="Times New Roman" w:hAnsi="Times New Roman"/>
                <w:color w:val="auto"/>
                <w:kern w:val="0"/>
                <w:sz w:val="24"/>
              </w:rPr>
            </w:pPr>
          </w:p>
          <w:p>
            <w:pPr>
              <w:pStyle w:val="43"/>
              <w:rPr>
                <w:rFonts w:ascii="Times New Roman" w:hAnsi="Times New Roman"/>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83" w:hRule="atLeast"/>
        </w:trPr>
        <w:tc>
          <w:tcPr>
            <w:tcW w:w="254" w:type="pct"/>
            <w:vAlign w:val="center"/>
          </w:tcPr>
          <w:p>
            <w:pPr>
              <w:adjustRightInd w:val="0"/>
              <w:snapToGrid w:val="0"/>
              <w:spacing w:line="300" w:lineRule="exact"/>
              <w:jc w:val="center"/>
              <w:rPr>
                <w:rFonts w:ascii="Times New Roman" w:hAnsi="Times New Roman"/>
                <w:bCs/>
                <w:color w:val="auto"/>
                <w:sz w:val="24"/>
              </w:rPr>
            </w:pPr>
            <w:r>
              <w:rPr>
                <w:rFonts w:ascii="Times New Roman" w:hAnsi="Times New Roman"/>
                <w:color w:val="auto"/>
                <w:kern w:val="0"/>
                <w:sz w:val="24"/>
              </w:rPr>
              <w:t>生态环境保护目标</w:t>
            </w:r>
          </w:p>
        </w:tc>
        <w:tc>
          <w:tcPr>
            <w:tcW w:w="4745" w:type="pct"/>
            <w:vAlign w:val="center"/>
          </w:tcPr>
          <w:p>
            <w:pPr>
              <w:pStyle w:val="74"/>
              <w:adjustRightInd w:val="0"/>
              <w:snapToGrid w:val="0"/>
              <w:spacing w:line="360" w:lineRule="auto"/>
              <w:ind w:firstLine="0" w:firstLineChars="0"/>
              <w:outlineLvl w:val="9"/>
              <w:rPr>
                <w:rFonts w:ascii="Times New Roman" w:hAnsi="Times New Roman"/>
                <w:color w:val="auto"/>
                <w:szCs w:val="24"/>
              </w:rPr>
            </w:pPr>
            <w:r>
              <w:rPr>
                <w:rFonts w:hint="eastAsia" w:ascii="Times New Roman" w:hAnsi="Times New Roman"/>
                <w:color w:val="auto"/>
                <w:szCs w:val="24"/>
              </w:rPr>
              <w:t>4.评价等级和评价范围</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ascii="Times New Roman" w:hAnsi="Times New Roman" w:eastAsia="TimesNewRomanPS-BoldMT"/>
                <w:color w:val="auto"/>
                <w:sz w:val="24"/>
              </w:rPr>
              <w:t>1</w:t>
            </w:r>
            <w:r>
              <w:rPr>
                <w:rFonts w:ascii="Times New Roman" w:hAnsi="Times New Roman"/>
                <w:color w:val="auto"/>
                <w:sz w:val="24"/>
              </w:rPr>
              <w:t>）生态环境</w:t>
            </w:r>
          </w:p>
          <w:p>
            <w:pPr>
              <w:spacing w:line="360" w:lineRule="auto"/>
              <w:ind w:firstLine="480" w:firstLineChars="200"/>
              <w:rPr>
                <w:rFonts w:ascii="Times New Roman" w:hAnsi="Times New Roman"/>
                <w:color w:val="auto"/>
                <w:sz w:val="24"/>
              </w:rPr>
            </w:pPr>
            <w:r>
              <w:rPr>
                <w:rFonts w:ascii="Times New Roman" w:hAnsi="Times New Roman"/>
                <w:color w:val="auto"/>
                <w:sz w:val="24"/>
              </w:rPr>
              <w:t>本项目总占地面积约为</w:t>
            </w:r>
            <w:r>
              <w:rPr>
                <w:rFonts w:hint="eastAsia" w:ascii="Times New Roman" w:hAnsi="Times New Roman"/>
                <w:color w:val="auto"/>
                <w:sz w:val="24"/>
              </w:rPr>
              <w:t>0.04</w:t>
            </w:r>
            <w:r>
              <w:rPr>
                <w:rFonts w:ascii="Times New Roman" w:hAnsi="Times New Roman" w:eastAsia="TimesNewRomanPSMT"/>
                <w:color w:val="auto"/>
                <w:sz w:val="24"/>
              </w:rPr>
              <w:t>km</w:t>
            </w:r>
            <w:r>
              <w:rPr>
                <w:rFonts w:ascii="Times New Roman" w:hAnsi="Times New Roman" w:eastAsia="TimesNewRomanPSMT"/>
                <w:color w:val="auto"/>
                <w:sz w:val="24"/>
                <w:vertAlign w:val="superscript"/>
              </w:rPr>
              <w:t>2</w:t>
            </w:r>
            <w:r>
              <w:rPr>
                <w:rFonts w:ascii="Times New Roman" w:hAnsi="Times New Roman"/>
                <w:color w:val="auto"/>
                <w:sz w:val="24"/>
              </w:rPr>
              <w:t>，其占地面积小于</w:t>
            </w:r>
            <w:r>
              <w:rPr>
                <w:rFonts w:ascii="Times New Roman" w:hAnsi="Times New Roman" w:eastAsia="TimesNewRomanPSMT"/>
                <w:color w:val="auto"/>
                <w:sz w:val="24"/>
              </w:rPr>
              <w:t>2km</w:t>
            </w:r>
            <w:r>
              <w:rPr>
                <w:rFonts w:ascii="Times New Roman" w:hAnsi="Times New Roman" w:eastAsia="TimesNewRomanPSMT"/>
                <w:color w:val="auto"/>
                <w:sz w:val="24"/>
                <w:vertAlign w:val="superscript"/>
              </w:rPr>
              <w:t>2</w:t>
            </w:r>
            <w:r>
              <w:rPr>
                <w:rFonts w:ascii="Times New Roman" w:hAnsi="Times New Roman"/>
                <w:color w:val="auto"/>
                <w:sz w:val="24"/>
              </w:rPr>
              <w:t>；管线共计</w:t>
            </w:r>
            <w:r>
              <w:rPr>
                <w:rFonts w:hint="eastAsia" w:ascii="Times New Roman" w:hAnsi="Times New Roman"/>
                <w:color w:val="auto"/>
                <w:sz w:val="24"/>
              </w:rPr>
              <w:t>1.5</w:t>
            </w:r>
            <w:r>
              <w:rPr>
                <w:rFonts w:ascii="Times New Roman" w:hAnsi="Times New Roman" w:eastAsia="TimesNewRomanPSMT"/>
                <w:color w:val="auto"/>
                <w:sz w:val="24"/>
              </w:rPr>
              <w:t>km</w:t>
            </w:r>
            <w:r>
              <w:rPr>
                <w:rFonts w:ascii="Times New Roman" w:hAnsi="Times New Roman"/>
                <w:color w:val="auto"/>
                <w:sz w:val="24"/>
              </w:rPr>
              <w:t>，长度小于</w:t>
            </w:r>
            <w:r>
              <w:rPr>
                <w:rFonts w:ascii="Times New Roman" w:hAnsi="Times New Roman" w:eastAsia="TimesNewRomanPSMT"/>
                <w:color w:val="auto"/>
                <w:sz w:val="24"/>
              </w:rPr>
              <w:t>50km</w:t>
            </w:r>
            <w:r>
              <w:rPr>
                <w:rFonts w:ascii="Times New Roman" w:hAnsi="Times New Roman"/>
                <w:color w:val="auto"/>
                <w:sz w:val="24"/>
              </w:rPr>
              <w:t>；项目所在区域既不属于自然保护区、世界文化和自然遗产地等特殊生态敏感区，也不属于风景名胜区、森林公园、地质公园等重要生态敏感区，属于一般区域，因此生态影响评价等级为三级，以项目区作为生态环境评价范围。</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ascii="Times New Roman" w:hAnsi="Times New Roman" w:eastAsia="TimesNewRomanPS-BoldMT"/>
                <w:color w:val="auto"/>
                <w:sz w:val="24"/>
              </w:rPr>
              <w:t>2</w:t>
            </w:r>
            <w:r>
              <w:rPr>
                <w:rFonts w:ascii="Times New Roman" w:hAnsi="Times New Roman"/>
                <w:color w:val="auto"/>
                <w:sz w:val="24"/>
              </w:rPr>
              <w:t>）大气环境</w:t>
            </w:r>
          </w:p>
          <w:p>
            <w:pPr>
              <w:spacing w:line="360" w:lineRule="auto"/>
              <w:ind w:firstLine="480" w:firstLineChars="200"/>
              <w:rPr>
                <w:rFonts w:ascii="Times New Roman" w:hAnsi="Times New Roman"/>
                <w:color w:val="auto"/>
                <w:sz w:val="24"/>
              </w:rPr>
            </w:pPr>
            <w:r>
              <w:rPr>
                <w:rFonts w:ascii="Times New Roman" w:hAnsi="Times New Roman"/>
                <w:color w:val="auto"/>
                <w:sz w:val="24"/>
              </w:rPr>
              <w:t>运营期废气主要为无组织挥发性有机物（以</w:t>
            </w:r>
            <w:r>
              <w:rPr>
                <w:rFonts w:ascii="Times New Roman" w:hAnsi="Times New Roman" w:eastAsia="TimesNewRomanPSMT"/>
                <w:color w:val="auto"/>
                <w:sz w:val="24"/>
              </w:rPr>
              <w:t xml:space="preserve">NMHC </w:t>
            </w:r>
            <w:r>
              <w:rPr>
                <w:rFonts w:ascii="Times New Roman" w:hAnsi="Times New Roman"/>
                <w:color w:val="auto"/>
                <w:sz w:val="24"/>
              </w:rPr>
              <w:t>计），根据项目工程分析污染物参数，选取《环境影响评价技术导则</w:t>
            </w:r>
            <w:r>
              <w:rPr>
                <w:rFonts w:hint="eastAsia" w:ascii="Times New Roman" w:hAnsi="Times New Roman"/>
                <w:color w:val="auto"/>
                <w:sz w:val="24"/>
              </w:rPr>
              <w:t xml:space="preserve"> </w:t>
            </w:r>
            <w:r>
              <w:rPr>
                <w:rFonts w:ascii="Times New Roman" w:hAnsi="Times New Roman"/>
                <w:color w:val="auto"/>
                <w:sz w:val="24"/>
              </w:rPr>
              <w:t>大气环境》（</w:t>
            </w:r>
            <w:r>
              <w:rPr>
                <w:rFonts w:ascii="Times New Roman" w:hAnsi="Times New Roman" w:eastAsia="TimesNewRomanPSMT"/>
                <w:color w:val="auto"/>
                <w:sz w:val="24"/>
              </w:rPr>
              <w:t>HJ2.2-2018</w:t>
            </w:r>
            <w:r>
              <w:rPr>
                <w:rFonts w:ascii="Times New Roman" w:hAnsi="Times New Roman"/>
                <w:color w:val="auto"/>
                <w:sz w:val="24"/>
              </w:rPr>
              <w:t>）中推荐的</w:t>
            </w:r>
            <w:r>
              <w:rPr>
                <w:rFonts w:ascii="Times New Roman" w:hAnsi="Times New Roman" w:eastAsia="TimesNewRomanPSMT"/>
                <w:color w:val="auto"/>
                <w:sz w:val="24"/>
              </w:rPr>
              <w:t>AERSCREEN</w:t>
            </w:r>
            <w:r>
              <w:rPr>
                <w:rFonts w:ascii="Times New Roman" w:hAnsi="Times New Roman"/>
                <w:color w:val="auto"/>
                <w:sz w:val="24"/>
              </w:rPr>
              <w:t>估算模式进行预测，</w:t>
            </w:r>
            <w:r>
              <w:rPr>
                <w:rFonts w:ascii="Times New Roman" w:hAnsi="Times New Roman" w:eastAsia="TimesNewRomanPSMT"/>
                <w:color w:val="auto"/>
                <w:sz w:val="24"/>
              </w:rPr>
              <w:t>NMHC</w:t>
            </w:r>
            <w:r>
              <w:rPr>
                <w:rFonts w:ascii="Times New Roman" w:hAnsi="Times New Roman"/>
                <w:color w:val="auto"/>
                <w:sz w:val="24"/>
              </w:rPr>
              <w:t>的最大浓度占标率</w:t>
            </w:r>
            <w:r>
              <w:rPr>
                <w:rFonts w:hint="eastAsia" w:ascii="Times New Roman" w:hAnsi="Times New Roman"/>
                <w:color w:val="auto"/>
                <w:sz w:val="24"/>
              </w:rPr>
              <w:t>为6.15</w:t>
            </w:r>
            <w:r>
              <w:rPr>
                <w:rFonts w:ascii="Times New Roman" w:hAnsi="Times New Roman" w:eastAsia="TimesNewRomanPSMT"/>
                <w:color w:val="auto"/>
                <w:sz w:val="24"/>
              </w:rPr>
              <w:t>%</w:t>
            </w:r>
            <w:r>
              <w:rPr>
                <w:rFonts w:ascii="Times New Roman" w:hAnsi="Times New Roman"/>
                <w:color w:val="auto"/>
                <w:sz w:val="24"/>
              </w:rPr>
              <w:t>，根据《环境影响评价技术导则</w:t>
            </w:r>
            <w:r>
              <w:rPr>
                <w:rFonts w:hint="eastAsia" w:ascii="Times New Roman" w:hAnsi="Times New Roman"/>
                <w:color w:val="auto"/>
                <w:sz w:val="24"/>
              </w:rPr>
              <w:t xml:space="preserve"> </w:t>
            </w:r>
            <w:r>
              <w:rPr>
                <w:rFonts w:ascii="Times New Roman" w:hAnsi="Times New Roman"/>
                <w:color w:val="auto"/>
                <w:sz w:val="24"/>
              </w:rPr>
              <w:t>大气环境》（</w:t>
            </w:r>
            <w:r>
              <w:rPr>
                <w:rFonts w:ascii="Times New Roman" w:hAnsi="Times New Roman" w:eastAsia="TimesNewRomanPSMT"/>
                <w:color w:val="auto"/>
                <w:sz w:val="24"/>
              </w:rPr>
              <w:t>HJ2.2-2018</w:t>
            </w:r>
            <w:r>
              <w:rPr>
                <w:rFonts w:ascii="Times New Roman" w:hAnsi="Times New Roman"/>
                <w:color w:val="auto"/>
                <w:sz w:val="24"/>
              </w:rPr>
              <w:t>）判定，评价等级为二级，本项目分别以</w:t>
            </w:r>
            <w:r>
              <w:rPr>
                <w:rFonts w:hint="eastAsia" w:ascii="Times New Roman" w:hAnsi="Times New Roman"/>
                <w:color w:val="auto"/>
                <w:sz w:val="24"/>
              </w:rPr>
              <w:t>外围单</w:t>
            </w:r>
            <w:r>
              <w:rPr>
                <w:rFonts w:ascii="Times New Roman" w:hAnsi="Times New Roman"/>
                <w:color w:val="auto"/>
                <w:sz w:val="24"/>
              </w:rPr>
              <w:t>井</w:t>
            </w:r>
            <w:r>
              <w:rPr>
                <w:rFonts w:hint="eastAsia" w:ascii="Times New Roman" w:hAnsi="Times New Roman"/>
                <w:color w:val="auto"/>
                <w:sz w:val="24"/>
              </w:rPr>
              <w:t>采油井口</w:t>
            </w:r>
            <w:r>
              <w:rPr>
                <w:rFonts w:ascii="Times New Roman" w:hAnsi="Times New Roman"/>
                <w:color w:val="auto"/>
                <w:sz w:val="24"/>
              </w:rPr>
              <w:t>为中心，外扩</w:t>
            </w:r>
            <w:r>
              <w:rPr>
                <w:rFonts w:ascii="Times New Roman" w:hAnsi="Times New Roman" w:eastAsia="TimesNewRomanPSMT"/>
                <w:color w:val="auto"/>
                <w:sz w:val="24"/>
              </w:rPr>
              <w:t xml:space="preserve">2.5km </w:t>
            </w:r>
            <w:r>
              <w:rPr>
                <w:rFonts w:ascii="Times New Roman" w:hAnsi="Times New Roman"/>
                <w:color w:val="auto"/>
                <w:sz w:val="24"/>
              </w:rPr>
              <w:t>的矩形叠合的包络线作为大气评价范围。</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（3）声环境</w:t>
            </w:r>
          </w:p>
          <w:p>
            <w:p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本项目为石油开采项目，项目区周边50m范围内存在声环境保护目标，因此主要噪声影响为地面设备噪声对周围村民的影响。</w:t>
            </w:r>
            <w:r>
              <w:rPr>
                <w:rFonts w:hint="eastAsia" w:ascii="宋体" w:hAnsi="宋体" w:cs="宋体"/>
                <w:color w:val="auto"/>
                <w:kern w:val="0"/>
                <w:sz w:val="24"/>
                <w:lang w:bidi="ar"/>
              </w:rPr>
              <w:t>根据《建设项目环境影响报告表编制技术指南（污染影响类）（试行）》要求，</w:t>
            </w:r>
            <w:r>
              <w:rPr>
                <w:rFonts w:hint="eastAsia" w:ascii="Times New Roman" w:hAnsi="Times New Roman"/>
                <w:color w:val="auto"/>
                <w:sz w:val="24"/>
              </w:rPr>
              <w:t>确定噪声评价范围确定为项目占地范围外扩50m。</w:t>
            </w:r>
          </w:p>
          <w:p>
            <w:pPr>
              <w:spacing w:line="360" w:lineRule="auto"/>
              <w:ind w:firstLine="480" w:firstLineChars="200"/>
              <w:jc w:val="both"/>
              <w:rPr>
                <w:rFonts w:ascii="宋体" w:hAnsi="宋体"/>
                <w:color w:val="auto"/>
                <w:sz w:val="24"/>
              </w:rPr>
            </w:pPr>
            <w:r>
              <w:rPr>
                <w:rFonts w:hint="eastAsia" w:ascii="Times New Roman" w:hAnsi="Times New Roman"/>
                <w:color w:val="auto"/>
                <w:sz w:val="24"/>
              </w:rPr>
              <w:t>（4）</w:t>
            </w:r>
            <w:r>
              <w:rPr>
                <w:rFonts w:hint="eastAsia" w:ascii="宋体" w:hAnsi="宋体"/>
                <w:color w:val="auto"/>
                <w:sz w:val="24"/>
              </w:rPr>
              <w:t>地下水环境</w:t>
            </w:r>
          </w:p>
          <w:p>
            <w:p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根据《环境影响评价技术导则地下水环境》（HJ610-2016）中附录A 中的规定，本项目为石油开采类，属于I 类建设项目。</w:t>
            </w:r>
          </w:p>
          <w:p>
            <w:p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本项目所在区域的地下水不属于“集中式饮用水源的准保护区、除集中式饮用水源地以外的国家或地方政府设定的与地下水环境相关的保护区”等敏感区域，也不属于“集中式水源区的准保护区以外的补给径流区、分散式饮用水水源地、特殊地下水资源保护区”等较敏感区域，属于不敏感区域。根据表1 及分析结果确定本项目地下水环境影响评价等级为二级，本次地下水评价范围外扩至6km</w:t>
            </w:r>
            <w:r>
              <w:rPr>
                <w:rFonts w:hint="eastAsia" w:ascii="Times New Roman" w:hAnsi="Times New Roman"/>
                <w:color w:val="auto"/>
                <w:sz w:val="24"/>
                <w:vertAlign w:val="superscript"/>
              </w:rPr>
              <w:t>2</w:t>
            </w:r>
            <w:r>
              <w:rPr>
                <w:rFonts w:hint="eastAsia" w:ascii="Times New Roman" w:hAnsi="Times New Roman"/>
                <w:color w:val="auto"/>
                <w:sz w:val="24"/>
              </w:rPr>
              <w:t>，即上游1km，两侧各1km，下游2km的区域。</w:t>
            </w:r>
          </w:p>
          <w:p>
            <w:pPr>
              <w:numPr>
                <w:ilvl w:val="0"/>
                <w:numId w:val="7"/>
              </w:num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地表水</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由于项目区附近无地表水体，项目施工、运营产生废水也不排入地表水体，因此，本项目在施工、运营对当地区域地表水体不产生影响。根据《环境影响评价技术导则 地表水环境》（HJ2.3-2018）规定，评价等级为三级B。本项目不涉及地表水风险，无需设置地表水评价范围。</w:t>
            </w:r>
          </w:p>
          <w:p>
            <w:p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（6）土壤环境</w:t>
            </w:r>
          </w:p>
          <w:p>
            <w:p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本项目对土壤环境的影响为污染影响型，根据《环境影响评价技术导则 土壤环境（试行）》（HJ964-2018），本项目为</w:t>
            </w:r>
            <w:r>
              <w:rPr>
                <w:rFonts w:ascii="Times New Roman" w:hAnsi="Times New Roman"/>
                <w:color w:val="auto"/>
                <w:sz w:val="24"/>
              </w:rPr>
              <w:t>Ⅰ</w:t>
            </w:r>
            <w:r>
              <w:rPr>
                <w:rFonts w:hint="eastAsia" w:ascii="Times New Roman" w:hAnsi="Times New Roman"/>
                <w:color w:val="auto"/>
                <w:sz w:val="24"/>
              </w:rPr>
              <w:t>类项目，永久占地面积2.892hm</w:t>
            </w:r>
            <w:r>
              <w:rPr>
                <w:rFonts w:hint="eastAsia" w:ascii="Times New Roman" w:hAnsi="Times New Roman"/>
                <w:color w:val="auto"/>
                <w:sz w:val="24"/>
                <w:vertAlign w:val="superscript"/>
              </w:rPr>
              <w:t>2</w:t>
            </w:r>
            <w:r>
              <w:rPr>
                <w:rFonts w:hint="eastAsia" w:ascii="Times New Roman" w:hAnsi="Times New Roman"/>
                <w:color w:val="auto"/>
                <w:sz w:val="24"/>
              </w:rPr>
              <w:t>＜5hm</w:t>
            </w:r>
            <w:r>
              <w:rPr>
                <w:rFonts w:hint="eastAsia" w:ascii="Times New Roman" w:hAnsi="Times New Roman"/>
                <w:color w:val="auto"/>
                <w:sz w:val="24"/>
                <w:vertAlign w:val="superscript"/>
              </w:rPr>
              <w:t>2</w:t>
            </w:r>
            <w:r>
              <w:rPr>
                <w:rFonts w:hint="eastAsia" w:ascii="Times New Roman" w:hAnsi="Times New Roman"/>
                <w:color w:val="auto"/>
                <w:sz w:val="24"/>
              </w:rPr>
              <w:t>，占地规模为小型，土壤环境敏感程度属于敏感（耕地），据此判定评价等级为一级，项目占地范围外1000m 范围内。</w:t>
            </w:r>
          </w:p>
          <w:p>
            <w:pPr>
              <w:autoSpaceDE w:val="0"/>
              <w:autoSpaceDN w:val="0"/>
              <w:spacing w:line="360" w:lineRule="auto"/>
              <w:ind w:firstLine="480" w:firstLineChars="200"/>
              <w:jc w:val="both"/>
              <w:textAlignment w:val="bottom"/>
              <w:rPr>
                <w:rFonts w:ascii="Times New Roman" w:hAnsi="Times New Roman"/>
                <w:color w:val="auto"/>
                <w:sz w:val="24"/>
              </w:rPr>
            </w:pPr>
            <w:r>
              <w:rPr>
                <w:rFonts w:hint="eastAsia" w:ascii="Times New Roman" w:hAnsi="Times New Roman"/>
                <w:color w:val="auto"/>
                <w:sz w:val="24"/>
              </w:rPr>
              <w:t>（7）环境风险</w:t>
            </w:r>
          </w:p>
          <w:p>
            <w:pPr>
              <w:autoSpaceDE w:val="0"/>
              <w:autoSpaceDN w:val="0"/>
              <w:spacing w:line="360" w:lineRule="auto"/>
              <w:ind w:firstLine="480" w:firstLineChars="200"/>
              <w:jc w:val="both"/>
              <w:textAlignment w:val="bottom"/>
              <w:rPr>
                <w:rFonts w:ascii="Times New Roman" w:hAnsi="Times New Roman"/>
                <w:color w:val="auto"/>
                <w:spacing w:val="-20"/>
                <w:sz w:val="24"/>
              </w:rPr>
            </w:pPr>
            <w:r>
              <w:rPr>
                <w:rFonts w:hint="eastAsia" w:ascii="Times New Roman" w:hAnsi="Times New Roman"/>
                <w:color w:val="auto"/>
                <w:sz w:val="24"/>
              </w:rPr>
              <w:t>本项目涉及的风险物质为原油和柴油，</w:t>
            </w:r>
            <w:r>
              <w:rPr>
                <w:rFonts w:ascii="Times New Roman" w:hAnsi="Times New Roman"/>
                <w:color w:val="auto"/>
                <w:sz w:val="24"/>
              </w:rPr>
              <w:t>根据《建设项目环境风险评价技术导则》（HJ 169-2018）</w:t>
            </w:r>
            <w:r>
              <w:rPr>
                <w:rFonts w:hint="eastAsia" w:ascii="Times New Roman" w:hAnsi="Times New Roman"/>
                <w:color w:val="auto"/>
                <w:sz w:val="24"/>
              </w:rPr>
              <w:t>分别计算各风险物质与临界量的比值（Q 值）。本项目Q =0.0274＜1，风险潜势直接判定</w:t>
            </w:r>
            <w:r>
              <w:rPr>
                <w:rFonts w:ascii="Times New Roman" w:hAnsi="Times New Roman"/>
                <w:color w:val="auto"/>
                <w:sz w:val="24"/>
              </w:rPr>
              <w:t>为Ⅰ</w:t>
            </w:r>
            <w:r>
              <w:rPr>
                <w:rFonts w:hint="eastAsia" w:ascii="Times New Roman" w:hAnsi="Times New Roman"/>
                <w:color w:val="auto"/>
                <w:sz w:val="24"/>
              </w:rPr>
              <w:t>，仅进行简单分析，不设环境</w:t>
            </w:r>
            <w:r>
              <w:rPr>
                <w:rFonts w:hint="eastAsia" w:ascii="Times New Roman" w:hAnsi="Times New Roman"/>
                <w:color w:val="auto"/>
                <w:spacing w:val="-20"/>
                <w:sz w:val="24"/>
              </w:rPr>
              <w:t>风险评价范围。</w:t>
            </w:r>
          </w:p>
          <w:p>
            <w:pPr>
              <w:pStyle w:val="74"/>
              <w:adjustRightInd w:val="0"/>
              <w:snapToGrid w:val="0"/>
              <w:spacing w:line="360" w:lineRule="auto"/>
              <w:ind w:firstLine="0" w:firstLineChars="0"/>
              <w:jc w:val="both"/>
              <w:outlineLvl w:val="9"/>
              <w:rPr>
                <w:rFonts w:ascii="Times New Roman" w:hAnsi="Times New Roman"/>
                <w:color w:val="auto"/>
                <w:szCs w:val="24"/>
              </w:rPr>
            </w:pPr>
            <w:r>
              <w:rPr>
                <w:rFonts w:hint="eastAsia" w:ascii="Times New Roman" w:hAnsi="Times New Roman"/>
                <w:color w:val="auto"/>
                <w:szCs w:val="24"/>
              </w:rPr>
              <w:t>5.环境保护目标</w:t>
            </w:r>
          </w:p>
          <w:p>
            <w:pPr>
              <w:spacing w:line="360" w:lineRule="auto"/>
              <w:ind w:firstLine="480" w:firstLineChars="200"/>
              <w:jc w:val="both"/>
              <w:rPr>
                <w:rFonts w:ascii="宋体" w:hAnsi="宋体"/>
                <w:color w:val="auto"/>
                <w:sz w:val="24"/>
              </w:rPr>
            </w:pPr>
            <w:r>
              <w:rPr>
                <w:rFonts w:hint="eastAsia" w:ascii="宋体" w:hAnsi="宋体"/>
                <w:color w:val="auto"/>
                <w:sz w:val="24"/>
              </w:rPr>
              <w:t>根据现场调查，评价范围内无自然保护区、风景名胜区。本项目主要环境保护目标一览表</w:t>
            </w:r>
            <w:r>
              <w:rPr>
                <w:rFonts w:ascii="Times New Roman" w:hAnsi="Times New Roman"/>
                <w:color w:val="auto"/>
                <w:sz w:val="24"/>
              </w:rPr>
              <w:t>见表</w:t>
            </w:r>
            <w:r>
              <w:rPr>
                <w:rFonts w:ascii="Times New Roman" w:hAnsi="Times New Roman" w:eastAsia="TimesNewRomanPSMT"/>
                <w:color w:val="auto"/>
                <w:sz w:val="24"/>
              </w:rPr>
              <w:t>3-1</w:t>
            </w:r>
            <w:r>
              <w:rPr>
                <w:rFonts w:hint="eastAsia" w:ascii="Times New Roman" w:hAnsi="Times New Roman"/>
                <w:color w:val="auto"/>
                <w:sz w:val="24"/>
              </w:rPr>
              <w:t>6</w:t>
            </w:r>
            <w:r>
              <w:rPr>
                <w:rFonts w:ascii="Times New Roman" w:hAnsi="Times New Roman"/>
                <w:color w:val="auto"/>
                <w:sz w:val="24"/>
              </w:rPr>
              <w:t>。</w:t>
            </w:r>
          </w:p>
          <w:p>
            <w:pPr>
              <w:ind w:firstLine="422" w:firstLineChars="200"/>
              <w:jc w:val="center"/>
              <w:rPr>
                <w:rFonts w:ascii="宋体" w:hAnsi="宋体"/>
                <w:b/>
                <w:bCs/>
                <w:color w:val="auto"/>
                <w:szCs w:val="21"/>
              </w:rPr>
            </w:pPr>
            <w:r>
              <w:rPr>
                <w:rFonts w:hint="eastAsia" w:ascii="宋体" w:hAnsi="宋体"/>
                <w:b/>
                <w:bCs/>
                <w:color w:val="auto"/>
                <w:szCs w:val="21"/>
              </w:rPr>
              <w:t>表</w:t>
            </w:r>
            <w:r>
              <w:rPr>
                <w:rFonts w:ascii="Times New Roman" w:hAnsi="Times New Roman"/>
                <w:b/>
                <w:bCs/>
                <w:color w:val="auto"/>
                <w:szCs w:val="21"/>
              </w:rPr>
              <w:t>3-1</w:t>
            </w:r>
            <w:r>
              <w:rPr>
                <w:rFonts w:hint="eastAsia" w:ascii="Times New Roman" w:hAnsi="Times New Roman"/>
                <w:b/>
                <w:bCs/>
                <w:color w:val="auto"/>
                <w:szCs w:val="21"/>
              </w:rPr>
              <w:t>6</w:t>
            </w:r>
            <w:r>
              <w:rPr>
                <w:rFonts w:ascii="Times New Roman" w:hAnsi="Times New Roman"/>
                <w:b/>
                <w:bCs/>
                <w:color w:val="auto"/>
                <w:szCs w:val="21"/>
              </w:rPr>
              <w:t xml:space="preserve"> </w:t>
            </w:r>
            <w:r>
              <w:rPr>
                <w:rFonts w:hint="eastAsia" w:ascii="宋体" w:hAnsi="宋体"/>
                <w:b/>
                <w:bCs/>
                <w:color w:val="auto"/>
                <w:szCs w:val="21"/>
              </w:rPr>
              <w:t xml:space="preserve"> 主要环境敏感目标一览表</w:t>
            </w:r>
          </w:p>
          <w:tbl>
            <w:tblPr>
              <w:tblStyle w:val="38"/>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1345"/>
              <w:gridCol w:w="2477"/>
              <w:gridCol w:w="978"/>
              <w:gridCol w:w="872"/>
              <w:gridCol w:w="21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4"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rPr>
                    <w:t>保护要素</w:t>
                  </w:r>
                </w:p>
              </w:tc>
              <w:tc>
                <w:tcPr>
                  <w:tcW w:w="1345"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主要保护</w:t>
                  </w:r>
                </w:p>
                <w:p>
                  <w:pPr>
                    <w:contextualSpacing/>
                    <w:jc w:val="center"/>
                    <w:rPr>
                      <w:rFonts w:ascii="Times New Roman" w:hAnsi="Times New Roman"/>
                      <w:color w:val="auto"/>
                      <w:szCs w:val="21"/>
                      <w:lang w:bidi="ar"/>
                    </w:rPr>
                  </w:pPr>
                  <w:r>
                    <w:rPr>
                      <w:rFonts w:ascii="Times New Roman" w:hAnsi="Times New Roman"/>
                      <w:color w:val="auto"/>
                      <w:szCs w:val="21"/>
                      <w:lang w:bidi="ar"/>
                    </w:rPr>
                    <w:t>对象</w:t>
                  </w:r>
                </w:p>
              </w:tc>
              <w:tc>
                <w:tcPr>
                  <w:tcW w:w="2477"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lang w:bidi="ar"/>
                    </w:rPr>
                    <w:t>相对位置</w:t>
                  </w:r>
                </w:p>
              </w:tc>
              <w:tc>
                <w:tcPr>
                  <w:tcW w:w="978"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属性</w:t>
                  </w:r>
                </w:p>
              </w:tc>
              <w:tc>
                <w:tcPr>
                  <w:tcW w:w="872"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人口数（户）</w:t>
                  </w:r>
                </w:p>
              </w:tc>
              <w:tc>
                <w:tcPr>
                  <w:tcW w:w="2130"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环境功能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4"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rPr>
                    <w:t>生态环境</w:t>
                  </w:r>
                </w:p>
              </w:tc>
              <w:tc>
                <w:tcPr>
                  <w:tcW w:w="1345"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农</w:t>
                  </w:r>
                  <w:r>
                    <w:rPr>
                      <w:rFonts w:hint="eastAsia" w:ascii="Times New Roman" w:hAnsi="Times New Roman"/>
                      <w:color w:val="auto"/>
                      <w:szCs w:val="21"/>
                      <w:lang w:bidi="ar"/>
                    </w:rPr>
                    <w:t>田、植被和动物</w:t>
                  </w:r>
                </w:p>
              </w:tc>
              <w:tc>
                <w:tcPr>
                  <w:tcW w:w="2477"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lang w:bidi="ar"/>
                    </w:rPr>
                    <w:t>井区及周边</w:t>
                  </w:r>
                </w:p>
              </w:tc>
              <w:tc>
                <w:tcPr>
                  <w:tcW w:w="1850" w:type="dxa"/>
                  <w:gridSpan w:val="2"/>
                  <w:tcBorders>
                    <w:tl2br w:val="nil"/>
                    <w:tr2bl w:val="nil"/>
                  </w:tcBorders>
                  <w:vAlign w:val="center"/>
                </w:tcPr>
                <w:p>
                  <w:pPr>
                    <w:jc w:val="center"/>
                    <w:rPr>
                      <w:rFonts w:ascii="宋体" w:hAnsi="宋体"/>
                      <w:color w:val="auto"/>
                      <w:szCs w:val="21"/>
                    </w:rPr>
                  </w:pPr>
                  <w:r>
                    <w:rPr>
                      <w:rFonts w:hint="eastAsia" w:ascii="宋体" w:hAnsi="宋体"/>
                      <w:color w:val="auto"/>
                      <w:szCs w:val="21"/>
                    </w:rPr>
                    <w:t>/</w:t>
                  </w:r>
                </w:p>
              </w:tc>
              <w:tc>
                <w:tcPr>
                  <w:tcW w:w="2130"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不改变</w:t>
                  </w:r>
                </w:p>
                <w:p>
                  <w:pPr>
                    <w:jc w:val="center"/>
                    <w:rPr>
                      <w:rFonts w:ascii="宋体" w:hAnsi="宋体"/>
                      <w:b/>
                      <w:bCs/>
                      <w:color w:val="auto"/>
                      <w:szCs w:val="21"/>
                    </w:rPr>
                  </w:pPr>
                  <w:r>
                    <w:rPr>
                      <w:rFonts w:hint="eastAsia" w:ascii="宋体" w:hAnsi="宋体"/>
                      <w:color w:val="auto"/>
                      <w:szCs w:val="21"/>
                    </w:rPr>
                    <w:t>生态功能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4" w:type="dxa"/>
                  <w:vMerge w:val="restart"/>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rPr>
                    <w:t>大气环境</w:t>
                  </w:r>
                </w:p>
              </w:tc>
              <w:tc>
                <w:tcPr>
                  <w:tcW w:w="1345" w:type="dxa"/>
                  <w:tcBorders>
                    <w:tl2br w:val="nil"/>
                    <w:tr2bl w:val="nil"/>
                  </w:tcBorders>
                  <w:vAlign w:val="center"/>
                </w:tcPr>
                <w:p>
                  <w:pPr>
                    <w:contextualSpacing/>
                    <w:jc w:val="center"/>
                    <w:rPr>
                      <w:rFonts w:ascii="Times New Roman" w:hAnsi="Times New Roman"/>
                      <w:color w:val="auto"/>
                      <w:szCs w:val="21"/>
                      <w:highlight w:val="yellow"/>
                      <w:lang w:bidi="ar"/>
                    </w:rPr>
                  </w:pPr>
                  <w:r>
                    <w:rPr>
                      <w:rFonts w:ascii="Times New Roman" w:hAnsi="Times New Roman"/>
                      <w:color w:val="auto"/>
                      <w:szCs w:val="21"/>
                      <w:lang w:bidi="ar"/>
                    </w:rPr>
                    <w:t>123团场</w:t>
                  </w:r>
                </w:p>
              </w:tc>
              <w:tc>
                <w:tcPr>
                  <w:tcW w:w="2477" w:type="dxa"/>
                  <w:tcBorders>
                    <w:tl2br w:val="nil"/>
                    <w:tr2bl w:val="nil"/>
                  </w:tcBorders>
                  <w:vAlign w:val="center"/>
                </w:tcPr>
                <w:p>
                  <w:pPr>
                    <w:contextualSpacing/>
                    <w:jc w:val="center"/>
                    <w:rPr>
                      <w:rFonts w:ascii="Times New Roman" w:hAnsi="Times New Roman"/>
                      <w:color w:val="auto"/>
                      <w:szCs w:val="21"/>
                      <w:highlight w:val="yellow"/>
                    </w:rPr>
                  </w:pPr>
                  <w:r>
                    <w:rPr>
                      <w:rFonts w:hint="eastAsia" w:ascii="Times New Roman" w:hAnsi="Times New Roman"/>
                      <w:color w:val="auto"/>
                      <w:szCs w:val="21"/>
                    </w:rPr>
                    <w:t>春9</w:t>
                  </w:r>
                  <w:r>
                    <w:rPr>
                      <w:rFonts w:ascii="Times New Roman" w:hAnsi="Times New Roman"/>
                      <w:color w:val="auto"/>
                      <w:szCs w:val="21"/>
                    </w:rPr>
                    <w:t>9</w:t>
                  </w:r>
                  <w:r>
                    <w:rPr>
                      <w:rFonts w:hint="eastAsia" w:ascii="Times New Roman" w:hAnsi="Times New Roman"/>
                      <w:color w:val="auto"/>
                      <w:szCs w:val="21"/>
                    </w:rPr>
                    <w:t>-3井西侧5</w:t>
                  </w:r>
                  <w:r>
                    <w:rPr>
                      <w:rFonts w:ascii="Times New Roman" w:hAnsi="Times New Roman"/>
                      <w:color w:val="auto"/>
                      <w:szCs w:val="21"/>
                    </w:rPr>
                    <w:t>0</w:t>
                  </w:r>
                  <w:r>
                    <w:rPr>
                      <w:rFonts w:hint="eastAsia" w:ascii="Times New Roman" w:hAnsi="Times New Roman"/>
                      <w:color w:val="auto"/>
                      <w:szCs w:val="21"/>
                    </w:rPr>
                    <w:t>m</w:t>
                  </w:r>
                </w:p>
              </w:tc>
              <w:tc>
                <w:tcPr>
                  <w:tcW w:w="978"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2860</w:t>
                  </w:r>
                </w:p>
              </w:tc>
              <w:tc>
                <w:tcPr>
                  <w:tcW w:w="2130" w:type="dxa"/>
                  <w:vMerge w:val="restart"/>
                  <w:tcBorders>
                    <w:tl2br w:val="nil"/>
                    <w:tr2bl w:val="nil"/>
                  </w:tcBorders>
                  <w:vAlign w:val="center"/>
                </w:tcPr>
                <w:p>
                  <w:pPr>
                    <w:jc w:val="center"/>
                    <w:rPr>
                      <w:rFonts w:ascii="宋体" w:hAnsi="宋体"/>
                      <w:b/>
                      <w:bCs/>
                      <w:color w:val="auto"/>
                      <w:szCs w:val="21"/>
                    </w:rPr>
                  </w:pPr>
                  <w:r>
                    <w:rPr>
                      <w:rFonts w:hint="eastAsia" w:ascii="宋体" w:hAnsi="宋体"/>
                      <w:color w:val="auto"/>
                      <w:szCs w:val="21"/>
                    </w:rPr>
                    <w:t>《环境空气质量标准》</w:t>
                  </w:r>
                  <w:r>
                    <w:rPr>
                      <w:rFonts w:ascii="Times New Roman" w:hAnsi="Times New Roman"/>
                      <w:color w:val="auto"/>
                      <w:szCs w:val="21"/>
                    </w:rPr>
                    <w:t>（GB3095-2012）二</w:t>
                  </w:r>
                  <w:r>
                    <w:rPr>
                      <w:rFonts w:hint="eastAsia" w:ascii="Times New Roman" w:hAnsi="Times New Roman"/>
                      <w:color w:val="auto"/>
                      <w:szCs w:val="21"/>
                    </w:rPr>
                    <w:t>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4" w:type="dxa"/>
                  <w:vMerge w:val="continue"/>
                  <w:tcBorders>
                    <w:tl2br w:val="nil"/>
                    <w:tr2bl w:val="nil"/>
                  </w:tcBorders>
                </w:tcPr>
                <w:p>
                  <w:pPr>
                    <w:jc w:val="center"/>
                    <w:rPr>
                      <w:rFonts w:ascii="宋体" w:hAnsi="宋体"/>
                      <w:b/>
                      <w:bCs/>
                      <w:color w:val="auto"/>
                      <w:szCs w:val="21"/>
                    </w:rPr>
                  </w:pPr>
                </w:p>
              </w:tc>
              <w:tc>
                <w:tcPr>
                  <w:tcW w:w="1345" w:type="dxa"/>
                  <w:tcBorders>
                    <w:tl2br w:val="nil"/>
                    <w:tr2bl w:val="nil"/>
                  </w:tcBorders>
                  <w:vAlign w:val="center"/>
                </w:tcPr>
                <w:p>
                  <w:pPr>
                    <w:contextualSpacing/>
                    <w:jc w:val="center"/>
                    <w:rPr>
                      <w:rFonts w:ascii="Times New Roman" w:hAnsi="Times New Roman"/>
                      <w:color w:val="auto"/>
                      <w:szCs w:val="21"/>
                      <w:highlight w:val="yellow"/>
                      <w:lang w:bidi="ar"/>
                    </w:rPr>
                  </w:pPr>
                  <w:r>
                    <w:rPr>
                      <w:rFonts w:ascii="Times New Roman" w:hAnsi="Times New Roman"/>
                      <w:color w:val="auto"/>
                      <w:szCs w:val="21"/>
                      <w:lang w:bidi="ar"/>
                    </w:rPr>
                    <w:t>123团</w:t>
                  </w:r>
                  <w:r>
                    <w:rPr>
                      <w:rFonts w:hint="eastAsia" w:ascii="Times New Roman" w:hAnsi="Times New Roman"/>
                      <w:color w:val="auto"/>
                      <w:szCs w:val="21"/>
                      <w:lang w:bidi="ar"/>
                    </w:rPr>
                    <w:t>1</w:t>
                  </w:r>
                  <w:r>
                    <w:rPr>
                      <w:rFonts w:ascii="Times New Roman" w:hAnsi="Times New Roman"/>
                      <w:color w:val="auto"/>
                      <w:szCs w:val="21"/>
                      <w:lang w:bidi="ar"/>
                    </w:rPr>
                    <w:t>6连</w:t>
                  </w:r>
                </w:p>
              </w:tc>
              <w:tc>
                <w:tcPr>
                  <w:tcW w:w="2477" w:type="dxa"/>
                  <w:tcBorders>
                    <w:tl2br w:val="nil"/>
                    <w:tr2bl w:val="nil"/>
                  </w:tcBorders>
                  <w:vAlign w:val="center"/>
                </w:tcPr>
                <w:p>
                  <w:pPr>
                    <w:contextualSpacing/>
                    <w:jc w:val="center"/>
                    <w:rPr>
                      <w:rFonts w:ascii="Times New Roman" w:hAnsi="Times New Roman"/>
                      <w:color w:val="auto"/>
                      <w:szCs w:val="21"/>
                      <w:highlight w:val="yellow"/>
                    </w:rPr>
                  </w:pPr>
                  <w:r>
                    <w:rPr>
                      <w:rFonts w:ascii="Times New Roman" w:hAnsi="Times New Roman"/>
                      <w:color w:val="auto"/>
                      <w:szCs w:val="21"/>
                    </w:rPr>
                    <w:t>春99-2井</w:t>
                  </w:r>
                  <w:r>
                    <w:rPr>
                      <w:rFonts w:hint="eastAsia" w:ascii="Times New Roman" w:hAnsi="Times New Roman"/>
                      <w:color w:val="auto"/>
                      <w:szCs w:val="21"/>
                    </w:rPr>
                    <w:t>北</w:t>
                  </w:r>
                  <w:r>
                    <w:rPr>
                      <w:rFonts w:ascii="Times New Roman" w:hAnsi="Times New Roman"/>
                      <w:color w:val="auto"/>
                      <w:szCs w:val="21"/>
                    </w:rPr>
                    <w:t>侧1900m</w:t>
                  </w:r>
                </w:p>
              </w:tc>
              <w:tc>
                <w:tcPr>
                  <w:tcW w:w="978" w:type="dxa"/>
                  <w:tcBorders>
                    <w:tl2br w:val="nil"/>
                    <w:tr2bl w:val="nil"/>
                  </w:tcBorders>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480</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4" w:type="dxa"/>
                  <w:vMerge w:val="continue"/>
                  <w:tcBorders>
                    <w:tl2br w:val="nil"/>
                    <w:tr2bl w:val="nil"/>
                  </w:tcBorders>
                </w:tcPr>
                <w:p>
                  <w:pPr>
                    <w:jc w:val="center"/>
                    <w:rPr>
                      <w:rFonts w:ascii="宋体" w:hAnsi="宋体"/>
                      <w:b/>
                      <w:bCs/>
                      <w:color w:val="auto"/>
                      <w:szCs w:val="21"/>
                    </w:rPr>
                  </w:pPr>
                </w:p>
              </w:tc>
              <w:tc>
                <w:tcPr>
                  <w:tcW w:w="1345" w:type="dxa"/>
                  <w:tcBorders>
                    <w:tl2br w:val="nil"/>
                    <w:tr2bl w:val="nil"/>
                  </w:tcBorders>
                  <w:vAlign w:val="center"/>
                </w:tcPr>
                <w:p>
                  <w:pPr>
                    <w:contextualSpacing/>
                    <w:jc w:val="center"/>
                    <w:rPr>
                      <w:rFonts w:ascii="Times New Roman" w:hAnsi="Times New Roman"/>
                      <w:color w:val="auto"/>
                      <w:szCs w:val="21"/>
                      <w:highlight w:val="yellow"/>
                      <w:lang w:bidi="ar"/>
                    </w:rPr>
                  </w:pPr>
                  <w:r>
                    <w:rPr>
                      <w:rFonts w:ascii="Times New Roman" w:hAnsi="Times New Roman"/>
                      <w:color w:val="auto"/>
                      <w:szCs w:val="21"/>
                      <w:lang w:bidi="ar"/>
                    </w:rPr>
                    <w:t>123团6连</w:t>
                  </w:r>
                </w:p>
              </w:tc>
              <w:tc>
                <w:tcPr>
                  <w:tcW w:w="2477" w:type="dxa"/>
                  <w:tcBorders>
                    <w:tl2br w:val="nil"/>
                    <w:tr2bl w:val="nil"/>
                  </w:tcBorders>
                  <w:vAlign w:val="center"/>
                </w:tcPr>
                <w:p>
                  <w:pPr>
                    <w:contextualSpacing/>
                    <w:jc w:val="center"/>
                    <w:rPr>
                      <w:rFonts w:ascii="Times New Roman" w:hAnsi="Times New Roman"/>
                      <w:color w:val="auto"/>
                      <w:szCs w:val="21"/>
                      <w:highlight w:val="yellow"/>
                    </w:rPr>
                  </w:pPr>
                  <w:r>
                    <w:rPr>
                      <w:rFonts w:ascii="Times New Roman" w:hAnsi="Times New Roman"/>
                      <w:color w:val="auto"/>
                      <w:szCs w:val="21"/>
                    </w:rPr>
                    <w:t>春99</w:t>
                  </w:r>
                  <w:r>
                    <w:rPr>
                      <w:rFonts w:hint="eastAsia" w:ascii="Times New Roman" w:hAnsi="Times New Roman"/>
                      <w:color w:val="auto"/>
                      <w:szCs w:val="21"/>
                    </w:rPr>
                    <w:t>-</w:t>
                  </w:r>
                  <w:r>
                    <w:rPr>
                      <w:rFonts w:ascii="Times New Roman" w:hAnsi="Times New Roman"/>
                      <w:color w:val="auto"/>
                      <w:szCs w:val="21"/>
                    </w:rPr>
                    <w:t>2井西侧2100m</w:t>
                  </w:r>
                </w:p>
              </w:tc>
              <w:tc>
                <w:tcPr>
                  <w:tcW w:w="978"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130</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4" w:type="dxa"/>
                  <w:vMerge w:val="continue"/>
                  <w:tcBorders>
                    <w:tl2br w:val="nil"/>
                    <w:tr2bl w:val="nil"/>
                  </w:tcBorders>
                </w:tcPr>
                <w:p>
                  <w:pPr>
                    <w:jc w:val="center"/>
                    <w:rPr>
                      <w:rFonts w:ascii="宋体" w:hAnsi="宋体"/>
                      <w:b/>
                      <w:bCs/>
                      <w:color w:val="auto"/>
                      <w:szCs w:val="21"/>
                    </w:rPr>
                  </w:pPr>
                </w:p>
              </w:tc>
              <w:tc>
                <w:tcPr>
                  <w:tcW w:w="1345" w:type="dxa"/>
                  <w:tcBorders>
                    <w:tl2br w:val="nil"/>
                    <w:tr2bl w:val="nil"/>
                  </w:tcBorders>
                  <w:vAlign w:val="center"/>
                </w:tcPr>
                <w:p>
                  <w:pPr>
                    <w:contextualSpacing/>
                    <w:jc w:val="center"/>
                    <w:rPr>
                      <w:rFonts w:ascii="Times New Roman" w:hAnsi="Times New Roman"/>
                      <w:color w:val="auto"/>
                      <w:szCs w:val="21"/>
                      <w:lang w:bidi="ar"/>
                    </w:rPr>
                  </w:pPr>
                  <w:r>
                    <w:rPr>
                      <w:rFonts w:hint="eastAsia" w:ascii="Times New Roman" w:hAnsi="Times New Roman"/>
                      <w:color w:val="auto"/>
                      <w:szCs w:val="21"/>
                      <w:lang w:bidi="ar"/>
                    </w:rPr>
                    <w:t>房建连</w:t>
                  </w:r>
                </w:p>
              </w:tc>
              <w:tc>
                <w:tcPr>
                  <w:tcW w:w="2477" w:type="dxa"/>
                  <w:tcBorders>
                    <w:tl2br w:val="nil"/>
                    <w:tr2bl w:val="nil"/>
                  </w:tcBorders>
                  <w:vAlign w:val="center"/>
                </w:tcPr>
                <w:p>
                  <w:pPr>
                    <w:contextualSpacing/>
                    <w:jc w:val="center"/>
                    <w:rPr>
                      <w:rFonts w:ascii="Times New Roman" w:hAnsi="Times New Roman"/>
                      <w:color w:val="auto"/>
                      <w:szCs w:val="21"/>
                      <w:highlight w:val="yellow"/>
                    </w:rPr>
                  </w:pPr>
                  <w:r>
                    <w:rPr>
                      <w:rFonts w:ascii="Times New Roman" w:hAnsi="Times New Roman"/>
                      <w:color w:val="auto"/>
                      <w:szCs w:val="21"/>
                    </w:rPr>
                    <w:t>春99</w:t>
                  </w:r>
                  <w:r>
                    <w:rPr>
                      <w:rFonts w:hint="eastAsia" w:ascii="Times New Roman" w:hAnsi="Times New Roman"/>
                      <w:color w:val="auto"/>
                      <w:szCs w:val="21"/>
                    </w:rPr>
                    <w:t>-</w:t>
                  </w:r>
                  <w:r>
                    <w:rPr>
                      <w:rFonts w:ascii="Times New Roman" w:hAnsi="Times New Roman"/>
                      <w:color w:val="auto"/>
                      <w:szCs w:val="21"/>
                    </w:rPr>
                    <w:t>2井西侧</w:t>
                  </w:r>
                  <w:r>
                    <w:rPr>
                      <w:rFonts w:hint="eastAsia" w:ascii="Times New Roman" w:hAnsi="Times New Roman"/>
                      <w:color w:val="auto"/>
                      <w:szCs w:val="21"/>
                    </w:rPr>
                    <w:t>4</w:t>
                  </w:r>
                  <w:r>
                    <w:rPr>
                      <w:rFonts w:ascii="Times New Roman" w:hAnsi="Times New Roman"/>
                      <w:color w:val="auto"/>
                      <w:szCs w:val="21"/>
                    </w:rPr>
                    <w:t>50</w:t>
                  </w:r>
                  <w:r>
                    <w:rPr>
                      <w:rFonts w:hint="eastAsia" w:ascii="Times New Roman" w:hAnsi="Times New Roman"/>
                      <w:color w:val="auto"/>
                      <w:szCs w:val="21"/>
                    </w:rPr>
                    <w:t>m</w:t>
                  </w:r>
                </w:p>
              </w:tc>
              <w:tc>
                <w:tcPr>
                  <w:tcW w:w="978" w:type="dxa"/>
                  <w:tcBorders>
                    <w:tl2br w:val="nil"/>
                    <w:tr2bl w:val="nil"/>
                  </w:tcBorders>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180</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4" w:type="dxa"/>
                  <w:vMerge w:val="continue"/>
                  <w:tcBorders>
                    <w:tl2br w:val="nil"/>
                    <w:tr2bl w:val="nil"/>
                  </w:tcBorders>
                </w:tcPr>
                <w:p>
                  <w:pPr>
                    <w:jc w:val="center"/>
                    <w:rPr>
                      <w:rFonts w:ascii="宋体" w:hAnsi="宋体"/>
                      <w:b/>
                      <w:bCs/>
                      <w:color w:val="auto"/>
                      <w:szCs w:val="21"/>
                    </w:rPr>
                  </w:pPr>
                </w:p>
              </w:tc>
              <w:tc>
                <w:tcPr>
                  <w:tcW w:w="1345" w:type="dxa"/>
                  <w:tcBorders>
                    <w:tl2br w:val="nil"/>
                    <w:tr2bl w:val="nil"/>
                  </w:tcBorders>
                  <w:vAlign w:val="center"/>
                </w:tcPr>
                <w:p>
                  <w:pPr>
                    <w:contextualSpacing/>
                    <w:jc w:val="center"/>
                    <w:rPr>
                      <w:rFonts w:ascii="Times New Roman" w:hAnsi="Times New Roman"/>
                      <w:color w:val="auto"/>
                      <w:szCs w:val="21"/>
                      <w:highlight w:val="yellow"/>
                      <w:lang w:bidi="ar"/>
                    </w:rPr>
                  </w:pPr>
                  <w:r>
                    <w:rPr>
                      <w:rFonts w:ascii="Times New Roman" w:hAnsi="Times New Roman"/>
                      <w:color w:val="auto"/>
                      <w:szCs w:val="21"/>
                      <w:lang w:bidi="ar"/>
                    </w:rPr>
                    <w:t>123团12连</w:t>
                  </w:r>
                </w:p>
              </w:tc>
              <w:tc>
                <w:tcPr>
                  <w:tcW w:w="2477" w:type="dxa"/>
                  <w:tcBorders>
                    <w:tl2br w:val="nil"/>
                    <w:tr2bl w:val="nil"/>
                  </w:tcBorders>
                  <w:vAlign w:val="center"/>
                </w:tcPr>
                <w:p>
                  <w:pPr>
                    <w:contextualSpacing/>
                    <w:jc w:val="center"/>
                    <w:rPr>
                      <w:rFonts w:ascii="Times New Roman" w:hAnsi="Times New Roman"/>
                      <w:color w:val="auto"/>
                      <w:szCs w:val="21"/>
                      <w:highlight w:val="yellow"/>
                    </w:rPr>
                  </w:pPr>
                  <w:r>
                    <w:rPr>
                      <w:rFonts w:ascii="Times New Roman" w:hAnsi="Times New Roman"/>
                      <w:color w:val="auto"/>
                      <w:szCs w:val="21"/>
                    </w:rPr>
                    <w:t>春2-606井</w:t>
                  </w:r>
                  <w:r>
                    <w:rPr>
                      <w:rFonts w:hint="eastAsia" w:ascii="Times New Roman" w:hAnsi="Times New Roman"/>
                      <w:color w:val="auto"/>
                      <w:szCs w:val="21"/>
                    </w:rPr>
                    <w:t>西</w:t>
                  </w:r>
                  <w:r>
                    <w:rPr>
                      <w:rFonts w:ascii="Times New Roman" w:hAnsi="Times New Roman"/>
                      <w:color w:val="auto"/>
                      <w:szCs w:val="21"/>
                    </w:rPr>
                    <w:t>侧1800m</w:t>
                  </w:r>
                </w:p>
              </w:tc>
              <w:tc>
                <w:tcPr>
                  <w:tcW w:w="978"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120</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tcBorders>
                    <w:tl2br w:val="nil"/>
                    <w:tr2bl w:val="nil"/>
                  </w:tcBorders>
                </w:tcPr>
                <w:p>
                  <w:pPr>
                    <w:jc w:val="center"/>
                    <w:rPr>
                      <w:rFonts w:ascii="宋体" w:hAnsi="宋体"/>
                      <w:b/>
                      <w:bCs/>
                      <w:color w:val="auto"/>
                      <w:szCs w:val="21"/>
                    </w:rPr>
                  </w:pPr>
                </w:p>
              </w:tc>
              <w:tc>
                <w:tcPr>
                  <w:tcW w:w="1345" w:type="dxa"/>
                  <w:tcBorders>
                    <w:tl2br w:val="nil"/>
                    <w:tr2bl w:val="nil"/>
                  </w:tcBorders>
                  <w:vAlign w:val="center"/>
                </w:tcPr>
                <w:p>
                  <w:pPr>
                    <w:contextualSpacing/>
                    <w:jc w:val="center"/>
                    <w:rPr>
                      <w:rFonts w:ascii="Times New Roman" w:hAnsi="Times New Roman"/>
                      <w:color w:val="auto"/>
                      <w:szCs w:val="21"/>
                      <w:highlight w:val="yellow"/>
                      <w:lang w:bidi="ar"/>
                    </w:rPr>
                  </w:pPr>
                  <w:r>
                    <w:rPr>
                      <w:rFonts w:ascii="Times New Roman" w:hAnsi="Times New Roman"/>
                      <w:color w:val="auto"/>
                      <w:szCs w:val="21"/>
                      <w:lang w:bidi="ar"/>
                    </w:rPr>
                    <w:t>123团8连</w:t>
                  </w:r>
                </w:p>
              </w:tc>
              <w:tc>
                <w:tcPr>
                  <w:tcW w:w="2477" w:type="dxa"/>
                  <w:tcBorders>
                    <w:tl2br w:val="nil"/>
                    <w:tr2bl w:val="nil"/>
                  </w:tcBorders>
                  <w:vAlign w:val="center"/>
                </w:tcPr>
                <w:p>
                  <w:pPr>
                    <w:contextualSpacing/>
                    <w:jc w:val="center"/>
                    <w:rPr>
                      <w:rFonts w:ascii="Times New Roman" w:hAnsi="Times New Roman"/>
                      <w:color w:val="auto"/>
                      <w:szCs w:val="21"/>
                      <w:highlight w:val="yellow"/>
                    </w:rPr>
                  </w:pPr>
                  <w:r>
                    <w:rPr>
                      <w:rFonts w:ascii="Times New Roman" w:hAnsi="Times New Roman"/>
                      <w:color w:val="auto"/>
                      <w:szCs w:val="21"/>
                    </w:rPr>
                    <w:t>春2</w:t>
                  </w:r>
                  <w:r>
                    <w:rPr>
                      <w:rFonts w:hint="eastAsia" w:ascii="Times New Roman" w:hAnsi="Times New Roman"/>
                      <w:color w:val="auto"/>
                      <w:szCs w:val="21"/>
                    </w:rPr>
                    <w:t>-</w:t>
                  </w:r>
                  <w:r>
                    <w:rPr>
                      <w:rFonts w:ascii="Times New Roman" w:hAnsi="Times New Roman"/>
                      <w:color w:val="auto"/>
                      <w:szCs w:val="21"/>
                    </w:rPr>
                    <w:t>607井</w:t>
                  </w:r>
                  <w:r>
                    <w:rPr>
                      <w:rFonts w:hint="eastAsia" w:ascii="Times New Roman" w:hAnsi="Times New Roman"/>
                      <w:color w:val="auto"/>
                      <w:szCs w:val="21"/>
                    </w:rPr>
                    <w:t>南</w:t>
                  </w:r>
                  <w:r>
                    <w:rPr>
                      <w:rFonts w:ascii="Times New Roman" w:hAnsi="Times New Roman"/>
                      <w:color w:val="auto"/>
                      <w:szCs w:val="21"/>
                    </w:rPr>
                    <w:t>侧600m</w:t>
                  </w:r>
                </w:p>
              </w:tc>
              <w:tc>
                <w:tcPr>
                  <w:tcW w:w="978" w:type="dxa"/>
                  <w:tcBorders>
                    <w:tl2br w:val="nil"/>
                    <w:tr2bl w:val="nil"/>
                  </w:tcBorders>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150</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64" w:type="dxa"/>
                  <w:vMerge w:val="continue"/>
                  <w:tcBorders>
                    <w:tl2br w:val="nil"/>
                    <w:tr2bl w:val="nil"/>
                  </w:tcBorders>
                </w:tcPr>
                <w:p>
                  <w:pPr>
                    <w:jc w:val="center"/>
                    <w:rPr>
                      <w:rFonts w:ascii="宋体" w:hAnsi="宋体"/>
                      <w:b/>
                      <w:bCs/>
                      <w:color w:val="auto"/>
                      <w:szCs w:val="21"/>
                    </w:rPr>
                  </w:pPr>
                </w:p>
              </w:tc>
              <w:tc>
                <w:tcPr>
                  <w:tcW w:w="1345" w:type="dxa"/>
                  <w:tcBorders>
                    <w:tl2br w:val="nil"/>
                    <w:tr2bl w:val="nil"/>
                  </w:tcBorders>
                  <w:vAlign w:val="center"/>
                </w:tcPr>
                <w:p>
                  <w:pPr>
                    <w:contextualSpacing/>
                    <w:jc w:val="center"/>
                    <w:rPr>
                      <w:rFonts w:ascii="Times New Roman" w:hAnsi="Times New Roman"/>
                      <w:color w:val="auto"/>
                      <w:szCs w:val="21"/>
                      <w:lang w:bidi="ar"/>
                    </w:rPr>
                  </w:pPr>
                  <w:r>
                    <w:rPr>
                      <w:rFonts w:hint="eastAsia" w:ascii="Times New Roman" w:hAnsi="Times New Roman"/>
                      <w:color w:val="auto"/>
                      <w:szCs w:val="21"/>
                      <w:lang w:bidi="ar"/>
                    </w:rPr>
                    <w:t>桂香屯</w:t>
                  </w:r>
                </w:p>
              </w:tc>
              <w:tc>
                <w:tcPr>
                  <w:tcW w:w="2477" w:type="dxa"/>
                  <w:tcBorders>
                    <w:tl2br w:val="nil"/>
                    <w:tr2bl w:val="nil"/>
                  </w:tcBorders>
                  <w:vAlign w:val="center"/>
                </w:tcPr>
                <w:p>
                  <w:pPr>
                    <w:contextualSpacing/>
                    <w:jc w:val="center"/>
                    <w:rPr>
                      <w:rFonts w:ascii="Times New Roman" w:hAnsi="Times New Roman"/>
                      <w:color w:val="auto"/>
                      <w:szCs w:val="21"/>
                      <w:highlight w:val="yellow"/>
                    </w:rPr>
                  </w:pPr>
                  <w:r>
                    <w:rPr>
                      <w:rFonts w:hint="eastAsia" w:ascii="Times New Roman" w:hAnsi="Times New Roman"/>
                      <w:color w:val="auto"/>
                      <w:szCs w:val="21"/>
                    </w:rPr>
                    <w:t>春9</w:t>
                  </w:r>
                  <w:r>
                    <w:rPr>
                      <w:rFonts w:ascii="Times New Roman" w:hAnsi="Times New Roman"/>
                      <w:color w:val="auto"/>
                      <w:szCs w:val="21"/>
                    </w:rPr>
                    <w:t>9</w:t>
                  </w:r>
                  <w:r>
                    <w:rPr>
                      <w:rFonts w:hint="eastAsia" w:ascii="Times New Roman" w:hAnsi="Times New Roman"/>
                      <w:color w:val="auto"/>
                      <w:szCs w:val="21"/>
                    </w:rPr>
                    <w:t>-</w:t>
                  </w:r>
                  <w:r>
                    <w:rPr>
                      <w:rFonts w:ascii="Times New Roman" w:hAnsi="Times New Roman"/>
                      <w:color w:val="auto"/>
                      <w:szCs w:val="21"/>
                    </w:rPr>
                    <w:t>7</w:t>
                  </w:r>
                  <w:r>
                    <w:rPr>
                      <w:rFonts w:hint="eastAsia" w:ascii="Times New Roman" w:hAnsi="Times New Roman"/>
                      <w:color w:val="auto"/>
                      <w:szCs w:val="21"/>
                    </w:rPr>
                    <w:t>东南侧2</w:t>
                  </w:r>
                  <w:r>
                    <w:rPr>
                      <w:rFonts w:ascii="Times New Roman" w:hAnsi="Times New Roman"/>
                      <w:color w:val="auto"/>
                      <w:szCs w:val="21"/>
                    </w:rPr>
                    <w:t>00</w:t>
                  </w:r>
                  <w:r>
                    <w:rPr>
                      <w:rFonts w:hint="eastAsia" w:ascii="Times New Roman" w:hAnsi="Times New Roman"/>
                      <w:color w:val="auto"/>
                      <w:szCs w:val="21"/>
                    </w:rPr>
                    <w:t>m</w:t>
                  </w:r>
                </w:p>
              </w:tc>
              <w:tc>
                <w:tcPr>
                  <w:tcW w:w="978"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85</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tcBorders>
                    <w:tl2br w:val="nil"/>
                    <w:tr2bl w:val="nil"/>
                  </w:tcBorders>
                </w:tcPr>
                <w:p>
                  <w:pPr>
                    <w:jc w:val="center"/>
                    <w:rPr>
                      <w:rFonts w:ascii="宋体" w:hAnsi="宋体"/>
                      <w:b/>
                      <w:bCs/>
                      <w:color w:val="auto"/>
                      <w:szCs w:val="21"/>
                    </w:rPr>
                  </w:pPr>
                </w:p>
              </w:tc>
              <w:tc>
                <w:tcPr>
                  <w:tcW w:w="1345" w:type="dxa"/>
                  <w:tcBorders>
                    <w:tl2br w:val="nil"/>
                    <w:tr2bl w:val="nil"/>
                  </w:tcBorders>
                  <w:vAlign w:val="center"/>
                </w:tcPr>
                <w:p>
                  <w:pPr>
                    <w:contextualSpacing/>
                    <w:jc w:val="center"/>
                    <w:rPr>
                      <w:rFonts w:ascii="Times New Roman" w:hAnsi="Times New Roman"/>
                      <w:color w:val="auto"/>
                      <w:szCs w:val="21"/>
                      <w:highlight w:val="yellow"/>
                      <w:lang w:bidi="ar"/>
                    </w:rPr>
                  </w:pPr>
                  <w:r>
                    <w:rPr>
                      <w:rFonts w:ascii="Times New Roman" w:hAnsi="Times New Roman"/>
                      <w:color w:val="auto"/>
                      <w:szCs w:val="21"/>
                      <w:lang w:bidi="ar"/>
                    </w:rPr>
                    <w:t>123团20连</w:t>
                  </w:r>
                </w:p>
              </w:tc>
              <w:tc>
                <w:tcPr>
                  <w:tcW w:w="2477" w:type="dxa"/>
                  <w:tcBorders>
                    <w:tl2br w:val="nil"/>
                    <w:tr2bl w:val="nil"/>
                  </w:tcBorders>
                  <w:vAlign w:val="center"/>
                </w:tcPr>
                <w:p>
                  <w:pPr>
                    <w:contextualSpacing/>
                    <w:jc w:val="center"/>
                    <w:rPr>
                      <w:rFonts w:ascii="Times New Roman" w:hAnsi="Times New Roman"/>
                      <w:color w:val="auto"/>
                      <w:szCs w:val="21"/>
                      <w:highlight w:val="yellow"/>
                    </w:rPr>
                  </w:pPr>
                  <w:r>
                    <w:rPr>
                      <w:rFonts w:ascii="Times New Roman" w:hAnsi="Times New Roman"/>
                      <w:color w:val="auto"/>
                      <w:szCs w:val="21"/>
                    </w:rPr>
                    <w:t>春2</w:t>
                  </w:r>
                  <w:r>
                    <w:rPr>
                      <w:rFonts w:hint="eastAsia" w:ascii="Times New Roman" w:hAnsi="Times New Roman"/>
                      <w:color w:val="auto"/>
                      <w:szCs w:val="21"/>
                    </w:rPr>
                    <w:t>-</w:t>
                  </w:r>
                  <w:r>
                    <w:rPr>
                      <w:rFonts w:ascii="Times New Roman" w:hAnsi="Times New Roman"/>
                      <w:color w:val="auto"/>
                      <w:szCs w:val="21"/>
                    </w:rPr>
                    <w:t>607井</w:t>
                  </w:r>
                  <w:r>
                    <w:rPr>
                      <w:rFonts w:hint="eastAsia" w:ascii="Times New Roman" w:hAnsi="Times New Roman"/>
                      <w:color w:val="auto"/>
                      <w:szCs w:val="21"/>
                    </w:rPr>
                    <w:t>东南</w:t>
                  </w:r>
                  <w:r>
                    <w:rPr>
                      <w:rFonts w:ascii="Times New Roman" w:hAnsi="Times New Roman"/>
                      <w:color w:val="auto"/>
                      <w:szCs w:val="21"/>
                    </w:rPr>
                    <w:t>侧1300m</w:t>
                  </w:r>
                </w:p>
              </w:tc>
              <w:tc>
                <w:tcPr>
                  <w:tcW w:w="978" w:type="dxa"/>
                  <w:tcBorders>
                    <w:tl2br w:val="nil"/>
                    <w:tr2bl w:val="nil"/>
                  </w:tcBorders>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20</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tcBorders>
                    <w:tl2br w:val="nil"/>
                    <w:tr2bl w:val="nil"/>
                  </w:tcBorders>
                </w:tcPr>
                <w:p>
                  <w:pPr>
                    <w:jc w:val="center"/>
                    <w:rPr>
                      <w:rFonts w:ascii="宋体" w:hAnsi="宋体"/>
                      <w:b/>
                      <w:bCs/>
                      <w:color w:val="auto"/>
                      <w:szCs w:val="21"/>
                    </w:rPr>
                  </w:pPr>
                </w:p>
              </w:tc>
              <w:tc>
                <w:tcPr>
                  <w:tcW w:w="1345" w:type="dxa"/>
                  <w:tcBorders>
                    <w:tl2br w:val="nil"/>
                    <w:tr2bl w:val="nil"/>
                  </w:tcBorders>
                  <w:vAlign w:val="center"/>
                </w:tcPr>
                <w:p>
                  <w:pPr>
                    <w:contextualSpacing/>
                    <w:jc w:val="center"/>
                    <w:rPr>
                      <w:rFonts w:ascii="Times New Roman" w:hAnsi="Times New Roman"/>
                      <w:color w:val="auto"/>
                      <w:szCs w:val="21"/>
                      <w:highlight w:val="yellow"/>
                      <w:lang w:bidi="ar"/>
                    </w:rPr>
                  </w:pPr>
                  <w:r>
                    <w:rPr>
                      <w:rFonts w:ascii="Times New Roman" w:hAnsi="Times New Roman"/>
                      <w:color w:val="auto"/>
                      <w:szCs w:val="21"/>
                      <w:lang w:bidi="ar"/>
                    </w:rPr>
                    <w:t>123团9连</w:t>
                  </w:r>
                </w:p>
              </w:tc>
              <w:tc>
                <w:tcPr>
                  <w:tcW w:w="2477" w:type="dxa"/>
                  <w:tcBorders>
                    <w:tl2br w:val="nil"/>
                    <w:tr2bl w:val="nil"/>
                  </w:tcBorders>
                  <w:vAlign w:val="center"/>
                </w:tcPr>
                <w:p>
                  <w:pPr>
                    <w:contextualSpacing/>
                    <w:jc w:val="center"/>
                    <w:rPr>
                      <w:rFonts w:ascii="Times New Roman" w:hAnsi="Times New Roman"/>
                      <w:color w:val="auto"/>
                      <w:szCs w:val="21"/>
                      <w:highlight w:val="yellow"/>
                    </w:rPr>
                  </w:pPr>
                  <w:r>
                    <w:rPr>
                      <w:rFonts w:ascii="Times New Roman" w:hAnsi="Times New Roman"/>
                      <w:color w:val="auto"/>
                      <w:szCs w:val="21"/>
                    </w:rPr>
                    <w:t>春2</w:t>
                  </w:r>
                  <w:r>
                    <w:rPr>
                      <w:rFonts w:hint="eastAsia" w:ascii="Times New Roman" w:hAnsi="Times New Roman"/>
                      <w:color w:val="auto"/>
                      <w:szCs w:val="21"/>
                    </w:rPr>
                    <w:t>-</w:t>
                  </w:r>
                  <w:r>
                    <w:rPr>
                      <w:rFonts w:ascii="Times New Roman" w:hAnsi="Times New Roman"/>
                      <w:color w:val="auto"/>
                      <w:szCs w:val="21"/>
                    </w:rPr>
                    <w:t>607井东南侧2000m</w:t>
                  </w:r>
                </w:p>
              </w:tc>
              <w:tc>
                <w:tcPr>
                  <w:tcW w:w="978"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40</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tcBorders>
                    <w:tl2br w:val="nil"/>
                    <w:tr2bl w:val="nil"/>
                  </w:tcBorders>
                </w:tcPr>
                <w:p>
                  <w:pPr>
                    <w:jc w:val="center"/>
                    <w:rPr>
                      <w:rFonts w:ascii="宋体" w:hAnsi="宋体"/>
                      <w:b/>
                      <w:bCs/>
                      <w:color w:val="auto"/>
                      <w:szCs w:val="21"/>
                    </w:rPr>
                  </w:pPr>
                </w:p>
              </w:tc>
              <w:tc>
                <w:tcPr>
                  <w:tcW w:w="1345"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123团14连</w:t>
                  </w:r>
                </w:p>
              </w:tc>
              <w:tc>
                <w:tcPr>
                  <w:tcW w:w="2477" w:type="dxa"/>
                  <w:tcBorders>
                    <w:tl2br w:val="nil"/>
                    <w:tr2bl w:val="nil"/>
                  </w:tcBorders>
                  <w:vAlign w:val="center"/>
                </w:tcPr>
                <w:p>
                  <w:pPr>
                    <w:contextualSpacing/>
                    <w:jc w:val="center"/>
                    <w:rPr>
                      <w:rFonts w:ascii="Times New Roman" w:hAnsi="Times New Roman"/>
                      <w:color w:val="auto"/>
                      <w:szCs w:val="21"/>
                      <w:highlight w:val="yellow"/>
                    </w:rPr>
                  </w:pPr>
                  <w:r>
                    <w:rPr>
                      <w:rFonts w:hint="eastAsia" w:ascii="Times New Roman" w:hAnsi="Times New Roman"/>
                      <w:color w:val="auto"/>
                      <w:szCs w:val="21"/>
                    </w:rPr>
                    <w:t>排1</w:t>
                  </w:r>
                  <w:r>
                    <w:rPr>
                      <w:rFonts w:ascii="Times New Roman" w:hAnsi="Times New Roman"/>
                      <w:color w:val="auto"/>
                      <w:szCs w:val="21"/>
                    </w:rPr>
                    <w:t>9</w:t>
                  </w:r>
                  <w:r>
                    <w:rPr>
                      <w:rFonts w:hint="eastAsia" w:ascii="Times New Roman" w:hAnsi="Times New Roman"/>
                      <w:color w:val="auto"/>
                      <w:szCs w:val="21"/>
                    </w:rPr>
                    <w:t>-</w:t>
                  </w:r>
                  <w:r>
                    <w:rPr>
                      <w:rFonts w:ascii="Times New Roman" w:hAnsi="Times New Roman"/>
                      <w:color w:val="auto"/>
                      <w:szCs w:val="21"/>
                    </w:rPr>
                    <w:t>5</w:t>
                  </w:r>
                  <w:r>
                    <w:rPr>
                      <w:rFonts w:hint="eastAsia" w:ascii="Times New Roman" w:hAnsi="Times New Roman"/>
                      <w:color w:val="auto"/>
                      <w:szCs w:val="21"/>
                    </w:rPr>
                    <w:t>井西北侧2</w:t>
                  </w:r>
                  <w:r>
                    <w:rPr>
                      <w:rFonts w:ascii="Times New Roman" w:hAnsi="Times New Roman"/>
                      <w:color w:val="auto"/>
                      <w:szCs w:val="21"/>
                    </w:rPr>
                    <w:t>000</w:t>
                  </w:r>
                  <w:r>
                    <w:rPr>
                      <w:rFonts w:hint="eastAsia" w:ascii="Times New Roman" w:hAnsi="Times New Roman"/>
                      <w:color w:val="auto"/>
                      <w:szCs w:val="21"/>
                    </w:rPr>
                    <w:t>m</w:t>
                  </w:r>
                </w:p>
              </w:tc>
              <w:tc>
                <w:tcPr>
                  <w:tcW w:w="978" w:type="dxa"/>
                  <w:tcBorders>
                    <w:tl2br w:val="nil"/>
                    <w:tr2bl w:val="nil"/>
                  </w:tcBorders>
                </w:tcPr>
                <w:p>
                  <w:pPr>
                    <w:jc w:val="center"/>
                    <w:rPr>
                      <w:rFonts w:ascii="宋体" w:hAnsi="宋体"/>
                      <w:b/>
                      <w:bCs/>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160</w:t>
                  </w:r>
                </w:p>
              </w:tc>
              <w:tc>
                <w:tcPr>
                  <w:tcW w:w="2130" w:type="dxa"/>
                  <w:vMerge w:val="continue"/>
                  <w:tcBorders>
                    <w:tl2br w:val="nil"/>
                    <w:tr2bl w:val="nil"/>
                  </w:tcBorders>
                </w:tcPr>
                <w:p>
                  <w:pPr>
                    <w:jc w:val="center"/>
                    <w:rPr>
                      <w:rFonts w:ascii="宋体" w:hAnsi="宋体"/>
                      <w:b/>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rPr>
                    <w:t>声环境</w:t>
                  </w:r>
                </w:p>
              </w:tc>
              <w:tc>
                <w:tcPr>
                  <w:tcW w:w="1345"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123团场</w:t>
                  </w:r>
                </w:p>
              </w:tc>
              <w:tc>
                <w:tcPr>
                  <w:tcW w:w="2477" w:type="dxa"/>
                  <w:tcBorders>
                    <w:tl2br w:val="nil"/>
                    <w:tr2bl w:val="nil"/>
                  </w:tcBorders>
                  <w:vAlign w:val="center"/>
                </w:tcPr>
                <w:p>
                  <w:pPr>
                    <w:contextualSpacing/>
                    <w:jc w:val="center"/>
                    <w:rPr>
                      <w:rFonts w:ascii="Times New Roman" w:hAnsi="Times New Roman"/>
                      <w:color w:val="auto"/>
                      <w:szCs w:val="21"/>
                    </w:rPr>
                  </w:pPr>
                  <w:r>
                    <w:rPr>
                      <w:rFonts w:hint="eastAsia" w:ascii="Times New Roman" w:hAnsi="Times New Roman"/>
                      <w:color w:val="auto"/>
                      <w:szCs w:val="21"/>
                    </w:rPr>
                    <w:t>春9</w:t>
                  </w:r>
                  <w:r>
                    <w:rPr>
                      <w:rFonts w:ascii="Times New Roman" w:hAnsi="Times New Roman"/>
                      <w:color w:val="auto"/>
                      <w:szCs w:val="21"/>
                    </w:rPr>
                    <w:t>9</w:t>
                  </w:r>
                  <w:r>
                    <w:rPr>
                      <w:rFonts w:hint="eastAsia" w:ascii="Times New Roman" w:hAnsi="Times New Roman"/>
                      <w:color w:val="auto"/>
                      <w:szCs w:val="21"/>
                    </w:rPr>
                    <w:t>-3井西侧5</w:t>
                  </w:r>
                  <w:r>
                    <w:rPr>
                      <w:rFonts w:ascii="Times New Roman" w:hAnsi="Times New Roman"/>
                      <w:color w:val="auto"/>
                      <w:szCs w:val="21"/>
                    </w:rPr>
                    <w:t>0</w:t>
                  </w:r>
                  <w:r>
                    <w:rPr>
                      <w:rFonts w:hint="eastAsia" w:ascii="Times New Roman" w:hAnsi="Times New Roman"/>
                      <w:color w:val="auto"/>
                      <w:szCs w:val="21"/>
                    </w:rPr>
                    <w:t>m</w:t>
                  </w:r>
                </w:p>
              </w:tc>
              <w:tc>
                <w:tcPr>
                  <w:tcW w:w="978"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居住区</w:t>
                  </w:r>
                </w:p>
              </w:tc>
              <w:tc>
                <w:tcPr>
                  <w:tcW w:w="872"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1</w:t>
                  </w:r>
                </w:p>
              </w:tc>
              <w:tc>
                <w:tcPr>
                  <w:tcW w:w="2130" w:type="dxa"/>
                  <w:tcBorders>
                    <w:tl2br w:val="nil"/>
                    <w:tr2bl w:val="nil"/>
                  </w:tcBorders>
                  <w:vAlign w:val="center"/>
                </w:tcPr>
                <w:p>
                  <w:pPr>
                    <w:jc w:val="both"/>
                    <w:rPr>
                      <w:rFonts w:ascii="宋体" w:hAnsi="宋体"/>
                      <w:b/>
                      <w:bCs/>
                      <w:color w:val="auto"/>
                      <w:szCs w:val="21"/>
                    </w:rPr>
                  </w:pPr>
                  <w:r>
                    <w:rPr>
                      <w:rFonts w:ascii="Times New Roman" w:hAnsi="Times New Roman"/>
                      <w:color w:val="auto"/>
                      <w:szCs w:val="21"/>
                    </w:rPr>
                    <w:t>《声环境质量标准》</w:t>
                  </w:r>
                  <w:r>
                    <w:rPr>
                      <w:rFonts w:ascii="Times New Roman" w:hAnsi="Times New Roman" w:eastAsia="TimesNewRomanPSMT"/>
                      <w:color w:val="auto"/>
                      <w:szCs w:val="21"/>
                    </w:rPr>
                    <w:t xml:space="preserve">(GB3096-2008)2 </w:t>
                  </w:r>
                  <w:r>
                    <w:rPr>
                      <w:rFonts w:ascii="Times New Roman" w:hAnsi="Times New Roman"/>
                      <w:color w:val="auto"/>
                      <w:szCs w:val="21"/>
                    </w:rPr>
                    <w:t>类</w:t>
                  </w:r>
                </w:p>
              </w:tc>
            </w:tr>
          </w:tbl>
          <w:p>
            <w:pPr>
              <w:ind w:firstLine="422" w:firstLineChars="200"/>
              <w:jc w:val="center"/>
              <w:rPr>
                <w:rFonts w:ascii="宋体" w:hAnsi="宋体"/>
                <w:b/>
                <w:bCs/>
                <w:color w:val="auto"/>
                <w:szCs w:val="21"/>
              </w:rPr>
            </w:pPr>
          </w:p>
          <w:p>
            <w:pPr>
              <w:ind w:firstLine="422" w:firstLineChars="200"/>
              <w:jc w:val="center"/>
              <w:rPr>
                <w:rFonts w:ascii="宋体" w:hAnsi="宋体"/>
                <w:b/>
                <w:bCs/>
                <w:color w:val="auto"/>
                <w:szCs w:val="21"/>
              </w:rPr>
            </w:pPr>
          </w:p>
          <w:p>
            <w:pPr>
              <w:spacing w:before="120" w:beforeLines="50"/>
              <w:ind w:firstLine="422" w:firstLineChars="200"/>
              <w:jc w:val="center"/>
              <w:rPr>
                <w:rFonts w:ascii="宋体" w:hAnsi="宋体"/>
                <w:b/>
                <w:bCs/>
                <w:color w:val="auto"/>
                <w:szCs w:val="21"/>
              </w:rPr>
            </w:pPr>
            <w:r>
              <w:rPr>
                <w:rFonts w:hint="eastAsia" w:ascii="宋体" w:hAnsi="宋体"/>
                <w:b/>
                <w:bCs/>
                <w:color w:val="auto"/>
                <w:szCs w:val="21"/>
              </w:rPr>
              <w:t>续表</w:t>
            </w:r>
            <w:r>
              <w:rPr>
                <w:rFonts w:ascii="Times New Roman" w:hAnsi="Times New Roman"/>
                <w:b/>
                <w:bCs/>
                <w:color w:val="auto"/>
                <w:szCs w:val="21"/>
              </w:rPr>
              <w:t>3-1</w:t>
            </w:r>
            <w:r>
              <w:rPr>
                <w:rFonts w:hint="eastAsia" w:ascii="Times New Roman" w:hAnsi="Times New Roman"/>
                <w:b/>
                <w:bCs/>
                <w:color w:val="auto"/>
                <w:szCs w:val="21"/>
              </w:rPr>
              <w:t>6</w:t>
            </w:r>
            <w:r>
              <w:rPr>
                <w:rFonts w:ascii="Times New Roman" w:hAnsi="Times New Roman"/>
                <w:b/>
                <w:bCs/>
                <w:color w:val="auto"/>
                <w:szCs w:val="21"/>
              </w:rPr>
              <w:t xml:space="preserve"> </w:t>
            </w:r>
            <w:r>
              <w:rPr>
                <w:rFonts w:hint="eastAsia" w:ascii="宋体" w:hAnsi="宋体"/>
                <w:b/>
                <w:bCs/>
                <w:color w:val="auto"/>
                <w:szCs w:val="21"/>
              </w:rPr>
              <w:t xml:space="preserve"> 主要环境敏感目标一览表</w:t>
            </w:r>
          </w:p>
          <w:tbl>
            <w:tblPr>
              <w:tblStyle w:val="38"/>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1345"/>
              <w:gridCol w:w="2477"/>
              <w:gridCol w:w="978"/>
              <w:gridCol w:w="872"/>
              <w:gridCol w:w="21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4"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rPr>
                    <w:t>保护要素</w:t>
                  </w:r>
                </w:p>
              </w:tc>
              <w:tc>
                <w:tcPr>
                  <w:tcW w:w="1345"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主要保护</w:t>
                  </w:r>
                </w:p>
                <w:p>
                  <w:pPr>
                    <w:contextualSpacing/>
                    <w:jc w:val="center"/>
                    <w:rPr>
                      <w:rFonts w:ascii="Times New Roman" w:hAnsi="Times New Roman"/>
                      <w:color w:val="auto"/>
                      <w:szCs w:val="21"/>
                      <w:lang w:bidi="ar"/>
                    </w:rPr>
                  </w:pPr>
                  <w:r>
                    <w:rPr>
                      <w:rFonts w:ascii="Times New Roman" w:hAnsi="Times New Roman"/>
                      <w:color w:val="auto"/>
                      <w:szCs w:val="21"/>
                      <w:lang w:bidi="ar"/>
                    </w:rPr>
                    <w:t>对象</w:t>
                  </w:r>
                </w:p>
              </w:tc>
              <w:tc>
                <w:tcPr>
                  <w:tcW w:w="2477"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lang w:bidi="ar"/>
                    </w:rPr>
                    <w:t>相对位置</w:t>
                  </w:r>
                </w:p>
              </w:tc>
              <w:tc>
                <w:tcPr>
                  <w:tcW w:w="978"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属性</w:t>
                  </w:r>
                </w:p>
              </w:tc>
              <w:tc>
                <w:tcPr>
                  <w:tcW w:w="872"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人口数（户）</w:t>
                  </w:r>
                </w:p>
              </w:tc>
              <w:tc>
                <w:tcPr>
                  <w:tcW w:w="2130" w:type="dxa"/>
                  <w:tcBorders>
                    <w:tl2br w:val="nil"/>
                    <w:tr2bl w:val="nil"/>
                  </w:tcBorders>
                  <w:vAlign w:val="center"/>
                </w:tcPr>
                <w:p>
                  <w:pPr>
                    <w:jc w:val="center"/>
                    <w:rPr>
                      <w:rFonts w:ascii="宋体" w:hAnsi="宋体"/>
                      <w:b/>
                      <w:bCs/>
                      <w:color w:val="auto"/>
                      <w:szCs w:val="21"/>
                    </w:rPr>
                  </w:pPr>
                  <w:r>
                    <w:rPr>
                      <w:rFonts w:hint="eastAsia" w:ascii="宋体" w:hAnsi="宋体"/>
                      <w:color w:val="auto"/>
                      <w:szCs w:val="21"/>
                    </w:rPr>
                    <w:t>环境功能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tcBorders>
                    <w:tl2br w:val="nil"/>
                    <w:tr2bl w:val="nil"/>
                  </w:tcBorders>
                  <w:vAlign w:val="center"/>
                </w:tcPr>
                <w:p>
                  <w:pPr>
                    <w:contextualSpacing/>
                    <w:jc w:val="center"/>
                    <w:rPr>
                      <w:rFonts w:ascii="Times New Roman" w:hAnsi="Times New Roman"/>
                      <w:color w:val="auto"/>
                      <w:szCs w:val="21"/>
                    </w:rPr>
                  </w:pPr>
                  <w:r>
                    <w:rPr>
                      <w:rFonts w:hint="eastAsia" w:ascii="Times New Roman" w:hAnsi="Times New Roman"/>
                      <w:color w:val="auto"/>
                      <w:szCs w:val="21"/>
                    </w:rPr>
                    <w:t>地下水</w:t>
                  </w:r>
                </w:p>
              </w:tc>
              <w:tc>
                <w:tcPr>
                  <w:tcW w:w="1345"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评价范围内地下水</w:t>
                  </w:r>
                </w:p>
              </w:tc>
              <w:tc>
                <w:tcPr>
                  <w:tcW w:w="2477"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井区及周边</w:t>
                  </w:r>
                </w:p>
              </w:tc>
              <w:tc>
                <w:tcPr>
                  <w:tcW w:w="978"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w:t>
                  </w:r>
                </w:p>
              </w:tc>
              <w:tc>
                <w:tcPr>
                  <w:tcW w:w="872"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w:t>
                  </w:r>
                </w:p>
              </w:tc>
              <w:tc>
                <w:tcPr>
                  <w:tcW w:w="2130" w:type="dxa"/>
                  <w:tcBorders>
                    <w:tl2br w:val="nil"/>
                    <w:tr2bl w:val="nil"/>
                  </w:tcBorders>
                  <w:vAlign w:val="center"/>
                </w:tcPr>
                <w:p>
                  <w:pPr>
                    <w:jc w:val="center"/>
                    <w:rPr>
                      <w:rFonts w:ascii="宋体" w:hAnsi="宋体"/>
                      <w:b/>
                      <w:bCs/>
                      <w:color w:val="auto"/>
                      <w:szCs w:val="21"/>
                    </w:rPr>
                  </w:pPr>
                  <w:r>
                    <w:rPr>
                      <w:rFonts w:ascii="Times New Roman" w:hAnsi="Times New Roman"/>
                      <w:color w:val="auto"/>
                      <w:szCs w:val="21"/>
                    </w:rPr>
                    <w:t>《地下水质量标准》（</w:t>
                  </w:r>
                  <w:r>
                    <w:rPr>
                      <w:rFonts w:ascii="Times New Roman" w:hAnsi="Times New Roman" w:eastAsia="TimesNewRomanPSMT"/>
                      <w:color w:val="auto"/>
                      <w:szCs w:val="21"/>
                    </w:rPr>
                    <w:t>GB/T14848-2017</w:t>
                  </w:r>
                  <w:r>
                    <w:rPr>
                      <w:rFonts w:ascii="Times New Roman" w:hAnsi="Times New Roman"/>
                      <w:color w:val="auto"/>
                      <w:szCs w:val="21"/>
                    </w:rPr>
                    <w:t>）的Ⅲ类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tcBorders>
                    <w:tl2br w:val="nil"/>
                    <w:tr2bl w:val="nil"/>
                  </w:tcBorders>
                  <w:vAlign w:val="center"/>
                </w:tcPr>
                <w:p>
                  <w:pPr>
                    <w:contextualSpacing/>
                    <w:jc w:val="center"/>
                    <w:rPr>
                      <w:rFonts w:ascii="Times New Roman" w:hAnsi="Times New Roman"/>
                      <w:color w:val="auto"/>
                      <w:szCs w:val="21"/>
                    </w:rPr>
                  </w:pPr>
                  <w:r>
                    <w:rPr>
                      <w:rFonts w:hint="eastAsia" w:ascii="Times New Roman" w:hAnsi="Times New Roman"/>
                      <w:color w:val="auto"/>
                      <w:szCs w:val="21"/>
                    </w:rPr>
                    <w:t>土壤环境</w:t>
                  </w:r>
                </w:p>
              </w:tc>
              <w:tc>
                <w:tcPr>
                  <w:tcW w:w="1345" w:type="dxa"/>
                  <w:tcBorders>
                    <w:tl2br w:val="nil"/>
                    <w:tr2bl w:val="nil"/>
                  </w:tcBorders>
                  <w:vAlign w:val="center"/>
                </w:tcPr>
                <w:p>
                  <w:pPr>
                    <w:contextualSpacing/>
                    <w:jc w:val="center"/>
                    <w:rPr>
                      <w:rFonts w:ascii="Times New Roman" w:hAnsi="Times New Roman"/>
                      <w:color w:val="auto"/>
                      <w:szCs w:val="21"/>
                      <w:lang w:bidi="ar"/>
                    </w:rPr>
                  </w:pPr>
                  <w:r>
                    <w:rPr>
                      <w:rFonts w:hint="eastAsia" w:ascii="Times New Roman" w:hAnsi="Times New Roman"/>
                      <w:color w:val="auto"/>
                      <w:szCs w:val="21"/>
                      <w:lang w:bidi="ar"/>
                    </w:rPr>
                    <w:t>农田</w:t>
                  </w:r>
                </w:p>
              </w:tc>
              <w:tc>
                <w:tcPr>
                  <w:tcW w:w="2477"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井区及周边</w:t>
                  </w:r>
                </w:p>
              </w:tc>
              <w:tc>
                <w:tcPr>
                  <w:tcW w:w="978"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w:t>
                  </w:r>
                </w:p>
              </w:tc>
              <w:tc>
                <w:tcPr>
                  <w:tcW w:w="872" w:type="dxa"/>
                  <w:tcBorders>
                    <w:tl2br w:val="nil"/>
                    <w:tr2bl w:val="nil"/>
                  </w:tcBorders>
                  <w:vAlign w:val="center"/>
                </w:tcPr>
                <w:p>
                  <w:pPr>
                    <w:jc w:val="center"/>
                    <w:rPr>
                      <w:rFonts w:ascii="宋体" w:hAnsi="宋体"/>
                      <w:color w:val="auto"/>
                      <w:szCs w:val="21"/>
                    </w:rPr>
                  </w:pPr>
                  <w:r>
                    <w:rPr>
                      <w:rFonts w:hint="eastAsia" w:ascii="宋体" w:hAnsi="宋体"/>
                      <w:color w:val="auto"/>
                      <w:szCs w:val="21"/>
                    </w:rPr>
                    <w:t>/</w:t>
                  </w:r>
                </w:p>
              </w:tc>
              <w:tc>
                <w:tcPr>
                  <w:tcW w:w="2130" w:type="dxa"/>
                  <w:tcBorders>
                    <w:tl2br w:val="nil"/>
                    <w:tr2bl w:val="nil"/>
                  </w:tcBorders>
                  <w:vAlign w:val="center"/>
                </w:tcPr>
                <w:p>
                  <w:pPr>
                    <w:jc w:val="center"/>
                    <w:rPr>
                      <w:rFonts w:ascii="宋体" w:hAnsi="宋体"/>
                      <w:color w:val="auto"/>
                      <w:szCs w:val="21"/>
                    </w:rPr>
                  </w:pPr>
                  <w:r>
                    <w:rPr>
                      <w:rFonts w:ascii="Times New Roman" w:hAnsi="Times New Roman"/>
                      <w:color w:val="auto"/>
                      <w:szCs w:val="21"/>
                    </w:rPr>
                    <w:t>《土壤环境质量</w:t>
                  </w:r>
                  <w:r>
                    <w:rPr>
                      <w:rFonts w:hint="eastAsia" w:ascii="Times New Roman" w:hAnsi="Times New Roman"/>
                      <w:color w:val="auto"/>
                      <w:szCs w:val="21"/>
                    </w:rPr>
                    <w:t xml:space="preserve">  </w:t>
                  </w:r>
                  <w:r>
                    <w:rPr>
                      <w:rFonts w:ascii="Times New Roman" w:hAnsi="Times New Roman"/>
                      <w:color w:val="auto"/>
                      <w:szCs w:val="21"/>
                    </w:rPr>
                    <w:t>农用地土壤污染风险管控标准</w:t>
                  </w:r>
                  <w:r>
                    <w:rPr>
                      <w:rFonts w:hint="eastAsia" w:ascii="Times New Roman" w:hAnsi="Times New Roman"/>
                      <w:color w:val="auto"/>
                      <w:szCs w:val="21"/>
                    </w:rPr>
                    <w:t>（试行）</w:t>
                  </w:r>
                  <w:r>
                    <w:rPr>
                      <w:rFonts w:ascii="Times New Roman" w:hAnsi="Times New Roman"/>
                      <w:color w:val="auto"/>
                      <w:szCs w:val="21"/>
                    </w:rPr>
                    <w:t>》（</w:t>
                  </w:r>
                  <w:r>
                    <w:rPr>
                      <w:rFonts w:ascii="Times New Roman" w:hAnsi="Times New Roman" w:eastAsia="TimesNewRomanPSMT"/>
                      <w:color w:val="auto"/>
                      <w:szCs w:val="21"/>
                    </w:rPr>
                    <w:t>GB15618-2018</w:t>
                  </w:r>
                  <w:r>
                    <w:rPr>
                      <w:rFonts w:ascii="Times New Roman" w:hAnsi="Times New Roman"/>
                      <w:color w:val="auto"/>
                      <w:szCs w:val="21"/>
                    </w:rPr>
                    <w:t>）表</w:t>
                  </w:r>
                  <w:r>
                    <w:rPr>
                      <w:rFonts w:ascii="Times New Roman" w:hAnsi="Times New Roman" w:eastAsia="TimesNewRomanPSMT"/>
                      <w:color w:val="auto"/>
                      <w:szCs w:val="21"/>
                    </w:rPr>
                    <w:t xml:space="preserve">1 </w:t>
                  </w:r>
                  <w:r>
                    <w:rPr>
                      <w:rFonts w:ascii="Times New Roman" w:hAnsi="Times New Roman"/>
                      <w:color w:val="auto"/>
                      <w:szCs w:val="21"/>
                    </w:rPr>
                    <w:t>中风险筛选值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tcBorders>
                    <w:tl2br w:val="nil"/>
                    <w:tr2bl w:val="nil"/>
                  </w:tcBorders>
                  <w:vAlign w:val="center"/>
                </w:tcPr>
                <w:p>
                  <w:pPr>
                    <w:contextualSpacing/>
                    <w:jc w:val="center"/>
                    <w:rPr>
                      <w:rFonts w:ascii="Times New Roman" w:hAnsi="Times New Roman"/>
                      <w:color w:val="auto"/>
                      <w:szCs w:val="21"/>
                    </w:rPr>
                  </w:pPr>
                  <w:r>
                    <w:rPr>
                      <w:rFonts w:ascii="Times New Roman" w:hAnsi="Times New Roman"/>
                      <w:color w:val="auto"/>
                      <w:szCs w:val="21"/>
                    </w:rPr>
                    <w:t>环境风险</w:t>
                  </w:r>
                </w:p>
              </w:tc>
              <w:tc>
                <w:tcPr>
                  <w:tcW w:w="1345" w:type="dxa"/>
                  <w:tcBorders>
                    <w:tl2br w:val="nil"/>
                    <w:tr2bl w:val="nil"/>
                  </w:tcBorders>
                  <w:vAlign w:val="center"/>
                </w:tcPr>
                <w:p>
                  <w:pPr>
                    <w:contextualSpacing/>
                    <w:jc w:val="center"/>
                    <w:rPr>
                      <w:rFonts w:ascii="Times New Roman" w:hAnsi="Times New Roman"/>
                      <w:color w:val="auto"/>
                      <w:szCs w:val="21"/>
                      <w:lang w:bidi="ar"/>
                    </w:rPr>
                  </w:pPr>
                  <w:r>
                    <w:rPr>
                      <w:rFonts w:ascii="Times New Roman" w:hAnsi="Times New Roman"/>
                      <w:color w:val="auto"/>
                      <w:szCs w:val="21"/>
                      <w:lang w:bidi="ar"/>
                    </w:rPr>
                    <w:t>项目区</w:t>
                  </w:r>
                  <w:r>
                    <w:rPr>
                      <w:rFonts w:hint="eastAsia" w:ascii="Times New Roman" w:hAnsi="Times New Roman"/>
                      <w:color w:val="auto"/>
                      <w:szCs w:val="21"/>
                      <w:lang w:bidi="ar"/>
                    </w:rPr>
                    <w:t>周边居民、</w:t>
                  </w:r>
                  <w:r>
                    <w:rPr>
                      <w:rFonts w:ascii="Times New Roman" w:hAnsi="Times New Roman"/>
                      <w:color w:val="auto"/>
                      <w:szCs w:val="21"/>
                      <w:lang w:bidi="ar"/>
                    </w:rPr>
                    <w:t>土壤、地下水</w:t>
                  </w:r>
                </w:p>
              </w:tc>
              <w:tc>
                <w:tcPr>
                  <w:tcW w:w="6457" w:type="dxa"/>
                  <w:gridSpan w:val="4"/>
                  <w:tcBorders>
                    <w:tl2br w:val="nil"/>
                    <w:tr2bl w:val="nil"/>
                  </w:tcBorders>
                  <w:vAlign w:val="center"/>
                </w:tcPr>
                <w:p>
                  <w:pPr>
                    <w:jc w:val="center"/>
                    <w:rPr>
                      <w:rFonts w:ascii="宋体" w:hAnsi="宋体"/>
                      <w:color w:val="auto"/>
                      <w:szCs w:val="21"/>
                    </w:rPr>
                  </w:pPr>
                  <w:r>
                    <w:rPr>
                      <w:rFonts w:hint="eastAsia" w:ascii="宋体" w:hAnsi="宋体"/>
                      <w:color w:val="auto"/>
                      <w:szCs w:val="21"/>
                    </w:rPr>
                    <w:t>见环境风险专章</w:t>
                  </w:r>
                </w:p>
              </w:tc>
            </w:tr>
          </w:tbl>
          <w:p>
            <w:pPr>
              <w:spacing w:before="120" w:beforeLines="50" w:line="360" w:lineRule="auto"/>
              <w:rPr>
                <w:rFonts w:ascii="宋体" w:hAnsi="宋体"/>
                <w:b/>
                <w:bCs/>
                <w:color w:val="auto"/>
                <w:sz w:val="24"/>
              </w:rPr>
            </w:pPr>
            <w:r>
              <w:rPr>
                <w:rFonts w:ascii="Times New Roman" w:hAnsi="Times New Roman"/>
                <w:b/>
                <w:bCs/>
                <w:color w:val="auto"/>
                <w:sz w:val="24"/>
              </w:rPr>
              <w:t>6</w:t>
            </w:r>
            <w:r>
              <w:rPr>
                <w:rFonts w:hint="eastAsia" w:ascii="Times New Roman" w:hAnsi="Times New Roman"/>
                <w:b/>
                <w:bCs/>
                <w:color w:val="auto"/>
                <w:sz w:val="24"/>
              </w:rPr>
              <w:t>.环境</w:t>
            </w:r>
            <w:r>
              <w:rPr>
                <w:rFonts w:hint="eastAsia" w:ascii="宋体" w:hAnsi="宋体"/>
                <w:b/>
                <w:bCs/>
                <w:color w:val="auto"/>
                <w:sz w:val="24"/>
              </w:rPr>
              <w:t>保护要求</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1</w:t>
            </w:r>
            <w:r>
              <w:rPr>
                <w:rFonts w:ascii="Times New Roman" w:hAnsi="Times New Roman"/>
                <w:color w:val="auto"/>
                <w:sz w:val="24"/>
              </w:rPr>
              <w:t>）保护项目所在区域的空气质量，保持现有空气质量级别，使其满足《环</w:t>
            </w:r>
          </w:p>
          <w:p>
            <w:pPr>
              <w:spacing w:line="360" w:lineRule="auto"/>
              <w:jc w:val="both"/>
              <w:rPr>
                <w:rFonts w:ascii="Times New Roman" w:hAnsi="Times New Roman"/>
                <w:color w:val="auto"/>
                <w:sz w:val="24"/>
              </w:rPr>
            </w:pPr>
            <w:r>
              <w:rPr>
                <w:rFonts w:ascii="Times New Roman" w:hAnsi="Times New Roman"/>
                <w:color w:val="auto"/>
                <w:sz w:val="24"/>
              </w:rPr>
              <w:t>境空气质量标准》（</w:t>
            </w:r>
            <w:r>
              <w:rPr>
                <w:rFonts w:ascii="Times New Roman" w:hAnsi="Times New Roman" w:eastAsia="TimesNewRomanPSMT"/>
                <w:color w:val="auto"/>
                <w:sz w:val="24"/>
              </w:rPr>
              <w:t>GB3095-2012</w:t>
            </w:r>
            <w:r>
              <w:rPr>
                <w:rFonts w:ascii="Times New Roman" w:hAnsi="Times New Roman"/>
                <w:color w:val="auto"/>
                <w:sz w:val="24"/>
              </w:rPr>
              <w:t>）二级标准；</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2</w:t>
            </w:r>
            <w:r>
              <w:rPr>
                <w:rFonts w:ascii="Times New Roman" w:hAnsi="Times New Roman"/>
                <w:color w:val="auto"/>
                <w:sz w:val="24"/>
              </w:rPr>
              <w:t>）保护项目所在区域地下水质量保持在现有水平，保证其满足《地下水质量标准》（</w:t>
            </w:r>
            <w:r>
              <w:rPr>
                <w:rFonts w:ascii="Times New Roman" w:hAnsi="Times New Roman" w:eastAsia="TimesNewRomanPSMT"/>
                <w:color w:val="auto"/>
                <w:sz w:val="24"/>
              </w:rPr>
              <w:t>GB/T14848-2017</w:t>
            </w:r>
            <w:r>
              <w:rPr>
                <w:rFonts w:ascii="Times New Roman" w:hAnsi="Times New Roman"/>
                <w:color w:val="auto"/>
                <w:sz w:val="24"/>
              </w:rPr>
              <w:t>）中Ⅲ类标准；</w:t>
            </w:r>
          </w:p>
          <w:p>
            <w:pPr>
              <w:spacing w:line="360" w:lineRule="auto"/>
              <w:ind w:firstLine="480" w:firstLineChars="200"/>
              <w:jc w:val="both"/>
              <w:rPr>
                <w:rFonts w:ascii="Times New Roman" w:hAnsi="Times New Roman" w:eastAsia="TimesNewRomanPSMT"/>
                <w:color w:val="auto"/>
                <w:sz w:val="24"/>
              </w:rPr>
            </w:pPr>
            <w:r>
              <w:rPr>
                <w:rFonts w:ascii="Times New Roman" w:hAnsi="Times New Roman"/>
                <w:color w:val="auto"/>
                <w:sz w:val="24"/>
              </w:rPr>
              <w:t>（</w:t>
            </w:r>
            <w:r>
              <w:rPr>
                <w:rFonts w:ascii="Times New Roman" w:hAnsi="Times New Roman" w:eastAsia="TimesNewRomanPSMT"/>
                <w:color w:val="auto"/>
                <w:sz w:val="24"/>
              </w:rPr>
              <w:t>3</w:t>
            </w:r>
            <w:r>
              <w:rPr>
                <w:rFonts w:ascii="Times New Roman" w:hAnsi="Times New Roman"/>
                <w:color w:val="auto"/>
                <w:sz w:val="24"/>
              </w:rPr>
              <w:t>）保护项目区声环境质量现状，符合《声环境质量标准》</w:t>
            </w:r>
            <w:r>
              <w:rPr>
                <w:rFonts w:ascii="Times New Roman" w:hAnsi="Times New Roman" w:eastAsia="TimesNewRomanPSMT"/>
                <w:color w:val="auto"/>
                <w:sz w:val="24"/>
              </w:rPr>
              <w:t>(GB3096-2008)</w:t>
            </w:r>
          </w:p>
          <w:p>
            <w:pPr>
              <w:spacing w:line="360" w:lineRule="auto"/>
              <w:jc w:val="both"/>
              <w:rPr>
                <w:rFonts w:ascii="Times New Roman" w:hAnsi="Times New Roman"/>
                <w:color w:val="auto"/>
                <w:sz w:val="24"/>
              </w:rPr>
            </w:pPr>
            <w:r>
              <w:rPr>
                <w:rFonts w:ascii="Times New Roman" w:hAnsi="Times New Roman"/>
                <w:color w:val="auto"/>
                <w:sz w:val="24"/>
              </w:rPr>
              <w:t>的</w:t>
            </w:r>
            <w:r>
              <w:rPr>
                <w:rFonts w:ascii="Times New Roman" w:hAnsi="Times New Roman" w:eastAsia="TimesNewRomanPSMT"/>
                <w:color w:val="auto"/>
                <w:sz w:val="24"/>
              </w:rPr>
              <w:t xml:space="preserve">2 </w:t>
            </w:r>
            <w:r>
              <w:rPr>
                <w:rFonts w:ascii="Times New Roman" w:hAnsi="Times New Roman"/>
                <w:color w:val="auto"/>
                <w:sz w:val="24"/>
              </w:rPr>
              <w:t>类声环境功能限值；</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4</w:t>
            </w:r>
            <w:r>
              <w:rPr>
                <w:rFonts w:ascii="Times New Roman" w:hAnsi="Times New Roman"/>
                <w:color w:val="auto"/>
                <w:sz w:val="24"/>
              </w:rPr>
              <w:t>）保护项目区生态环境，使项目的建成不对项目区生态环境产生不利影响。</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5</w:t>
            </w:r>
            <w:r>
              <w:rPr>
                <w:rFonts w:ascii="Times New Roman" w:hAnsi="Times New Roman"/>
                <w:color w:val="auto"/>
                <w:sz w:val="24"/>
              </w:rPr>
              <w:t>）保护项目土壤环境质量现状，占地范围内满足《土壤环境质量</w:t>
            </w:r>
            <w:r>
              <w:rPr>
                <w:rFonts w:hint="eastAsia" w:ascii="Times New Roman" w:hAnsi="Times New Roman"/>
                <w:color w:val="auto"/>
                <w:sz w:val="24"/>
              </w:rPr>
              <w:t xml:space="preserve">  </w:t>
            </w:r>
            <w:r>
              <w:rPr>
                <w:rFonts w:ascii="Times New Roman" w:hAnsi="Times New Roman"/>
                <w:color w:val="auto"/>
                <w:sz w:val="24"/>
              </w:rPr>
              <w:t>建设用地土壤污染风险管控标准</w:t>
            </w:r>
            <w:r>
              <w:rPr>
                <w:rFonts w:hint="eastAsia" w:ascii="Times New Roman" w:hAnsi="Times New Roman"/>
                <w:color w:val="auto"/>
                <w:sz w:val="24"/>
              </w:rPr>
              <w:t>（试行）</w:t>
            </w:r>
            <w:r>
              <w:rPr>
                <w:rFonts w:ascii="Times New Roman" w:hAnsi="Times New Roman"/>
                <w:color w:val="auto"/>
                <w:sz w:val="24"/>
              </w:rPr>
              <w:t>》（</w:t>
            </w:r>
            <w:r>
              <w:rPr>
                <w:rFonts w:ascii="Times New Roman" w:hAnsi="Times New Roman" w:eastAsia="TimesNewRomanPSMT"/>
                <w:color w:val="auto"/>
                <w:sz w:val="24"/>
              </w:rPr>
              <w:t>GB36600-2018</w:t>
            </w:r>
            <w:r>
              <w:rPr>
                <w:rFonts w:ascii="Times New Roman" w:hAnsi="Times New Roman"/>
                <w:color w:val="auto"/>
                <w:sz w:val="24"/>
              </w:rPr>
              <w:t>）中第二类用地筛选值，占地范围外满足《土壤环境质量</w:t>
            </w:r>
            <w:r>
              <w:rPr>
                <w:rFonts w:hint="eastAsia" w:ascii="Times New Roman" w:hAnsi="Times New Roman"/>
                <w:color w:val="auto"/>
                <w:sz w:val="24"/>
              </w:rPr>
              <w:t xml:space="preserve">  </w:t>
            </w:r>
            <w:r>
              <w:rPr>
                <w:rFonts w:ascii="Times New Roman" w:hAnsi="Times New Roman"/>
                <w:color w:val="auto"/>
                <w:sz w:val="24"/>
              </w:rPr>
              <w:t>农用地土壤污染风险管控标准</w:t>
            </w:r>
            <w:r>
              <w:rPr>
                <w:rFonts w:hint="eastAsia" w:ascii="Times New Roman" w:hAnsi="Times New Roman"/>
                <w:color w:val="auto"/>
                <w:sz w:val="24"/>
              </w:rPr>
              <w:t>（试行）</w:t>
            </w:r>
            <w:r>
              <w:rPr>
                <w:rFonts w:ascii="Times New Roman" w:hAnsi="Times New Roman"/>
                <w:color w:val="auto"/>
                <w:sz w:val="24"/>
              </w:rPr>
              <w:t>》（</w:t>
            </w:r>
            <w:r>
              <w:rPr>
                <w:rFonts w:ascii="Times New Roman" w:hAnsi="Times New Roman" w:eastAsia="TimesNewRomanPSMT"/>
                <w:color w:val="auto"/>
                <w:sz w:val="24"/>
              </w:rPr>
              <w:t>GB15618-2018</w:t>
            </w:r>
            <w:r>
              <w:rPr>
                <w:rFonts w:ascii="Times New Roman" w:hAnsi="Times New Roman"/>
                <w:color w:val="auto"/>
                <w:sz w:val="24"/>
              </w:rPr>
              <w:t>）表</w:t>
            </w:r>
            <w:r>
              <w:rPr>
                <w:rFonts w:ascii="Times New Roman" w:hAnsi="Times New Roman" w:eastAsia="TimesNewRomanPSMT"/>
                <w:color w:val="auto"/>
                <w:sz w:val="24"/>
              </w:rPr>
              <w:t xml:space="preserve">1 </w:t>
            </w:r>
            <w:r>
              <w:rPr>
                <w:rFonts w:ascii="Times New Roman" w:hAnsi="Times New Roman"/>
                <w:color w:val="auto"/>
                <w:sz w:val="24"/>
              </w:rPr>
              <w:t>中风险筛选值。</w:t>
            </w:r>
          </w:p>
          <w:p>
            <w:pPr>
              <w:spacing w:line="360" w:lineRule="auto"/>
              <w:ind w:firstLine="480" w:firstLineChars="200"/>
              <w:jc w:val="both"/>
              <w:rPr>
                <w:rFonts w:ascii="Times New Roman" w:hAnsi="Times New Roman"/>
                <w:color w:val="auto"/>
              </w:rPr>
            </w:pPr>
            <w:r>
              <w:rPr>
                <w:rFonts w:ascii="Times New Roman" w:hAnsi="Times New Roman"/>
                <w:color w:val="auto"/>
                <w:sz w:val="24"/>
              </w:rPr>
              <w:t>（6）油田内部发生风险事故时，可快速采取环境风险防范措施，确保风险事故对</w:t>
            </w:r>
            <w:r>
              <w:rPr>
                <w:rFonts w:hint="eastAsia" w:ascii="Times New Roman" w:hAnsi="Times New Roman"/>
                <w:color w:val="auto"/>
                <w:sz w:val="24"/>
              </w:rPr>
              <w:t>周边居民、</w:t>
            </w:r>
            <w:r>
              <w:rPr>
                <w:rFonts w:ascii="Times New Roman" w:hAnsi="Times New Roman"/>
                <w:color w:val="auto"/>
                <w:sz w:val="24"/>
              </w:rPr>
              <w:t>土壤、地下水等环境的影响程度可控。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42" w:hRule="atLeast"/>
        </w:trPr>
        <w:tc>
          <w:tcPr>
            <w:tcW w:w="254" w:type="pct"/>
            <w:vAlign w:val="center"/>
          </w:tcPr>
          <w:p>
            <w:pPr>
              <w:adjustRightInd w:val="0"/>
              <w:snapToGrid w:val="0"/>
              <w:spacing w:line="300" w:lineRule="exact"/>
              <w:jc w:val="center"/>
              <w:rPr>
                <w:rFonts w:ascii="Times New Roman" w:hAnsi="Times New Roman"/>
                <w:color w:val="auto"/>
                <w:kern w:val="0"/>
                <w:sz w:val="24"/>
              </w:rPr>
            </w:pPr>
            <w:r>
              <w:rPr>
                <w:rFonts w:hint="eastAsia" w:ascii="Times New Roman" w:hAnsi="Times New Roman"/>
                <w:color w:val="auto"/>
                <w:kern w:val="0"/>
                <w:sz w:val="24"/>
              </w:rPr>
              <w:t>评价标准</w:t>
            </w:r>
          </w:p>
        </w:tc>
        <w:tc>
          <w:tcPr>
            <w:tcW w:w="4745" w:type="pct"/>
          </w:tcPr>
          <w:p>
            <w:pPr>
              <w:tabs>
                <w:tab w:val="left" w:pos="393"/>
              </w:tabs>
              <w:spacing w:line="360" w:lineRule="auto"/>
              <w:jc w:val="both"/>
              <w:rPr>
                <w:rFonts w:ascii="Times New Roman" w:hAnsi="Times New Roman"/>
                <w:b/>
                <w:bCs/>
                <w:color w:val="auto"/>
                <w:sz w:val="24"/>
              </w:rPr>
            </w:pPr>
            <w:r>
              <w:rPr>
                <w:rFonts w:hint="eastAsia" w:ascii="Times New Roman" w:hAnsi="Times New Roman"/>
                <w:b/>
                <w:bCs/>
                <w:color w:val="auto"/>
                <w:sz w:val="24"/>
              </w:rPr>
              <w:t>7.环境质量标准</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1</w:t>
            </w:r>
            <w:r>
              <w:rPr>
                <w:rFonts w:ascii="Times New Roman" w:hAnsi="Times New Roman"/>
                <w:color w:val="auto"/>
                <w:sz w:val="24"/>
              </w:rPr>
              <w:t>）环境空气：基本污染物执行《环境空气质量标准》（</w:t>
            </w:r>
            <w:r>
              <w:rPr>
                <w:rFonts w:ascii="Times New Roman" w:hAnsi="Times New Roman" w:eastAsia="TimesNewRomanPSMT"/>
                <w:color w:val="auto"/>
                <w:sz w:val="24"/>
              </w:rPr>
              <w:t>GB3095-2012</w:t>
            </w:r>
            <w:r>
              <w:rPr>
                <w:rFonts w:ascii="Times New Roman" w:hAnsi="Times New Roman"/>
                <w:color w:val="auto"/>
                <w:sz w:val="24"/>
              </w:rPr>
              <w:t>）中二级标准，非甲烷总烃执行《大气污染物综合排放标准详解》</w:t>
            </w:r>
            <w:r>
              <w:rPr>
                <w:rFonts w:ascii="Times New Roman" w:hAnsi="Times New Roman" w:eastAsia="TimesNewRomanPSMT"/>
                <w:color w:val="auto"/>
                <w:sz w:val="24"/>
              </w:rPr>
              <w:t>2.0mg/m</w:t>
            </w:r>
            <w:r>
              <w:rPr>
                <w:rFonts w:ascii="Times New Roman" w:hAnsi="Times New Roman" w:eastAsia="TimesNewRomanPSMT"/>
                <w:color w:val="auto"/>
                <w:sz w:val="24"/>
                <w:vertAlign w:val="superscript"/>
              </w:rPr>
              <w:t>3</w:t>
            </w:r>
            <w:r>
              <w:rPr>
                <w:rFonts w:ascii="Times New Roman" w:hAnsi="Times New Roman"/>
                <w:color w:val="auto"/>
                <w:sz w:val="24"/>
              </w:rPr>
              <w:t>限值要求；</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2</w:t>
            </w:r>
            <w:r>
              <w:rPr>
                <w:rFonts w:ascii="Times New Roman" w:hAnsi="Times New Roman"/>
                <w:color w:val="auto"/>
                <w:sz w:val="24"/>
              </w:rPr>
              <w:t>）水环境：《地下水质量标准》（</w:t>
            </w:r>
            <w:r>
              <w:rPr>
                <w:rFonts w:ascii="Times New Roman" w:hAnsi="Times New Roman" w:eastAsia="TimesNewRomanPSMT"/>
                <w:color w:val="auto"/>
                <w:sz w:val="24"/>
              </w:rPr>
              <w:t>GB/T14848-2017</w:t>
            </w:r>
            <w:r>
              <w:rPr>
                <w:rFonts w:ascii="Times New Roman" w:hAnsi="Times New Roman"/>
                <w:color w:val="auto"/>
                <w:sz w:val="24"/>
              </w:rPr>
              <w:t>）的Ⅲ类标准；石油类参照执行</w:t>
            </w:r>
            <w:r>
              <w:rPr>
                <w:rFonts w:ascii="Times New Roman" w:hAnsi="Times New Roman"/>
                <w:color w:val="auto"/>
                <w:sz w:val="24"/>
                <w:lang w:val="zh-CN"/>
              </w:rPr>
              <w:t>《地表水环境质量标准》（GB3838-2002）</w:t>
            </w:r>
            <w:r>
              <w:rPr>
                <w:rFonts w:ascii="Times New Roman" w:hAnsi="Times New Roman"/>
                <w:color w:val="auto"/>
                <w:sz w:val="24"/>
              </w:rPr>
              <w:t>Ⅲ类标准；</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3</w:t>
            </w:r>
            <w:r>
              <w:rPr>
                <w:rFonts w:ascii="Times New Roman" w:hAnsi="Times New Roman"/>
                <w:color w:val="auto"/>
                <w:sz w:val="24"/>
              </w:rPr>
              <w:t>）声环境：《声环境质量标准》（</w:t>
            </w:r>
            <w:r>
              <w:rPr>
                <w:rFonts w:ascii="Times New Roman" w:hAnsi="Times New Roman" w:eastAsia="TimesNewRomanPSMT"/>
                <w:color w:val="auto"/>
                <w:sz w:val="24"/>
              </w:rPr>
              <w:t>GB3096-2008</w:t>
            </w:r>
            <w:r>
              <w:rPr>
                <w:rFonts w:ascii="Times New Roman" w:hAnsi="Times New Roman"/>
                <w:color w:val="auto"/>
                <w:sz w:val="24"/>
              </w:rPr>
              <w:t>）的</w:t>
            </w:r>
            <w:r>
              <w:rPr>
                <w:rFonts w:ascii="Times New Roman" w:hAnsi="Times New Roman" w:eastAsia="TimesNewRomanPSMT"/>
                <w:color w:val="auto"/>
                <w:sz w:val="24"/>
              </w:rPr>
              <w:t xml:space="preserve">2 </w:t>
            </w:r>
            <w:r>
              <w:rPr>
                <w:rFonts w:ascii="Times New Roman" w:hAnsi="Times New Roman"/>
                <w:color w:val="auto"/>
                <w:sz w:val="24"/>
              </w:rPr>
              <w:t>类标准限值；</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4</w:t>
            </w:r>
            <w:r>
              <w:rPr>
                <w:rFonts w:ascii="Times New Roman" w:hAnsi="Times New Roman"/>
                <w:color w:val="auto"/>
                <w:sz w:val="24"/>
              </w:rPr>
              <w:t>）土壤环境：占地范围内执行《土壤环境质量 建设用地土壤污染风险管控标准</w:t>
            </w:r>
            <w:r>
              <w:rPr>
                <w:rFonts w:hint="eastAsia" w:ascii="Times New Roman" w:hAnsi="Times New Roman"/>
                <w:color w:val="auto"/>
                <w:sz w:val="24"/>
              </w:rPr>
              <w:t>（试行）</w:t>
            </w:r>
            <w:r>
              <w:rPr>
                <w:rFonts w:ascii="Times New Roman" w:hAnsi="Times New Roman"/>
                <w:color w:val="auto"/>
                <w:sz w:val="24"/>
              </w:rPr>
              <w:t>》（</w:t>
            </w:r>
            <w:r>
              <w:rPr>
                <w:rFonts w:ascii="Times New Roman" w:hAnsi="Times New Roman" w:eastAsia="TimesNewRomanPSMT"/>
                <w:color w:val="auto"/>
                <w:sz w:val="24"/>
              </w:rPr>
              <w:t>GB36600-2018</w:t>
            </w:r>
            <w:r>
              <w:rPr>
                <w:rFonts w:ascii="Times New Roman" w:hAnsi="Times New Roman"/>
                <w:color w:val="auto"/>
                <w:sz w:val="24"/>
              </w:rPr>
              <w:t>）中第二类用地筛选值；占地范围外周边农田执行《土壤环境质量 农用地土壤污染风险管控标准</w:t>
            </w:r>
            <w:r>
              <w:rPr>
                <w:rFonts w:hint="eastAsia" w:ascii="Times New Roman" w:hAnsi="Times New Roman"/>
                <w:color w:val="auto"/>
                <w:sz w:val="24"/>
              </w:rPr>
              <w:t>（试行）</w:t>
            </w:r>
            <w:r>
              <w:rPr>
                <w:rFonts w:ascii="Times New Roman" w:hAnsi="Times New Roman"/>
                <w:color w:val="auto"/>
                <w:sz w:val="24"/>
              </w:rPr>
              <w:t>》（</w:t>
            </w:r>
            <w:r>
              <w:rPr>
                <w:rFonts w:ascii="Times New Roman" w:hAnsi="Times New Roman" w:eastAsia="TimesNewRomanPSMT"/>
                <w:color w:val="auto"/>
                <w:sz w:val="24"/>
              </w:rPr>
              <w:t>GB15618-2018</w:t>
            </w:r>
            <w:r>
              <w:rPr>
                <w:rFonts w:ascii="Times New Roman" w:hAnsi="Times New Roman"/>
                <w:color w:val="auto"/>
                <w:sz w:val="24"/>
              </w:rPr>
              <w:t>）表</w:t>
            </w:r>
            <w:r>
              <w:rPr>
                <w:rFonts w:ascii="Times New Roman" w:hAnsi="Times New Roman" w:eastAsia="TimesNewRomanPSMT"/>
                <w:color w:val="auto"/>
                <w:sz w:val="24"/>
              </w:rPr>
              <w:t xml:space="preserve">1 </w:t>
            </w:r>
            <w:r>
              <w:rPr>
                <w:rFonts w:ascii="Times New Roman" w:hAnsi="Times New Roman"/>
                <w:color w:val="auto"/>
                <w:sz w:val="24"/>
              </w:rPr>
              <w:t>中风险筛选值。</w:t>
            </w:r>
          </w:p>
          <w:p>
            <w:pPr>
              <w:spacing w:line="360" w:lineRule="auto"/>
              <w:jc w:val="both"/>
              <w:rPr>
                <w:rFonts w:ascii="宋体" w:hAnsi="宋体"/>
                <w:b/>
                <w:bCs/>
                <w:color w:val="auto"/>
                <w:sz w:val="24"/>
              </w:rPr>
            </w:pPr>
            <w:r>
              <w:rPr>
                <w:rFonts w:ascii="Times New Roman" w:hAnsi="Times New Roman"/>
                <w:b/>
                <w:bCs/>
                <w:color w:val="auto"/>
                <w:sz w:val="24"/>
              </w:rPr>
              <w:t>8.</w:t>
            </w:r>
            <w:r>
              <w:rPr>
                <w:rFonts w:hint="eastAsia" w:ascii="宋体" w:hAnsi="宋体"/>
                <w:b/>
                <w:bCs/>
                <w:color w:val="auto"/>
                <w:sz w:val="24"/>
              </w:rPr>
              <w:t>污染物排放标准</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NewRomanPSMT"/>
                <w:color w:val="auto"/>
                <w:sz w:val="24"/>
              </w:rPr>
              <w:t>1</w:t>
            </w:r>
            <w:r>
              <w:rPr>
                <w:rFonts w:ascii="Times New Roman" w:hAnsi="Times New Roman"/>
                <w:color w:val="auto"/>
                <w:sz w:val="24"/>
              </w:rPr>
              <w:t>）施工期大气污染物排放执行《大气污染物综合排放标准》（GB16297-1996）颗粒物周边无组织排放限值1.0mg/m</w:t>
            </w:r>
            <w:r>
              <w:rPr>
                <w:rFonts w:ascii="Times New Roman" w:hAnsi="Times New Roman"/>
                <w:color w:val="auto"/>
                <w:sz w:val="24"/>
                <w:vertAlign w:val="superscript"/>
              </w:rPr>
              <w:t>3</w:t>
            </w:r>
            <w:r>
              <w:rPr>
                <w:rFonts w:ascii="Times New Roman" w:hAnsi="Times New Roman"/>
                <w:color w:val="auto"/>
                <w:sz w:val="24"/>
              </w:rPr>
              <w:t>；运营期无组织排放废气中非甲烷总烃执行</w:t>
            </w:r>
            <w:r>
              <w:rPr>
                <w:rFonts w:hint="eastAsia" w:ascii="宋体" w:hAnsi="宋体" w:cs="宋体"/>
                <w:color w:val="auto"/>
                <w:kern w:val="0"/>
                <w:sz w:val="24"/>
                <w:lang w:bidi="ar"/>
              </w:rPr>
              <w:t>《大气污染物综合排放标准》（</w:t>
            </w:r>
            <w:r>
              <w:rPr>
                <w:rFonts w:ascii="Times New Roman" w:hAnsi="Times New Roman"/>
                <w:color w:val="auto"/>
                <w:kern w:val="0"/>
                <w:sz w:val="24"/>
                <w:lang w:bidi="ar"/>
              </w:rPr>
              <w:t>GB16297-1996</w:t>
            </w:r>
            <w:r>
              <w:rPr>
                <w:rFonts w:hint="eastAsia" w:ascii="宋体" w:hAnsi="宋体" w:cs="宋体"/>
                <w:color w:val="auto"/>
                <w:kern w:val="0"/>
                <w:sz w:val="24"/>
                <w:lang w:bidi="ar"/>
              </w:rPr>
              <w:t xml:space="preserve">）表 </w:t>
            </w:r>
            <w:r>
              <w:rPr>
                <w:rFonts w:ascii="Times New Roman" w:hAnsi="Times New Roman"/>
                <w:color w:val="auto"/>
                <w:kern w:val="0"/>
                <w:sz w:val="24"/>
                <w:lang w:bidi="ar"/>
              </w:rPr>
              <w:t xml:space="preserve">2 </w:t>
            </w:r>
            <w:r>
              <w:rPr>
                <w:rFonts w:hint="eastAsia" w:ascii="宋体" w:hAnsi="宋体" w:cs="宋体"/>
                <w:color w:val="auto"/>
                <w:kern w:val="0"/>
                <w:sz w:val="24"/>
                <w:lang w:bidi="ar"/>
              </w:rPr>
              <w:t>中排放限值和《陆上 石油天然气开采工业大气污染物排放标准》（</w:t>
            </w:r>
            <w:r>
              <w:rPr>
                <w:rFonts w:ascii="Times New Roman" w:hAnsi="Times New Roman"/>
                <w:color w:val="auto"/>
                <w:kern w:val="0"/>
                <w:sz w:val="24"/>
                <w:lang w:bidi="ar"/>
              </w:rPr>
              <w:t>GB39728-2020</w:t>
            </w:r>
            <w:r>
              <w:rPr>
                <w:rFonts w:hint="eastAsia" w:ascii="宋体" w:hAnsi="宋体" w:cs="宋体"/>
                <w:color w:val="auto"/>
                <w:kern w:val="0"/>
                <w:sz w:val="24"/>
                <w:lang w:bidi="ar"/>
              </w:rPr>
              <w:t xml:space="preserve">）中无组织排放监控浓度限值 </w:t>
            </w:r>
            <w:r>
              <w:rPr>
                <w:rFonts w:ascii="Times New Roman" w:hAnsi="Times New Roman"/>
                <w:color w:val="auto"/>
                <w:kern w:val="0"/>
                <w:sz w:val="24"/>
                <w:lang w:bidi="ar"/>
              </w:rPr>
              <w:t>4.0mg/m</w:t>
            </w:r>
            <w:r>
              <w:rPr>
                <w:rFonts w:ascii="Times New Roman" w:hAnsi="Times New Roman"/>
                <w:color w:val="auto"/>
                <w:kern w:val="0"/>
                <w:sz w:val="24"/>
                <w:vertAlign w:val="superscript"/>
                <w:lang w:bidi="ar"/>
              </w:rPr>
              <w:t>3</w:t>
            </w:r>
            <w:r>
              <w:rPr>
                <w:rFonts w:hint="eastAsia" w:ascii="宋体" w:hAnsi="宋体" w:cs="宋体"/>
                <w:color w:val="auto"/>
                <w:kern w:val="0"/>
                <w:sz w:val="24"/>
                <w:lang w:bidi="ar"/>
              </w:rPr>
              <w:t>的要求</w:t>
            </w:r>
            <w:r>
              <w:rPr>
                <w:rFonts w:ascii="Times New Roman" w:hAnsi="Times New Roman"/>
                <w:color w:val="auto"/>
                <w:sz w:val="24"/>
              </w:rPr>
              <w:t>；</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（2）施工期场界噪声执行《建筑施工场界环境噪声排放标准》（</w:t>
            </w:r>
            <w:r>
              <w:rPr>
                <w:rFonts w:ascii="Times New Roman" w:hAnsi="Times New Roman" w:eastAsia="TimesNewRomanPSMT"/>
                <w:color w:val="auto"/>
                <w:sz w:val="24"/>
              </w:rPr>
              <w:t>GB12523-2011</w:t>
            </w:r>
            <w:r>
              <w:rPr>
                <w:rFonts w:ascii="Times New Roman" w:hAnsi="Times New Roman"/>
                <w:color w:val="auto"/>
                <w:sz w:val="24"/>
              </w:rPr>
              <w:t>）（昼间70dB（A），夜间55dB（A））要求；运营期噪声执行《工业企业厂界环境噪声排放标准》（GB12348-2008）2类功能区标准要求；</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（3）固体废物执行《一般工业固体废物贮存和填埋污染控制标准》（</w:t>
            </w:r>
            <w:r>
              <w:rPr>
                <w:rFonts w:ascii="Times New Roman" w:hAnsi="Times New Roman" w:eastAsia="TimesNewRomanPSMT"/>
                <w:color w:val="auto"/>
                <w:sz w:val="24"/>
              </w:rPr>
              <w:t>GB 18599-2020</w:t>
            </w:r>
            <w:r>
              <w:rPr>
                <w:rFonts w:ascii="Times New Roman" w:hAnsi="Times New Roman"/>
                <w:color w:val="auto"/>
                <w:sz w:val="24"/>
              </w:rPr>
              <w:t>）、《危险废物贮存污染控制标准》（GB18597-2001)及修改单、《油气田含油污泥及钻井固体废物处理处置技术规范》（DB65/T3999-2017）</w:t>
            </w:r>
            <w:r>
              <w:rPr>
                <w:rFonts w:hint="eastAsia" w:ascii="Times New Roman" w:hAnsi="Times New Roman"/>
                <w:color w:val="auto"/>
                <w:sz w:val="24"/>
              </w:rPr>
              <w:t>、</w:t>
            </w:r>
            <w:r>
              <w:rPr>
                <w:rFonts w:ascii="Times New Roman" w:hAnsi="Times New Roman"/>
                <w:color w:val="auto"/>
                <w:sz w:val="24"/>
              </w:rPr>
              <w:t>《油气田钻井固体废物综合利用污染控制要求》（DB65/T 3997-2017）</w:t>
            </w:r>
            <w:r>
              <w:rPr>
                <w:rFonts w:hint="eastAsia" w:ascii="Times New Roman" w:hAnsi="Times New Roman"/>
                <w:color w:val="auto"/>
                <w:sz w:val="24"/>
              </w:rPr>
              <w:t>、《关于含油污泥处置有关事宜的通知》（新环办发﹝2018﹞20号）</w:t>
            </w:r>
            <w:r>
              <w:rPr>
                <w:rFonts w:ascii="Times New Roman" w:hAnsi="Times New Roman"/>
                <w:color w:val="auto"/>
                <w:sz w:val="24"/>
              </w:rPr>
              <w:t>；</w:t>
            </w:r>
          </w:p>
          <w:p>
            <w:pPr>
              <w:tabs>
                <w:tab w:val="left" w:pos="393"/>
              </w:tabs>
              <w:spacing w:line="360" w:lineRule="auto"/>
              <w:ind w:firstLine="480" w:firstLineChars="200"/>
              <w:jc w:val="both"/>
              <w:rPr>
                <w:rFonts w:ascii="Times New Roman" w:hAnsi="Times New Roman"/>
                <w:color w:val="auto"/>
                <w:sz w:val="24"/>
              </w:rPr>
            </w:pPr>
            <w:r>
              <w:rPr>
                <w:rFonts w:ascii="Times New Roman" w:hAnsi="Times New Roman"/>
                <w:color w:val="auto"/>
                <w:sz w:val="24"/>
              </w:rPr>
              <w:t>（4）废水执行《碎屑岩油藏注水水质指标及分析方法》（</w:t>
            </w:r>
            <w:r>
              <w:rPr>
                <w:rFonts w:hint="eastAsia" w:ascii="Times New Roman" w:hAnsi="Times New Roman"/>
                <w:color w:val="auto"/>
                <w:sz w:val="24"/>
              </w:rPr>
              <w:t>S</w:t>
            </w:r>
            <w:r>
              <w:rPr>
                <w:rFonts w:ascii="Times New Roman" w:hAnsi="Times New Roman" w:eastAsia="TimesNewRomanPSMT"/>
                <w:color w:val="auto"/>
                <w:sz w:val="24"/>
              </w:rPr>
              <w:t>Y/T5329-2012</w:t>
            </w:r>
            <w:r>
              <w:rPr>
                <w:rFonts w:ascii="Times New Roman" w:hAnsi="Times New Roman"/>
                <w:color w:val="auto"/>
                <w:sz w:val="24"/>
              </w:rPr>
              <w:t>）要求。</w:t>
            </w:r>
          </w:p>
          <w:p>
            <w:pPr>
              <w:tabs>
                <w:tab w:val="left" w:pos="393"/>
              </w:tabs>
              <w:spacing w:line="360" w:lineRule="auto"/>
              <w:ind w:firstLine="480" w:firstLineChars="200"/>
              <w:jc w:val="both"/>
              <w:rPr>
                <w:rFonts w:ascii="Times New Roman" w:hAnsi="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53" w:hRule="atLeast"/>
        </w:trPr>
        <w:tc>
          <w:tcPr>
            <w:tcW w:w="254" w:type="pct"/>
            <w:vAlign w:val="center"/>
          </w:tcPr>
          <w:p>
            <w:pPr>
              <w:adjustRightInd w:val="0"/>
              <w:snapToGrid w:val="0"/>
              <w:jc w:val="center"/>
              <w:rPr>
                <w:rFonts w:ascii="Times New Roman" w:hAnsi="Times New Roman"/>
                <w:color w:val="auto"/>
                <w:sz w:val="24"/>
              </w:rPr>
            </w:pPr>
            <w:r>
              <w:rPr>
                <w:rFonts w:ascii="Times New Roman" w:hAnsi="Times New Roman"/>
                <w:color w:val="auto"/>
                <w:sz w:val="24"/>
              </w:rPr>
              <w:t>其他</w:t>
            </w:r>
          </w:p>
        </w:tc>
        <w:tc>
          <w:tcPr>
            <w:tcW w:w="4745" w:type="pct"/>
            <w:vAlign w:val="center"/>
          </w:tcPr>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目前国家对二氧化硫、氮氧化物、化学需氧量、氨氮进行总量控制</w:t>
            </w:r>
            <w:r>
              <w:rPr>
                <w:rFonts w:hint="eastAsia" w:ascii="Times New Roman" w:hAnsi="Times New Roman"/>
                <w:color w:val="auto"/>
                <w:sz w:val="24"/>
              </w:rPr>
              <w:t>，</w:t>
            </w:r>
            <w:r>
              <w:rPr>
                <w:rFonts w:hint="eastAsia" w:ascii="宋体" w:hAnsi="宋体" w:cs="宋体"/>
                <w:color w:val="auto"/>
                <w:sz w:val="24"/>
                <w:shd w:val="clear" w:color="auto" w:fill="FFFFFF"/>
              </w:rPr>
              <w:t>在重点地区、重点行业推进挥发性有机物总量控制</w:t>
            </w:r>
            <w:r>
              <w:rPr>
                <w:rFonts w:hint="eastAsia" w:ascii="宋体" w:hAnsi="宋体" w:cs="宋体"/>
                <w:color w:val="auto"/>
                <w:sz w:val="24"/>
              </w:rPr>
              <w:t>。</w:t>
            </w:r>
            <w:r>
              <w:rPr>
                <w:rFonts w:ascii="Times New Roman" w:hAnsi="Times New Roman"/>
                <w:color w:val="auto"/>
                <w:sz w:val="24"/>
              </w:rPr>
              <w:t>本项目废水处理达标后全部回注不外排，无新增需进行总量控制的水污染物排放。</w:t>
            </w:r>
            <w:r>
              <w:rPr>
                <w:rFonts w:hint="eastAsia" w:ascii="Times New Roman" w:hAnsi="Times New Roman"/>
                <w:color w:val="auto"/>
                <w:sz w:val="24"/>
              </w:rPr>
              <w:t>本项目井场不设加热炉，</w:t>
            </w:r>
            <w:r>
              <w:rPr>
                <w:rFonts w:ascii="Times New Roman" w:hAnsi="Times New Roman"/>
                <w:color w:val="auto"/>
                <w:sz w:val="24"/>
              </w:rPr>
              <w:t xml:space="preserve">本项目无二氧化硫、氮氧化物排放，其排放的VOCs 基本可以等同为非甲烷总烃，故确定本项目建议总量控制指标为非甲烷总烃，无组织排放量估算为3.15 t/a。由建设单位报请第七师胡杨河市生态环境局确认本工程污染物允许排放总量，将其纳入七师总量控制指标内。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本次评价提出的为建议值，供生态环境主管部门对本项目实施环境管理以及下达污染物排放总量控制指标时参考。 </w:t>
            </w:r>
          </w:p>
          <w:p>
            <w:pPr>
              <w:spacing w:line="360" w:lineRule="auto"/>
              <w:ind w:firstLine="480" w:firstLineChars="200"/>
              <w:jc w:val="both"/>
              <w:rPr>
                <w:rFonts w:ascii="Times New Roman" w:hAnsi="Times New Roman"/>
                <w:color w:val="auto"/>
                <w:sz w:val="24"/>
              </w:rPr>
            </w:pPr>
          </w:p>
          <w:p>
            <w:pPr>
              <w:spacing w:line="360" w:lineRule="auto"/>
              <w:jc w:val="both"/>
              <w:rPr>
                <w:rFonts w:ascii="Times New Roman" w:hAnsi="Times New Roman"/>
                <w:color w:val="auto"/>
                <w:sz w:val="24"/>
              </w:rPr>
            </w:pPr>
          </w:p>
        </w:tc>
      </w:tr>
    </w:tbl>
    <w:p>
      <w:pPr>
        <w:ind w:firstLine="172"/>
        <w:rPr>
          <w:rFonts w:ascii="Times New Roman" w:hAnsi="Times New Roman"/>
        </w:rPr>
        <w:sectPr>
          <w:footerReference r:id="rId6" w:type="default"/>
          <w:pgSz w:w="11906" w:h="16838"/>
          <w:pgMar w:top="1417" w:right="1587" w:bottom="1417" w:left="1587" w:header="851" w:footer="1077" w:gutter="0"/>
          <w:cols w:space="720" w:num="1"/>
          <w:docGrid w:linePitch="312" w:charSpace="0"/>
        </w:sectPr>
      </w:pPr>
    </w:p>
    <w:p>
      <w:pPr>
        <w:pStyle w:val="33"/>
        <w:spacing w:before="0" w:beforeAutospacing="0" w:after="0" w:afterAutospacing="0"/>
        <w:ind w:firstLine="24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四、生态环境影响分析</w:t>
      </w:r>
    </w:p>
    <w:tbl>
      <w:tblPr>
        <w:tblStyle w:val="37"/>
        <w:tblW w:w="5000" w:type="pct"/>
        <w:jc w:val="center"/>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76"/>
        <w:gridCol w:w="8392"/>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39" w:type="pct"/>
            <w:shd w:val="clear" w:color="auto" w:fill="auto"/>
            <w:tcMar>
              <w:left w:w="28" w:type="dxa"/>
              <w:right w:w="28" w:type="dxa"/>
            </w:tcMar>
            <w:vAlign w:val="center"/>
          </w:tcPr>
          <w:p>
            <w:pPr>
              <w:pStyle w:val="33"/>
              <w:adjustRightInd w:val="0"/>
              <w:snapToGrid w:val="0"/>
              <w:spacing w:before="0" w:beforeAutospacing="0" w:after="0" w:afterAutospacing="0"/>
              <w:jc w:val="center"/>
              <w:rPr>
                <w:rFonts w:ascii="Times New Roman" w:hAnsi="Times New Roman"/>
                <w:bCs/>
                <w:color w:val="auto"/>
                <w:kern w:val="2"/>
              </w:rPr>
            </w:pPr>
            <w:bookmarkStart w:id="9" w:name="_Hlk49796138"/>
            <w:r>
              <w:rPr>
                <w:rFonts w:ascii="Times New Roman" w:hAnsi="Times New Roman"/>
                <w:bCs/>
                <w:color w:val="auto"/>
                <w:spacing w:val="10"/>
                <w:kern w:val="2"/>
              </w:rPr>
              <w:t>施工期生态环境影响分析</w:t>
            </w:r>
            <w:bookmarkEnd w:id="9"/>
          </w:p>
        </w:tc>
        <w:tc>
          <w:tcPr>
            <w:tcW w:w="4761" w:type="pct"/>
            <w:tcBorders>
              <w:top w:val="single" w:color="auto" w:sz="4" w:space="0"/>
              <w:bottom w:val="single" w:color="auto" w:sz="6" w:space="0"/>
            </w:tcBorders>
            <w:shd w:val="clear" w:color="auto" w:fill="auto"/>
            <w:vAlign w:val="center"/>
          </w:tcPr>
          <w:p>
            <w:pPr>
              <w:pStyle w:val="74"/>
              <w:spacing w:line="360" w:lineRule="auto"/>
              <w:ind w:firstLine="482"/>
              <w:jc w:val="both"/>
              <w:outlineLvl w:val="9"/>
              <w:rPr>
                <w:rFonts w:ascii="Times New Roman" w:hAnsi="Times New Roman"/>
                <w:color w:val="auto"/>
                <w:szCs w:val="24"/>
              </w:rPr>
            </w:pPr>
            <w:r>
              <w:rPr>
                <w:rFonts w:ascii="Times New Roman" w:hAnsi="Times New Roman"/>
                <w:color w:val="auto"/>
                <w:szCs w:val="24"/>
              </w:rPr>
              <w:t>1</w:t>
            </w:r>
            <w:r>
              <w:rPr>
                <w:rFonts w:hint="eastAsia" w:ascii="Times New Roman" w:hAnsi="Times New Roman"/>
                <w:color w:val="auto"/>
                <w:szCs w:val="24"/>
              </w:rPr>
              <w:t>．</w:t>
            </w:r>
            <w:r>
              <w:rPr>
                <w:rFonts w:ascii="Times New Roman" w:hAnsi="Times New Roman"/>
                <w:color w:val="auto"/>
                <w:szCs w:val="24"/>
              </w:rPr>
              <w:t>生态环境影响分析</w:t>
            </w:r>
          </w:p>
          <w:p>
            <w:pPr>
              <w:pStyle w:val="48"/>
              <w:spacing w:line="360" w:lineRule="auto"/>
              <w:ind w:firstLine="480"/>
              <w:jc w:val="both"/>
              <w:rPr>
                <w:rFonts w:ascii="Times New Roman" w:hAnsi="Times New Roman"/>
                <w:color w:val="auto"/>
              </w:rPr>
            </w:pPr>
            <w:r>
              <w:rPr>
                <w:rFonts w:ascii="Times New Roman" w:hAnsi="Times New Roman"/>
                <w:color w:val="auto"/>
              </w:rPr>
              <w:t>（1）工程占地影响分析</w:t>
            </w:r>
          </w:p>
          <w:p>
            <w:pPr>
              <w:pStyle w:val="48"/>
              <w:spacing w:line="360" w:lineRule="auto"/>
              <w:ind w:firstLine="480"/>
              <w:jc w:val="both"/>
              <w:rPr>
                <w:rFonts w:ascii="Times New Roman" w:hAnsi="Times New Roman"/>
                <w:color w:val="auto"/>
                <w:lang w:bidi="ar"/>
              </w:rPr>
            </w:pPr>
            <w:bookmarkStart w:id="10" w:name="_Hlk69980205"/>
            <w:r>
              <w:rPr>
                <w:rFonts w:hint="eastAsia" w:ascii="Times New Roman" w:hAnsi="Times New Roman"/>
                <w:color w:val="auto"/>
              </w:rPr>
              <w:t>本次春2井区共新建15口采油井，</w:t>
            </w:r>
            <w:r>
              <w:rPr>
                <w:rFonts w:ascii="Times New Roman" w:hAnsi="Times New Roman"/>
                <w:color w:val="auto"/>
              </w:rPr>
              <w:t>项目总占地面积</w:t>
            </w:r>
            <w:bookmarkStart w:id="11" w:name="_Hlk63327299"/>
            <w:r>
              <w:rPr>
                <w:rFonts w:ascii="Times New Roman" w:hAnsi="Times New Roman"/>
                <w:color w:val="auto"/>
                <w:szCs w:val="21"/>
              </w:rPr>
              <w:t>40920</w:t>
            </w:r>
            <w:r>
              <w:rPr>
                <w:rFonts w:ascii="Times New Roman" w:hAnsi="Times New Roman"/>
                <w:color w:val="auto"/>
              </w:rPr>
              <w:t>m</w:t>
            </w:r>
            <w:r>
              <w:rPr>
                <w:rFonts w:ascii="Times New Roman" w:hAnsi="Times New Roman"/>
                <w:color w:val="auto"/>
                <w:vertAlign w:val="superscript"/>
              </w:rPr>
              <w:t>2</w:t>
            </w:r>
            <w:r>
              <w:rPr>
                <w:rFonts w:ascii="Times New Roman" w:hAnsi="Times New Roman"/>
                <w:color w:val="auto"/>
              </w:rPr>
              <w:t>，</w:t>
            </w:r>
            <w:bookmarkEnd w:id="10"/>
            <w:bookmarkEnd w:id="11"/>
            <w:r>
              <w:rPr>
                <w:rFonts w:ascii="Times New Roman" w:hAnsi="Times New Roman"/>
                <w:color w:val="auto"/>
                <w:lang w:bidi="ar"/>
              </w:rPr>
              <w:t>占地主要位于春光油田范围内，</w:t>
            </w:r>
            <w:r>
              <w:rPr>
                <w:rFonts w:hint="eastAsia" w:ascii="Times New Roman" w:hAnsi="Times New Roman"/>
                <w:color w:val="auto"/>
                <w:lang w:bidi="ar"/>
              </w:rPr>
              <w:t>各项工程的永久占地面积为28920</w:t>
            </w:r>
            <w:r>
              <w:rPr>
                <w:rFonts w:ascii="Times New Roman" w:hAnsi="Times New Roman"/>
                <w:color w:val="auto"/>
              </w:rPr>
              <w:t>m</w:t>
            </w:r>
            <w:r>
              <w:rPr>
                <w:rFonts w:ascii="Times New Roman" w:hAnsi="Times New Roman"/>
                <w:color w:val="auto"/>
                <w:vertAlign w:val="superscript"/>
              </w:rPr>
              <w:t>2</w:t>
            </w:r>
            <w:r>
              <w:rPr>
                <w:rFonts w:hint="eastAsia" w:ascii="Times New Roman" w:hAnsi="Times New Roman"/>
                <w:color w:val="auto"/>
              </w:rPr>
              <w:t>，</w:t>
            </w:r>
            <w:r>
              <w:rPr>
                <w:rFonts w:ascii="Times New Roman" w:hAnsi="Times New Roman"/>
                <w:color w:val="auto"/>
                <w:lang w:bidi="ar"/>
              </w:rPr>
              <w:t>临时占地面积12000m</w:t>
            </w:r>
            <w:r>
              <w:rPr>
                <w:rFonts w:ascii="Times New Roman" w:hAnsi="Times New Roman"/>
                <w:color w:val="auto"/>
                <w:vertAlign w:val="superscript"/>
                <w:lang w:bidi="ar"/>
              </w:rPr>
              <w:t>2</w:t>
            </w:r>
            <w:r>
              <w:rPr>
                <w:rFonts w:ascii="Times New Roman" w:hAnsi="Times New Roman"/>
                <w:color w:val="auto"/>
                <w:lang w:bidi="ar"/>
              </w:rPr>
              <w:t>，</w:t>
            </w:r>
            <w:r>
              <w:rPr>
                <w:rFonts w:hint="eastAsia" w:ascii="Times New Roman" w:hAnsi="Times New Roman"/>
                <w:color w:val="auto"/>
                <w:lang w:bidi="ar"/>
              </w:rPr>
              <w:t>本项目建设过程中占地面积统计表见表4</w:t>
            </w:r>
            <w:r>
              <w:rPr>
                <w:rFonts w:ascii="Times New Roman" w:hAnsi="Times New Roman"/>
                <w:color w:val="auto"/>
                <w:lang w:bidi="ar"/>
              </w:rPr>
              <w:t>-1</w:t>
            </w:r>
            <w:r>
              <w:rPr>
                <w:rFonts w:hint="eastAsia" w:ascii="Times New Roman" w:hAnsi="Times New Roman"/>
                <w:color w:val="auto"/>
                <w:lang w:bidi="ar"/>
              </w:rPr>
              <w:t>。</w:t>
            </w:r>
          </w:p>
          <w:p>
            <w:pPr>
              <w:pStyle w:val="48"/>
              <w:spacing w:line="240" w:lineRule="auto"/>
              <w:ind w:firstLine="422"/>
              <w:jc w:val="center"/>
              <w:rPr>
                <w:rFonts w:ascii="Times New Roman" w:hAnsi="Times New Roman"/>
                <w:b/>
                <w:bCs/>
                <w:color w:val="auto"/>
                <w:sz w:val="21"/>
                <w:szCs w:val="21"/>
                <w:lang w:bidi="ar"/>
              </w:rPr>
            </w:pPr>
            <w:r>
              <w:rPr>
                <w:rFonts w:hint="eastAsia" w:ascii="Times New Roman" w:hAnsi="Times New Roman"/>
                <w:b/>
                <w:bCs/>
                <w:color w:val="auto"/>
                <w:sz w:val="21"/>
                <w:szCs w:val="21"/>
                <w:lang w:bidi="ar"/>
              </w:rPr>
              <w:t>表4</w:t>
            </w:r>
            <w:r>
              <w:rPr>
                <w:rFonts w:ascii="Times New Roman" w:hAnsi="Times New Roman"/>
                <w:b/>
                <w:bCs/>
                <w:color w:val="auto"/>
                <w:sz w:val="21"/>
                <w:szCs w:val="21"/>
                <w:lang w:bidi="ar"/>
              </w:rPr>
              <w:t>-1</w:t>
            </w:r>
            <w:r>
              <w:rPr>
                <w:rFonts w:hint="eastAsia" w:ascii="Times New Roman" w:hAnsi="Times New Roman"/>
                <w:b/>
                <w:bCs/>
                <w:color w:val="auto"/>
                <w:sz w:val="21"/>
                <w:szCs w:val="21"/>
                <w:lang w:bidi="ar"/>
              </w:rPr>
              <w:t xml:space="preserve"> 占地面积统计表</w:t>
            </w:r>
          </w:p>
          <w:tbl>
            <w:tblPr>
              <w:tblStyle w:val="3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138"/>
              <w:gridCol w:w="1179"/>
              <w:gridCol w:w="1078"/>
              <w:gridCol w:w="1061"/>
              <w:gridCol w:w="30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17" w:type="pct"/>
                  <w:vMerge w:val="restar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序号</w:t>
                  </w:r>
                </w:p>
              </w:tc>
              <w:tc>
                <w:tcPr>
                  <w:tcW w:w="696" w:type="pct"/>
                  <w:vMerge w:val="restar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建设项目</w:t>
                  </w:r>
                </w:p>
              </w:tc>
              <w:tc>
                <w:tcPr>
                  <w:tcW w:w="1380" w:type="pct"/>
                  <w:gridSpan w:val="2"/>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面积（</w:t>
                  </w:r>
                  <w:r>
                    <w:rPr>
                      <w:rFonts w:ascii="Times New Roman" w:hAnsi="Times New Roman"/>
                      <w:color w:val="auto"/>
                      <w:sz w:val="21"/>
                      <w:szCs w:val="21"/>
                    </w:rPr>
                    <w:t>m</w:t>
                  </w:r>
                  <w:r>
                    <w:rPr>
                      <w:rFonts w:ascii="Times New Roman" w:hAnsi="Times New Roman"/>
                      <w:color w:val="auto"/>
                      <w:sz w:val="21"/>
                      <w:szCs w:val="21"/>
                      <w:vertAlign w:val="superscript"/>
                    </w:rPr>
                    <w:t>2</w:t>
                  </w:r>
                  <w:r>
                    <w:rPr>
                      <w:rFonts w:hint="eastAsia" w:ascii="Times New Roman" w:hAnsi="Times New Roman"/>
                      <w:color w:val="auto"/>
                      <w:sz w:val="21"/>
                      <w:szCs w:val="21"/>
                      <w:lang w:bidi="ar"/>
                    </w:rPr>
                    <w:t>）</w:t>
                  </w:r>
                </w:p>
              </w:tc>
              <w:tc>
                <w:tcPr>
                  <w:tcW w:w="649" w:type="pct"/>
                  <w:vMerge w:val="restar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占地类型</w:t>
                  </w:r>
                </w:p>
              </w:tc>
              <w:tc>
                <w:tcPr>
                  <w:tcW w:w="1856" w:type="pct"/>
                  <w:vMerge w:val="restar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17" w:type="pct"/>
                  <w:vMerge w:val="continue"/>
                  <w:vAlign w:val="center"/>
                </w:tcPr>
                <w:p>
                  <w:pPr>
                    <w:pStyle w:val="48"/>
                    <w:spacing w:line="240" w:lineRule="auto"/>
                    <w:ind w:firstLine="0" w:firstLineChars="0"/>
                    <w:jc w:val="center"/>
                    <w:rPr>
                      <w:color w:val="auto"/>
                      <w:sz w:val="21"/>
                      <w:szCs w:val="21"/>
                    </w:rPr>
                  </w:pPr>
                </w:p>
              </w:tc>
              <w:tc>
                <w:tcPr>
                  <w:tcW w:w="696" w:type="pct"/>
                  <w:vMerge w:val="continue"/>
                  <w:vAlign w:val="center"/>
                </w:tcPr>
                <w:p>
                  <w:pPr>
                    <w:pStyle w:val="48"/>
                    <w:spacing w:line="240" w:lineRule="auto"/>
                    <w:ind w:firstLine="0" w:firstLineChars="0"/>
                    <w:jc w:val="center"/>
                    <w:rPr>
                      <w:color w:val="auto"/>
                      <w:sz w:val="21"/>
                      <w:szCs w:val="21"/>
                    </w:rPr>
                  </w:pPr>
                </w:p>
              </w:tc>
              <w:tc>
                <w:tcPr>
                  <w:tcW w:w="721"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永久占地</w:t>
                  </w:r>
                </w:p>
              </w:tc>
              <w:tc>
                <w:tcPr>
                  <w:tcW w:w="65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临时占地</w:t>
                  </w:r>
                </w:p>
              </w:tc>
              <w:tc>
                <w:tcPr>
                  <w:tcW w:w="649" w:type="pct"/>
                  <w:vMerge w:val="continue"/>
                  <w:vAlign w:val="center"/>
                </w:tcPr>
                <w:p>
                  <w:pPr>
                    <w:pStyle w:val="48"/>
                    <w:spacing w:line="240" w:lineRule="auto"/>
                    <w:ind w:firstLine="0" w:firstLineChars="0"/>
                    <w:jc w:val="center"/>
                    <w:rPr>
                      <w:rFonts w:ascii="Times New Roman" w:hAnsi="Times New Roman"/>
                      <w:color w:val="auto"/>
                      <w:sz w:val="21"/>
                      <w:szCs w:val="21"/>
                      <w:lang w:bidi="ar"/>
                    </w:rPr>
                  </w:pPr>
                </w:p>
              </w:tc>
              <w:tc>
                <w:tcPr>
                  <w:tcW w:w="1856" w:type="pct"/>
                  <w:vMerge w:val="continue"/>
                  <w:vAlign w:val="center"/>
                </w:tcPr>
                <w:p>
                  <w:pPr>
                    <w:pStyle w:val="48"/>
                    <w:spacing w:line="240" w:lineRule="auto"/>
                    <w:ind w:firstLine="0" w:firstLineChars="0"/>
                    <w:jc w:val="center"/>
                    <w:rPr>
                      <w:rFonts w:ascii="Times New Roman" w:hAnsi="Times New Roman"/>
                      <w:color w:val="auto"/>
                      <w:sz w:val="21"/>
                      <w:szCs w:val="21"/>
                      <w:lang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1</w:t>
                  </w:r>
                </w:p>
              </w:tc>
              <w:tc>
                <w:tcPr>
                  <w:tcW w:w="696"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钻井井场</w:t>
                  </w:r>
                </w:p>
              </w:tc>
              <w:tc>
                <w:tcPr>
                  <w:tcW w:w="721"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16920</w:t>
                  </w:r>
                </w:p>
              </w:tc>
              <w:tc>
                <w:tcPr>
                  <w:tcW w:w="65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3000</w:t>
                  </w:r>
                </w:p>
              </w:tc>
              <w:tc>
                <w:tcPr>
                  <w:tcW w:w="64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耕地</w:t>
                  </w:r>
                </w:p>
              </w:tc>
              <w:tc>
                <w:tcPr>
                  <w:tcW w:w="1856"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15个井场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2</w:t>
                  </w:r>
                </w:p>
              </w:tc>
              <w:tc>
                <w:tcPr>
                  <w:tcW w:w="696"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井场道路</w:t>
                  </w:r>
                </w:p>
              </w:tc>
              <w:tc>
                <w:tcPr>
                  <w:tcW w:w="721"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12000</w:t>
                  </w:r>
                </w:p>
              </w:tc>
              <w:tc>
                <w:tcPr>
                  <w:tcW w:w="65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0</w:t>
                  </w:r>
                </w:p>
              </w:tc>
              <w:tc>
                <w:tcPr>
                  <w:tcW w:w="649" w:type="pct"/>
                  <w:vAlign w:val="center"/>
                </w:tcPr>
                <w:p>
                  <w:pPr>
                    <w:pStyle w:val="48"/>
                    <w:spacing w:line="240" w:lineRule="auto"/>
                    <w:ind w:firstLine="0" w:firstLineChars="0"/>
                    <w:jc w:val="center"/>
                    <w:rPr>
                      <w:rFonts w:ascii="Times New Roman" w:hAnsi="Times New Roman"/>
                      <w:color w:val="auto"/>
                      <w:sz w:val="21"/>
                      <w:szCs w:val="21"/>
                      <w:lang w:val="en-GB" w:bidi="ar"/>
                    </w:rPr>
                  </w:pPr>
                  <w:r>
                    <w:rPr>
                      <w:rFonts w:hint="eastAsia" w:ascii="Times New Roman" w:hAnsi="Times New Roman"/>
                      <w:color w:val="auto"/>
                      <w:sz w:val="21"/>
                      <w:szCs w:val="21"/>
                      <w:lang w:bidi="ar"/>
                    </w:rPr>
                    <w:t>耕地</w:t>
                  </w:r>
                </w:p>
              </w:tc>
              <w:tc>
                <w:tcPr>
                  <w:tcW w:w="1856"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val="en-GB" w:bidi="ar"/>
                    </w:rPr>
                    <w:t>每口井井场道路长约</w:t>
                  </w:r>
                  <w:r>
                    <w:rPr>
                      <w:rFonts w:hint="eastAsia" w:ascii="Times New Roman" w:hAnsi="Times New Roman"/>
                      <w:color w:val="auto"/>
                      <w:sz w:val="21"/>
                      <w:szCs w:val="21"/>
                      <w:lang w:bidi="ar"/>
                    </w:rPr>
                    <w:t>200</w:t>
                  </w:r>
                  <w:r>
                    <w:rPr>
                      <w:rFonts w:hint="eastAsia" w:ascii="Times New Roman" w:hAnsi="Times New Roman"/>
                      <w:color w:val="auto"/>
                      <w:sz w:val="21"/>
                      <w:szCs w:val="21"/>
                      <w:lang w:val="en-GB" w:bidi="ar"/>
                    </w:rPr>
                    <w:t>m，按3.5m宽泥结碎石路考虑，征地6.0m宽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3</w:t>
                  </w:r>
                </w:p>
              </w:tc>
              <w:tc>
                <w:tcPr>
                  <w:tcW w:w="696"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集油管线</w:t>
                  </w:r>
                </w:p>
              </w:tc>
              <w:tc>
                <w:tcPr>
                  <w:tcW w:w="721"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0</w:t>
                  </w:r>
                </w:p>
              </w:tc>
              <w:tc>
                <w:tcPr>
                  <w:tcW w:w="65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9000</w:t>
                  </w:r>
                </w:p>
              </w:tc>
              <w:tc>
                <w:tcPr>
                  <w:tcW w:w="64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耕地</w:t>
                  </w:r>
                </w:p>
              </w:tc>
              <w:tc>
                <w:tcPr>
                  <w:tcW w:w="1856"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单井集油管线1.5km，临时占地宽度6m计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13" w:type="pct"/>
                  <w:gridSpan w:val="2"/>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合计</w:t>
                  </w:r>
                </w:p>
              </w:tc>
              <w:tc>
                <w:tcPr>
                  <w:tcW w:w="721"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28920</w:t>
                  </w:r>
                </w:p>
              </w:tc>
              <w:tc>
                <w:tcPr>
                  <w:tcW w:w="659" w:type="pct"/>
                  <w:vAlign w:val="center"/>
                </w:tcPr>
                <w:p>
                  <w:pPr>
                    <w:pStyle w:val="48"/>
                    <w:spacing w:line="240" w:lineRule="auto"/>
                    <w:ind w:firstLine="0" w:firstLineChars="0"/>
                    <w:jc w:val="center"/>
                    <w:rPr>
                      <w:rFonts w:ascii="Times New Roman" w:hAnsi="Times New Roman"/>
                      <w:color w:val="auto"/>
                      <w:sz w:val="21"/>
                      <w:szCs w:val="21"/>
                      <w:lang w:bidi="ar"/>
                    </w:rPr>
                  </w:pPr>
                  <w:r>
                    <w:rPr>
                      <w:rFonts w:hint="eastAsia" w:ascii="Times New Roman" w:hAnsi="Times New Roman"/>
                      <w:color w:val="auto"/>
                      <w:sz w:val="21"/>
                      <w:szCs w:val="21"/>
                      <w:lang w:bidi="ar"/>
                    </w:rPr>
                    <w:t>12000</w:t>
                  </w:r>
                </w:p>
              </w:tc>
              <w:tc>
                <w:tcPr>
                  <w:tcW w:w="649" w:type="pct"/>
                  <w:vAlign w:val="center"/>
                </w:tcPr>
                <w:p>
                  <w:pPr>
                    <w:pStyle w:val="48"/>
                    <w:spacing w:line="240" w:lineRule="auto"/>
                    <w:ind w:firstLine="0" w:firstLineChars="0"/>
                    <w:jc w:val="center"/>
                    <w:rPr>
                      <w:rFonts w:ascii="Times New Roman" w:hAnsi="Times New Roman"/>
                      <w:color w:val="auto"/>
                      <w:sz w:val="21"/>
                      <w:szCs w:val="21"/>
                      <w:lang w:bidi="ar"/>
                    </w:rPr>
                  </w:pPr>
                </w:p>
              </w:tc>
              <w:tc>
                <w:tcPr>
                  <w:tcW w:w="1856" w:type="pct"/>
                  <w:vAlign w:val="center"/>
                </w:tcPr>
                <w:p>
                  <w:pPr>
                    <w:pStyle w:val="48"/>
                    <w:spacing w:line="240" w:lineRule="auto"/>
                    <w:ind w:firstLine="0" w:firstLineChars="0"/>
                    <w:jc w:val="center"/>
                    <w:rPr>
                      <w:rFonts w:ascii="Times New Roman" w:hAnsi="Times New Roman"/>
                      <w:color w:val="auto"/>
                      <w:sz w:val="21"/>
                      <w:szCs w:val="21"/>
                      <w:lang w:bidi="ar"/>
                    </w:rPr>
                  </w:pPr>
                </w:p>
              </w:tc>
            </w:tr>
          </w:tbl>
          <w:p>
            <w:pPr>
              <w:pStyle w:val="48"/>
              <w:spacing w:line="360" w:lineRule="auto"/>
              <w:ind w:firstLine="480"/>
              <w:jc w:val="both"/>
              <w:rPr>
                <w:rFonts w:ascii="Times New Roman" w:hAnsi="Times New Roman"/>
                <w:color w:val="auto"/>
                <w:lang w:bidi="ar"/>
              </w:rPr>
            </w:pPr>
            <w:r>
              <w:rPr>
                <w:rFonts w:ascii="Times New Roman" w:hAnsi="Times New Roman"/>
                <w:color w:val="auto"/>
                <w:lang w:bidi="ar"/>
              </w:rPr>
              <w:t>依据</w:t>
            </w:r>
            <w:r>
              <w:rPr>
                <w:rFonts w:hint="eastAsia" w:ascii="Times New Roman" w:hAnsi="Times New Roman"/>
                <w:color w:val="auto"/>
                <w:lang w:bidi="ar"/>
              </w:rPr>
              <w:t>开发利用方案</w:t>
            </w:r>
            <w:r>
              <w:rPr>
                <w:rFonts w:ascii="Times New Roman" w:hAnsi="Times New Roman"/>
                <w:color w:val="auto"/>
                <w:lang w:bidi="ar"/>
              </w:rPr>
              <w:t>，本项目占地均为耕地，</w:t>
            </w:r>
            <w:r>
              <w:rPr>
                <w:rFonts w:hint="eastAsia" w:ascii="Times New Roman" w:hAnsi="Times New Roman"/>
                <w:color w:val="auto"/>
                <w:lang w:bidi="ar"/>
              </w:rPr>
              <w:t>根据国家林业局发布的《61个国家沙化土地封禁保护区名单》，本项目建设区不涉及土壤沙化土地。</w:t>
            </w:r>
            <w:r>
              <w:rPr>
                <w:rFonts w:ascii="Times New Roman" w:hAnsi="Times New Roman"/>
                <w:color w:val="auto"/>
                <w:lang w:bidi="ar"/>
              </w:rPr>
              <w:t>根据《基本农田保护条例》和《国务院关于深化改革严格土地管理的决定》，</w:t>
            </w:r>
            <w:r>
              <w:rPr>
                <w:rFonts w:hint="eastAsia" w:ascii="Times New Roman" w:hAnsi="Times New Roman"/>
                <w:color w:val="auto"/>
                <w:lang w:bidi="ar"/>
              </w:rPr>
              <w:t>项目占用耕地</w:t>
            </w:r>
            <w:r>
              <w:rPr>
                <w:rFonts w:ascii="Times New Roman" w:hAnsi="Times New Roman"/>
                <w:color w:val="auto"/>
                <w:lang w:bidi="ar"/>
              </w:rPr>
              <w:t>都应按有关土地管理办法的要求，上报有批准权的政府部门批准</w:t>
            </w:r>
            <w:r>
              <w:rPr>
                <w:rFonts w:hint="eastAsia" w:ascii="Times New Roman" w:hAnsi="Times New Roman"/>
                <w:color w:val="auto"/>
                <w:lang w:bidi="ar"/>
              </w:rPr>
              <w:t>，</w:t>
            </w:r>
            <w:r>
              <w:rPr>
                <w:rFonts w:ascii="Times New Roman" w:hAnsi="Times New Roman"/>
                <w:color w:val="auto"/>
                <w:lang w:bidi="ar"/>
              </w:rPr>
              <w:t>项目开工建设前需依法取得</w:t>
            </w:r>
            <w:r>
              <w:rPr>
                <w:rFonts w:hint="eastAsia" w:ascii="Times New Roman" w:hAnsi="Times New Roman"/>
                <w:color w:val="auto"/>
                <w:lang w:bidi="ar"/>
              </w:rPr>
              <w:t>用</w:t>
            </w:r>
            <w:r>
              <w:rPr>
                <w:rFonts w:ascii="Times New Roman" w:hAnsi="Times New Roman"/>
                <w:color w:val="auto"/>
                <w:lang w:bidi="ar"/>
              </w:rPr>
              <w:t>地手续。</w:t>
            </w:r>
            <w:r>
              <w:rPr>
                <w:rFonts w:hint="eastAsia" w:ascii="Times New Roman" w:hAnsi="Times New Roman"/>
                <w:color w:val="auto"/>
                <w:lang w:bidi="ar"/>
              </w:rPr>
              <w:t>建设单位</w:t>
            </w:r>
            <w:r>
              <w:rPr>
                <w:rFonts w:ascii="Times New Roman" w:hAnsi="Times New Roman"/>
                <w:color w:val="auto"/>
                <w:lang w:bidi="ar"/>
              </w:rPr>
              <w:t>应按照“占一补一”占补平衡的原则，负责开垦与所占耕地数量和质量相当的耕地</w:t>
            </w:r>
            <w:r>
              <w:rPr>
                <w:rFonts w:hint="eastAsia" w:ascii="Times New Roman" w:hAnsi="Times New Roman"/>
                <w:color w:val="auto"/>
                <w:lang w:bidi="ar"/>
              </w:rPr>
              <w:t>，</w:t>
            </w:r>
            <w:r>
              <w:rPr>
                <w:rFonts w:ascii="Times New Roman" w:hAnsi="Times New Roman"/>
                <w:color w:val="auto"/>
                <w:lang w:bidi="ar"/>
              </w:rPr>
              <w:t>这样对区域农业生态的影响将可控制在最小程度。</w:t>
            </w:r>
          </w:p>
          <w:p>
            <w:pPr>
              <w:shd w:val="clear" w:color="auto" w:fill="FFFFFF"/>
              <w:spacing w:line="360" w:lineRule="auto"/>
              <w:ind w:firstLine="480" w:firstLineChars="200"/>
              <w:jc w:val="both"/>
              <w:rPr>
                <w:rFonts w:ascii="Times New Roman" w:hAnsi="Times New Roman"/>
                <w:color w:val="auto"/>
                <w:kern w:val="0"/>
                <w:sz w:val="24"/>
                <w:shd w:val="clear" w:color="auto" w:fill="FFFFFF"/>
                <w:lang w:bidi="ar"/>
              </w:rPr>
            </w:pPr>
            <w:r>
              <w:rPr>
                <w:rFonts w:ascii="Times New Roman" w:hAnsi="Times New Roman"/>
                <w:color w:val="auto"/>
                <w:kern w:val="0"/>
                <w:sz w:val="24"/>
                <w:shd w:val="clear" w:color="auto" w:fill="FFFFFF"/>
                <w:lang w:bidi="ar"/>
              </w:rPr>
              <w:fldChar w:fldCharType="begin"/>
            </w:r>
            <w:r>
              <w:rPr>
                <w:rFonts w:ascii="Times New Roman" w:hAnsi="Times New Roman"/>
                <w:color w:val="auto"/>
                <w:kern w:val="0"/>
                <w:sz w:val="24"/>
                <w:shd w:val="clear" w:color="auto" w:fill="FFFFFF"/>
                <w:lang w:bidi="ar"/>
              </w:rPr>
              <w:instrText xml:space="preserve"> = 1 \* GB3 \* MERGEFORMAT </w:instrText>
            </w:r>
            <w:r>
              <w:rPr>
                <w:rFonts w:ascii="Times New Roman" w:hAnsi="Times New Roman"/>
                <w:color w:val="auto"/>
                <w:kern w:val="0"/>
                <w:sz w:val="24"/>
                <w:shd w:val="clear" w:color="auto" w:fill="FFFFFF"/>
                <w:lang w:bidi="ar"/>
              </w:rPr>
              <w:fldChar w:fldCharType="separate"/>
            </w:r>
            <w:r>
              <w:rPr>
                <w:rFonts w:ascii="Times New Roman" w:hAnsi="Times New Roman"/>
                <w:color w:val="auto"/>
                <w:sz w:val="24"/>
              </w:rPr>
              <w:t>①</w:t>
            </w:r>
            <w:r>
              <w:rPr>
                <w:rFonts w:ascii="Times New Roman" w:hAnsi="Times New Roman"/>
                <w:color w:val="auto"/>
                <w:kern w:val="0"/>
                <w:sz w:val="24"/>
                <w:shd w:val="clear" w:color="auto" w:fill="FFFFFF"/>
                <w:lang w:bidi="ar"/>
              </w:rPr>
              <w:fldChar w:fldCharType="end"/>
            </w:r>
            <w:r>
              <w:rPr>
                <w:rFonts w:ascii="Times New Roman" w:hAnsi="Times New Roman"/>
                <w:color w:val="auto"/>
                <w:kern w:val="0"/>
                <w:sz w:val="24"/>
                <w:shd w:val="clear" w:color="auto" w:fill="FFFFFF"/>
                <w:lang w:bidi="ar"/>
              </w:rPr>
              <w:t>临时占地的影响</w:t>
            </w:r>
          </w:p>
          <w:p>
            <w:pPr>
              <w:shd w:val="clear" w:color="auto" w:fill="FFFFFF"/>
              <w:spacing w:line="360" w:lineRule="auto"/>
              <w:ind w:firstLine="480" w:firstLineChars="200"/>
              <w:jc w:val="both"/>
              <w:rPr>
                <w:rFonts w:ascii="Times New Roman" w:hAnsi="Times New Roman"/>
                <w:color w:val="auto"/>
                <w:kern w:val="0"/>
                <w:sz w:val="24"/>
                <w:shd w:val="clear" w:color="auto" w:fill="FFFFFF"/>
                <w:lang w:bidi="ar"/>
              </w:rPr>
            </w:pPr>
            <w:r>
              <w:rPr>
                <w:rFonts w:ascii="Times New Roman" w:hAnsi="Times New Roman"/>
                <w:color w:val="auto"/>
                <w:kern w:val="0"/>
                <w:sz w:val="24"/>
                <w:shd w:val="clear" w:color="auto" w:fill="FFFFFF"/>
                <w:lang w:bidi="ar"/>
              </w:rPr>
              <w:t>本项目临时占地面积，主要包括钻井期、</w:t>
            </w:r>
            <w:r>
              <w:rPr>
                <w:rFonts w:hint="eastAsia" w:ascii="Times New Roman" w:hAnsi="Times New Roman"/>
                <w:color w:val="auto"/>
                <w:kern w:val="0"/>
                <w:sz w:val="24"/>
                <w:shd w:val="clear" w:color="auto" w:fill="FFFFFF"/>
                <w:lang w:bidi="ar"/>
              </w:rPr>
              <w:t>集输</w:t>
            </w:r>
            <w:r>
              <w:rPr>
                <w:rFonts w:ascii="Times New Roman" w:hAnsi="Times New Roman"/>
                <w:color w:val="auto"/>
                <w:kern w:val="0"/>
                <w:sz w:val="24"/>
                <w:shd w:val="clear" w:color="auto" w:fill="FFFFFF"/>
                <w:lang w:bidi="ar"/>
              </w:rPr>
              <w:t>管线施工时施工作业带、施工作业区及施工便道占地。项目临时占地主要涉及耕地，</w:t>
            </w:r>
            <w:r>
              <w:rPr>
                <w:rFonts w:hint="eastAsia" w:ascii="Times New Roman" w:hAnsi="Times New Roman"/>
                <w:color w:val="auto"/>
                <w:kern w:val="0"/>
                <w:sz w:val="24"/>
                <w:shd w:val="clear" w:color="auto" w:fill="FFFFFF"/>
                <w:lang w:bidi="ar"/>
              </w:rPr>
              <w:t>种植作物为玉米和棉花，</w:t>
            </w:r>
            <w:r>
              <w:rPr>
                <w:rFonts w:ascii="Times New Roman" w:hAnsi="Times New Roman"/>
                <w:color w:val="auto"/>
                <w:kern w:val="0"/>
                <w:sz w:val="24"/>
                <w:shd w:val="clear" w:color="auto" w:fill="FFFFFF"/>
                <w:lang w:bidi="ar"/>
              </w:rPr>
              <w:t>临时占地不涉及生态红线。工程临时占地会使土地的利用形式发生临时性改变，暂时影响这些土地的原有功能。本项目临时占用的耕地一般经2~3年个生长期后即可恢复至原有生产水平。由于管道5m范围内禁止种植深根植物，因此管道经过的耕地需要因地制宜改种浅根草本植物或者农业作物，这使得原有土地利用方式发生改变，但并没有影响土地利用性质。</w:t>
            </w:r>
          </w:p>
          <w:p>
            <w:pPr>
              <w:shd w:val="clear" w:color="auto" w:fill="FFFFFF"/>
              <w:spacing w:line="360" w:lineRule="auto"/>
              <w:ind w:firstLine="480" w:firstLineChars="200"/>
              <w:jc w:val="both"/>
              <w:rPr>
                <w:rFonts w:ascii="Times New Roman" w:hAnsi="Times New Roman" w:eastAsia="monospace"/>
                <w:color w:val="auto"/>
                <w:kern w:val="0"/>
                <w:sz w:val="24"/>
                <w:shd w:val="clear" w:color="auto" w:fill="FFFFFF"/>
                <w:lang w:bidi="ar"/>
              </w:rPr>
            </w:pPr>
            <w:r>
              <w:rPr>
                <w:rFonts w:ascii="Times New Roman" w:hAnsi="Times New Roman" w:eastAsia="monospace"/>
                <w:color w:val="auto"/>
                <w:kern w:val="0"/>
                <w:sz w:val="24"/>
                <w:shd w:val="clear" w:color="auto" w:fill="FFFFFF"/>
                <w:lang w:bidi="ar"/>
              </w:rPr>
              <w:t>项目施工区域严格控制在临时占地范围内。工程弃土必须妥善处置，农田表层熟土必须保护，完井后做好地貌恢复措施，避免水土流失对自然环境造成危害。钻井结束后，人群的活动范围缩小，受到破坏的临时占地逐渐恢复原地貌。</w:t>
            </w:r>
          </w:p>
          <w:p>
            <w:pPr>
              <w:shd w:val="clear" w:color="auto" w:fill="FFFFFF"/>
              <w:spacing w:line="360" w:lineRule="auto"/>
              <w:ind w:firstLine="480" w:firstLineChars="200"/>
              <w:jc w:val="both"/>
              <w:rPr>
                <w:rFonts w:ascii="Times New Roman" w:hAnsi="Times New Roman" w:eastAsia="monospace"/>
                <w:color w:val="auto"/>
                <w:kern w:val="0"/>
                <w:sz w:val="24"/>
                <w:shd w:val="clear" w:color="auto" w:fill="FFFFFF"/>
                <w:lang w:bidi="ar"/>
              </w:rPr>
            </w:pPr>
            <w:r>
              <w:rPr>
                <w:rFonts w:ascii="Times New Roman" w:hAnsi="Times New Roman" w:eastAsia="monospace"/>
                <w:color w:val="auto"/>
                <w:kern w:val="0"/>
                <w:sz w:val="24"/>
                <w:shd w:val="clear" w:color="auto" w:fill="FFFFFF"/>
                <w:lang w:bidi="ar"/>
              </w:rPr>
              <w:fldChar w:fldCharType="begin"/>
            </w:r>
            <w:r>
              <w:rPr>
                <w:rFonts w:ascii="Times New Roman" w:hAnsi="Times New Roman" w:eastAsia="monospace"/>
                <w:color w:val="auto"/>
                <w:kern w:val="0"/>
                <w:sz w:val="24"/>
                <w:shd w:val="clear" w:color="auto" w:fill="FFFFFF"/>
                <w:lang w:bidi="ar"/>
              </w:rPr>
              <w:instrText xml:space="preserve"> = 2 \* GB3 \* MERGEFORMAT </w:instrText>
            </w:r>
            <w:r>
              <w:rPr>
                <w:rFonts w:ascii="Times New Roman" w:hAnsi="Times New Roman" w:eastAsia="monospace"/>
                <w:color w:val="auto"/>
                <w:kern w:val="0"/>
                <w:sz w:val="24"/>
                <w:shd w:val="clear" w:color="auto" w:fill="FFFFFF"/>
                <w:lang w:bidi="ar"/>
              </w:rPr>
              <w:fldChar w:fldCharType="separate"/>
            </w:r>
            <w:r>
              <w:rPr>
                <w:rFonts w:ascii="Times New Roman" w:hAnsi="Times New Roman"/>
                <w:color w:val="auto"/>
                <w:sz w:val="24"/>
              </w:rPr>
              <w:t>②</w:t>
            </w:r>
            <w:r>
              <w:rPr>
                <w:rFonts w:ascii="Times New Roman" w:hAnsi="Times New Roman" w:eastAsia="monospace"/>
                <w:color w:val="auto"/>
                <w:kern w:val="0"/>
                <w:sz w:val="24"/>
                <w:shd w:val="clear" w:color="auto" w:fill="FFFFFF"/>
                <w:lang w:bidi="ar"/>
              </w:rPr>
              <w:fldChar w:fldCharType="end"/>
            </w:r>
            <w:r>
              <w:rPr>
                <w:rFonts w:ascii="Times New Roman" w:hAnsi="Times New Roman" w:eastAsia="monospace"/>
                <w:color w:val="auto"/>
                <w:kern w:val="0"/>
                <w:sz w:val="24"/>
                <w:shd w:val="clear" w:color="auto" w:fill="FFFFFF"/>
                <w:lang w:bidi="ar"/>
              </w:rPr>
              <w:t>永久占地的影响</w:t>
            </w:r>
          </w:p>
          <w:p>
            <w:pPr>
              <w:shd w:val="clear" w:color="auto" w:fill="FFFFFF"/>
              <w:spacing w:line="360" w:lineRule="auto"/>
              <w:ind w:firstLine="480" w:firstLineChars="200"/>
              <w:jc w:val="both"/>
              <w:rPr>
                <w:rFonts w:ascii="Times New Roman" w:hAnsi="Times New Roman"/>
                <w:color w:val="auto"/>
                <w:sz w:val="24"/>
                <w:lang w:bidi="ar"/>
              </w:rPr>
            </w:pPr>
            <w:r>
              <w:rPr>
                <w:rFonts w:ascii="Times New Roman" w:hAnsi="Times New Roman" w:eastAsia="monospace"/>
                <w:color w:val="auto"/>
                <w:kern w:val="0"/>
                <w:sz w:val="24"/>
                <w:shd w:val="clear" w:color="auto" w:fill="FFFFFF"/>
                <w:lang w:bidi="ar"/>
              </w:rPr>
              <w:t>本项目永久占地面积</w:t>
            </w:r>
            <w:r>
              <w:rPr>
                <w:rFonts w:hint="eastAsia" w:ascii="Times New Roman" w:hAnsi="Times New Roman" w:eastAsia="serif"/>
                <w:color w:val="auto"/>
                <w:kern w:val="0"/>
                <w:sz w:val="24"/>
                <w:shd w:val="clear" w:color="auto" w:fill="FFFFFF"/>
                <w:lang w:bidi="ar"/>
              </w:rPr>
              <w:t>28920</w:t>
            </w:r>
            <w:r>
              <w:rPr>
                <w:rFonts w:ascii="Times New Roman" w:hAnsi="Times New Roman" w:eastAsia="serif"/>
                <w:color w:val="auto"/>
                <w:kern w:val="0"/>
                <w:sz w:val="24"/>
                <w:shd w:val="clear" w:color="auto" w:fill="FFFFFF"/>
                <w:lang w:bidi="ar"/>
              </w:rPr>
              <w:t>m</w:t>
            </w:r>
            <w:r>
              <w:rPr>
                <w:rFonts w:ascii="Times New Roman" w:hAnsi="Times New Roman" w:eastAsia="serif"/>
                <w:color w:val="auto"/>
                <w:kern w:val="0"/>
                <w:sz w:val="24"/>
                <w:shd w:val="clear" w:color="auto" w:fill="FFFFFF"/>
                <w:vertAlign w:val="superscript"/>
                <w:lang w:bidi="ar"/>
              </w:rPr>
              <w:t>2</w:t>
            </w:r>
            <w:r>
              <w:rPr>
                <w:rFonts w:ascii="Times New Roman" w:hAnsi="Times New Roman" w:eastAsia="monospace"/>
                <w:color w:val="auto"/>
                <w:kern w:val="0"/>
                <w:sz w:val="24"/>
                <w:shd w:val="clear" w:color="auto" w:fill="FFFFFF"/>
                <w:lang w:bidi="ar"/>
              </w:rPr>
              <w:t>，主要为采油</w:t>
            </w:r>
            <w:r>
              <w:rPr>
                <w:rFonts w:hint="eastAsia" w:ascii="Times New Roman" w:hAnsi="Times New Roman" w:eastAsia="monospace"/>
                <w:color w:val="auto"/>
                <w:kern w:val="0"/>
                <w:sz w:val="24"/>
                <w:shd w:val="clear" w:color="auto" w:fill="FFFFFF"/>
                <w:lang w:bidi="ar"/>
              </w:rPr>
              <w:t>井场</w:t>
            </w:r>
            <w:r>
              <w:rPr>
                <w:rFonts w:ascii="Times New Roman" w:hAnsi="Times New Roman" w:eastAsia="monospace"/>
                <w:color w:val="auto"/>
                <w:kern w:val="0"/>
                <w:sz w:val="24"/>
                <w:shd w:val="clear" w:color="auto" w:fill="FFFFFF"/>
                <w:lang w:bidi="ar"/>
              </w:rPr>
              <w:t>及</w:t>
            </w:r>
            <w:r>
              <w:rPr>
                <w:rFonts w:hint="eastAsia" w:ascii="Times New Roman" w:hAnsi="Times New Roman"/>
                <w:color w:val="auto"/>
                <w:kern w:val="0"/>
                <w:sz w:val="24"/>
                <w:shd w:val="clear" w:color="auto" w:fill="FFFFFF"/>
                <w:lang w:bidi="ar"/>
              </w:rPr>
              <w:t>井场</w:t>
            </w:r>
            <w:r>
              <w:rPr>
                <w:rFonts w:ascii="Times New Roman" w:hAnsi="Times New Roman" w:eastAsia="monospace"/>
                <w:color w:val="auto"/>
                <w:kern w:val="0"/>
                <w:sz w:val="24"/>
                <w:shd w:val="clear" w:color="auto" w:fill="FFFFFF"/>
                <w:lang w:bidi="ar"/>
              </w:rPr>
              <w:t>道路建设永久占地，占地类型主要为耕地</w:t>
            </w:r>
            <w:r>
              <w:rPr>
                <w:rFonts w:hint="eastAsia" w:ascii="Times New Roman" w:hAnsi="Times New Roman"/>
                <w:color w:val="auto"/>
                <w:kern w:val="0"/>
                <w:sz w:val="24"/>
                <w:shd w:val="clear" w:color="auto" w:fill="FFFFFF"/>
                <w:lang w:bidi="ar"/>
              </w:rPr>
              <w:t>，种植作物为玉米和棉花</w:t>
            </w:r>
            <w:r>
              <w:rPr>
                <w:rFonts w:ascii="Times New Roman" w:hAnsi="Times New Roman" w:eastAsia="monospace"/>
                <w:color w:val="auto"/>
                <w:kern w:val="0"/>
                <w:sz w:val="24"/>
                <w:shd w:val="clear" w:color="auto" w:fill="FFFFFF"/>
                <w:lang w:bidi="ar"/>
              </w:rPr>
              <w:t>。其建设使土地利用功能发生变化，使土地使用功能永久地转变为人工建筑，改变了其自然结构与功能特点。</w:t>
            </w:r>
            <w:r>
              <w:rPr>
                <w:rFonts w:ascii="Times New Roman" w:hAnsi="Times New Roman"/>
                <w:color w:val="auto"/>
                <w:sz w:val="24"/>
                <w:lang w:bidi="ar"/>
              </w:rPr>
              <w:t>由于各井场占地的扰动、破坏，将增加土壤风蚀量，井场所在区域为农田生态区，农田生态区在转换成为石油工业用地后，生态功能发生变化，地表原有农业植被被破坏，降低了该地区的水土保持能力</w:t>
            </w:r>
            <w:r>
              <w:rPr>
                <w:rFonts w:hint="eastAsia" w:ascii="Times New Roman" w:hAnsi="Times New Roman"/>
                <w:color w:val="auto"/>
                <w:sz w:val="24"/>
                <w:lang w:bidi="ar"/>
              </w:rPr>
              <w:t>，</w:t>
            </w:r>
            <w:r>
              <w:rPr>
                <w:rFonts w:ascii="Times New Roman" w:hAnsi="Times New Roman"/>
                <w:color w:val="auto"/>
                <w:sz w:val="24"/>
                <w:lang w:bidi="ar"/>
              </w:rPr>
              <w:t>使得该区域内的风蚀量会有所增加。</w:t>
            </w:r>
            <w:r>
              <w:rPr>
                <w:rFonts w:ascii="Times New Roman" w:hAnsi="Times New Roman" w:eastAsia="monospace"/>
                <w:color w:val="auto"/>
                <w:kern w:val="0"/>
                <w:sz w:val="24"/>
                <w:shd w:val="clear" w:color="auto" w:fill="FFFFFF"/>
                <w:lang w:bidi="ar"/>
              </w:rPr>
              <w:t>本项目永久性占地主要是分散在整个区块，每一口单井占地面积较小，因此本项目永久占地对区域的现有土地利用状况影响较小</w:t>
            </w:r>
            <w:r>
              <w:rPr>
                <w:rFonts w:hint="eastAsia" w:ascii="Times New Roman" w:hAnsi="Times New Roman" w:eastAsia="monospace"/>
                <w:color w:val="auto"/>
                <w:kern w:val="0"/>
                <w:sz w:val="24"/>
                <w:shd w:val="clear" w:color="auto" w:fill="FFFFFF"/>
                <w:lang w:bidi="ar"/>
              </w:rPr>
              <w:t>。</w:t>
            </w:r>
          </w:p>
          <w:p>
            <w:pPr>
              <w:pStyle w:val="74"/>
              <w:spacing w:line="360" w:lineRule="auto"/>
              <w:ind w:firstLine="480"/>
              <w:jc w:val="both"/>
              <w:outlineLvl w:val="9"/>
              <w:rPr>
                <w:rFonts w:ascii="Times New Roman" w:hAnsi="Times New Roman"/>
                <w:b w:val="0"/>
                <w:bCs/>
                <w:color w:val="auto"/>
              </w:rPr>
            </w:pPr>
            <w:r>
              <w:rPr>
                <w:rFonts w:ascii="Times New Roman" w:hAnsi="Times New Roman"/>
                <w:b w:val="0"/>
                <w:bCs/>
                <w:color w:val="auto"/>
              </w:rPr>
              <w:t>（2）植被影响分析</w:t>
            </w:r>
          </w:p>
          <w:p>
            <w:pPr>
              <w:spacing w:line="360" w:lineRule="auto"/>
              <w:ind w:firstLine="480" w:firstLineChars="200"/>
              <w:jc w:val="both"/>
              <w:rPr>
                <w:rFonts w:ascii="Times New Roman" w:hAnsi="Times New Roman"/>
                <w:color w:val="auto"/>
                <w:kern w:val="1"/>
                <w:sz w:val="24"/>
              </w:rPr>
            </w:pPr>
            <w:r>
              <w:rPr>
                <w:rFonts w:hint="eastAsia" w:ascii="Times New Roman" w:hAnsi="Times New Roman"/>
                <w:color w:val="auto"/>
                <w:kern w:val="1"/>
                <w:sz w:val="24"/>
              </w:rPr>
              <w:t>本项目钻前工程、管线、道路等工程占地是造成植被破坏的主要原因，此外，施工人员活动也会对项目植被造成一定的影响。对植被的主要影响形式是对土地的占用以及施工阶段清场过程中对地表植被的清理及施工过程中的碾压。本项目</w:t>
            </w:r>
            <w:r>
              <w:rPr>
                <w:rFonts w:ascii="Times New Roman" w:hAnsi="Times New Roman"/>
                <w:color w:val="auto"/>
                <w:kern w:val="1"/>
                <w:sz w:val="24"/>
              </w:rPr>
              <w:t>在施工过程中将临时占用部分123团农田，这部分地域的农田生态</w:t>
            </w:r>
            <w:r>
              <w:rPr>
                <w:rFonts w:hint="eastAsia" w:ascii="Times New Roman" w:hAnsi="Times New Roman"/>
                <w:color w:val="auto"/>
                <w:kern w:val="1"/>
                <w:sz w:val="24"/>
              </w:rPr>
              <w:t>系统</w:t>
            </w:r>
            <w:r>
              <w:rPr>
                <w:rFonts w:ascii="Times New Roman" w:hAnsi="Times New Roman"/>
                <w:color w:val="auto"/>
                <w:kern w:val="1"/>
                <w:sz w:val="24"/>
              </w:rPr>
              <w:t>在转换成为临时施工用地</w:t>
            </w:r>
            <w:r>
              <w:rPr>
                <w:rStyle w:val="42"/>
                <w:rFonts w:hint="eastAsia"/>
                <w:color w:val="auto"/>
                <w:kern w:val="0"/>
                <w:sz w:val="24"/>
              </w:rPr>
              <w:t>时</w:t>
            </w:r>
            <w:r>
              <w:rPr>
                <w:rFonts w:ascii="Times New Roman" w:hAnsi="Times New Roman"/>
                <w:color w:val="auto"/>
                <w:kern w:val="1"/>
                <w:sz w:val="24"/>
              </w:rPr>
              <w:t>，生态功能发生变化，地表原有农业植被被破坏，降低了该地区的水土保持能力，使得该区域内的风蚀量会有所增加。同时本项目在钻井施工过程中有车辆进入井场会产生部分扬尘，也会对周边农作物造成一定影响，但是施工过程较短，同时按时洒水降尘。施工结束后永久井场以外植被应全部得到恢复，由于井场面积较小，所以对该区域的农业生态</w:t>
            </w:r>
            <w:r>
              <w:rPr>
                <w:rStyle w:val="42"/>
                <w:rFonts w:hint="eastAsia"/>
                <w:color w:val="auto"/>
                <w:kern w:val="0"/>
                <w:sz w:val="24"/>
              </w:rPr>
              <w:t>系统</w:t>
            </w:r>
            <w:r>
              <w:rPr>
                <w:rFonts w:ascii="Times New Roman" w:hAnsi="Times New Roman"/>
                <w:color w:val="auto"/>
                <w:kern w:val="1"/>
                <w:sz w:val="24"/>
              </w:rPr>
              <w:t>影响较小。</w:t>
            </w:r>
          </w:p>
          <w:p>
            <w:pPr>
              <w:pStyle w:val="48"/>
              <w:spacing w:line="360" w:lineRule="auto"/>
              <w:ind w:firstLine="480"/>
              <w:jc w:val="both"/>
              <w:rPr>
                <w:rFonts w:ascii="Times New Roman" w:hAnsi="Times New Roman"/>
                <w:color w:val="auto"/>
                <w:lang w:bidi="ar"/>
              </w:rPr>
            </w:pPr>
            <w:r>
              <w:rPr>
                <w:rFonts w:ascii="Times New Roman" w:hAnsi="Times New Roman"/>
                <w:color w:val="auto"/>
                <w:lang w:bidi="ar"/>
              </w:rPr>
              <w:t>（3）动物影响分析</w:t>
            </w:r>
          </w:p>
          <w:p>
            <w:pPr>
              <w:pStyle w:val="48"/>
              <w:spacing w:line="360" w:lineRule="auto"/>
              <w:ind w:firstLine="480"/>
              <w:jc w:val="both"/>
              <w:rPr>
                <w:rFonts w:ascii="Times New Roman" w:hAnsi="Times New Roman"/>
                <w:color w:val="auto"/>
              </w:rPr>
            </w:pPr>
            <w:bookmarkStart w:id="12" w:name="_Toc489544245"/>
            <w:bookmarkStart w:id="13" w:name="_Toc489870750"/>
            <w:bookmarkStart w:id="14" w:name="_Toc489890020"/>
            <w:bookmarkStart w:id="15" w:name="_Toc497066510"/>
            <w:bookmarkStart w:id="16" w:name="_Toc489542147"/>
            <w:bookmarkStart w:id="17" w:name="_Toc489544369"/>
            <w:r>
              <w:rPr>
                <w:rFonts w:ascii="Times New Roman" w:hAnsi="Times New Roman"/>
                <w:color w:val="auto"/>
              </w:rPr>
              <w:t>施工期对野生动物生存环境、分布范围和种群数量的影响主要分为直接影响和间接影响两个方面。直接影响主要表现为建设项目占地，使野生动物的原始生存环境被破坏或改变</w:t>
            </w:r>
            <w:r>
              <w:rPr>
                <w:rFonts w:hint="eastAsia" w:ascii="Times New Roman" w:hAnsi="Times New Roman"/>
                <w:color w:val="auto"/>
              </w:rPr>
              <w:t>，</w:t>
            </w:r>
            <w:r>
              <w:rPr>
                <w:rFonts w:hint="eastAsia"/>
                <w:color w:val="auto"/>
              </w:rPr>
              <w:t>施工设备及车辆发出的噪声和人为活动对野生动物的影响</w:t>
            </w:r>
            <w:r>
              <w:rPr>
                <w:rFonts w:ascii="Times New Roman" w:hAnsi="Times New Roman"/>
                <w:color w:val="auto"/>
              </w:rPr>
              <w:t>；间接影响主要表现为由于植被的减少或污染破坏而引起野生动物食物来源减少。由于机械设备的轰鸣惊扰、人群活动的增加，使区域内单位面积上的动物种群数量下降。但此类影响对爬行类和小型啮齿动物的干扰不大，它们能很快适应当地的环境，并重建新栖息地</w:t>
            </w:r>
            <w:r>
              <w:rPr>
                <w:rFonts w:hint="eastAsia" w:ascii="Times New Roman" w:hAnsi="Times New Roman"/>
                <w:color w:val="auto"/>
              </w:rPr>
              <w:t>，</w:t>
            </w:r>
            <w:r>
              <w:rPr>
                <w:rFonts w:hint="eastAsia"/>
                <w:color w:val="auto"/>
              </w:rPr>
              <w:t>本项目的建设对动物区域性生境不会产生明显影响</w:t>
            </w:r>
            <w:r>
              <w:rPr>
                <w:rFonts w:ascii="Times New Roman" w:hAnsi="Times New Roman"/>
                <w:color w:val="auto"/>
              </w:rPr>
              <w:t>。</w:t>
            </w:r>
          </w:p>
          <w:bookmarkEnd w:id="12"/>
          <w:bookmarkEnd w:id="13"/>
          <w:bookmarkEnd w:id="14"/>
          <w:bookmarkEnd w:id="15"/>
          <w:bookmarkEnd w:id="16"/>
          <w:bookmarkEnd w:id="17"/>
          <w:p>
            <w:pPr>
              <w:pStyle w:val="48"/>
              <w:spacing w:line="360" w:lineRule="auto"/>
              <w:ind w:left="2" w:firstLine="480"/>
              <w:jc w:val="both"/>
              <w:rPr>
                <w:rFonts w:ascii="Times New Roman" w:hAnsi="Times New Roman"/>
                <w:color w:val="auto"/>
              </w:rPr>
            </w:pPr>
            <w:r>
              <w:rPr>
                <w:rFonts w:ascii="Times New Roman" w:hAnsi="Times New Roman"/>
                <w:color w:val="auto"/>
              </w:rPr>
              <w:t>（4）生态系统结构及其功能的影响分析</w:t>
            </w:r>
          </w:p>
          <w:p>
            <w:pPr>
              <w:pStyle w:val="48"/>
              <w:spacing w:line="360" w:lineRule="auto"/>
              <w:ind w:left="2" w:firstLine="480"/>
              <w:jc w:val="both"/>
              <w:rPr>
                <w:rFonts w:ascii="Times New Roman" w:hAnsi="Times New Roman"/>
                <w:color w:val="auto"/>
              </w:rPr>
            </w:pPr>
            <w:r>
              <w:rPr>
                <w:rFonts w:ascii="Times New Roman" w:hAnsi="Times New Roman"/>
                <w:color w:val="auto"/>
              </w:rPr>
              <w:t>施工期建设活动一定程度上破坏了原有生态系统结构的完整性，但项目占地面积小，对生态系统结构和功能的影响较小，造成的不利影响均在可接受的范围内，不会改变区域内景观生态的稳定性及完整性。但如现状所述，目前由于井场的开发建设活动降低了区域生态系统的完整性和稳定性，只有很好地控制破坏影响范围，并做好生态恢复和后期管理，对生态环境影响不大。</w:t>
            </w:r>
          </w:p>
          <w:p>
            <w:pPr>
              <w:pStyle w:val="48"/>
              <w:spacing w:line="360" w:lineRule="auto"/>
              <w:ind w:firstLine="480"/>
              <w:jc w:val="both"/>
              <w:rPr>
                <w:rFonts w:ascii="Times New Roman" w:hAnsi="Times New Roman"/>
                <w:color w:val="auto"/>
              </w:rPr>
            </w:pPr>
            <w:r>
              <w:rPr>
                <w:rFonts w:ascii="Times New Roman" w:hAnsi="Times New Roman"/>
                <w:color w:val="auto"/>
              </w:rPr>
              <w:t>（5）对景观的影响分析</w:t>
            </w:r>
          </w:p>
          <w:p>
            <w:pPr>
              <w:pStyle w:val="48"/>
              <w:spacing w:line="360" w:lineRule="auto"/>
              <w:ind w:firstLine="480"/>
              <w:jc w:val="both"/>
              <w:rPr>
                <w:rFonts w:ascii="Times New Roman" w:hAnsi="Times New Roman"/>
                <w:color w:val="auto"/>
              </w:rPr>
            </w:pPr>
            <w:r>
              <w:rPr>
                <w:rFonts w:ascii="Times New Roman" w:hAnsi="Times New Roman"/>
                <w:color w:val="auto"/>
              </w:rPr>
              <w:t>本项目占地位于新疆生产建设兵团第七师123团农业区域内，在绿洲农业生态影响中又夹杂了石油开采业与工业景观，因本项目部署15口新井，生态占地面积为小型，故对总体农业生态景观改变很小。</w:t>
            </w:r>
          </w:p>
          <w:p>
            <w:pPr>
              <w:pStyle w:val="48"/>
              <w:spacing w:line="360" w:lineRule="auto"/>
              <w:ind w:firstLine="480"/>
              <w:jc w:val="both"/>
              <w:rPr>
                <w:rFonts w:ascii="Times New Roman" w:hAnsi="Times New Roman"/>
                <w:color w:val="auto"/>
              </w:rPr>
            </w:pPr>
            <w:r>
              <w:rPr>
                <w:rFonts w:hint="eastAsia" w:ascii="Times New Roman" w:hAnsi="Times New Roman"/>
                <w:color w:val="auto"/>
              </w:rPr>
              <w:t>（6）水土流失影响分析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油田工程建设对当地水土流失影响的方式包括扰动、损坏、开挖及破坏原地貌、地表土壤结构及植被。工程施工及占地呈线状分布，所造成的水土流失因管线所经过的区域不同而不同。建设期间，开挖管沟、土方堆放、机械作业人员活动等都会加剧水土流失。</w:t>
            </w:r>
          </w:p>
          <w:p>
            <w:pPr>
              <w:pStyle w:val="48"/>
              <w:spacing w:line="360" w:lineRule="auto"/>
              <w:ind w:firstLine="480"/>
              <w:jc w:val="both"/>
              <w:rPr>
                <w:rFonts w:ascii="Times New Roman" w:hAnsi="Times New Roman"/>
                <w:color w:val="auto"/>
              </w:rPr>
            </w:pPr>
            <w:r>
              <w:rPr>
                <w:rFonts w:hint="eastAsia" w:ascii="Times New Roman" w:hAnsi="Times New Roman"/>
                <w:color w:val="auto"/>
              </w:rPr>
              <w:t>施工车辆对地表的大面积碾压，使所经过地段的植被和地表结构遭到不同程度的破坏，使风蚀荒漠化的过程加剧；在地面构筑物建设中，最直接而且易引起水土流失的是施工过程中使影响范围内的地表保护层变得松散，增加风蚀量。本项目地面建设的内容主要为井场建设及管线敷设等。临时占地范围内的土壤地表表层遭到破坏，在风力的作用下，风蚀量会明显加大，这种影响在短时间内不会完全恢复。但随着时间的推移，风蚀量会随着地表新保护层的逐渐形成而减弱。</w:t>
            </w:r>
          </w:p>
          <w:p>
            <w:pPr>
              <w:pStyle w:val="48"/>
              <w:spacing w:line="360" w:lineRule="auto"/>
              <w:ind w:firstLine="480"/>
              <w:jc w:val="both"/>
              <w:rPr>
                <w:rFonts w:ascii="Times New Roman" w:hAnsi="Times New Roman"/>
                <w:color w:val="auto"/>
              </w:rPr>
            </w:pPr>
            <w:r>
              <w:rPr>
                <w:rFonts w:hint="eastAsia" w:ascii="Times New Roman" w:hAnsi="Times New Roman"/>
                <w:color w:val="auto"/>
              </w:rPr>
              <w:t>井场等地面设施施工中，应按照设计要求，不得随意取土和破坏地表植被，尽量减少占地面积。注意施工过程中地貌的恢复，打井作业时，将表层土与底层土分开堆放，复土回填要保持土壤的基本层次；回填后多余的土方不随便丢弃，弃土用于平整井场，防止水土流失。</w:t>
            </w:r>
          </w:p>
          <w:p>
            <w:pPr>
              <w:pStyle w:val="48"/>
              <w:spacing w:line="360" w:lineRule="auto"/>
              <w:ind w:firstLine="480"/>
              <w:jc w:val="both"/>
              <w:rPr>
                <w:rFonts w:ascii="Times New Roman" w:hAnsi="Times New Roman"/>
                <w:color w:val="auto"/>
              </w:rPr>
            </w:pPr>
            <w:r>
              <w:rPr>
                <w:rFonts w:hint="eastAsia" w:ascii="Times New Roman" w:hAnsi="Times New Roman"/>
                <w:color w:val="auto"/>
              </w:rPr>
              <w:t>（7）对农田的影响分析</w:t>
            </w:r>
          </w:p>
          <w:p>
            <w:pPr>
              <w:pStyle w:val="48"/>
              <w:spacing w:line="360" w:lineRule="auto"/>
              <w:ind w:firstLine="480"/>
              <w:jc w:val="both"/>
              <w:rPr>
                <w:rFonts w:ascii="Times New Roman" w:hAnsi="Times New Roman"/>
                <w:color w:val="auto"/>
              </w:rPr>
            </w:pPr>
            <w:r>
              <w:rPr>
                <w:rFonts w:ascii="Times New Roman" w:hAnsi="Times New Roman"/>
                <w:color w:val="auto"/>
                <w:shd w:val="clear" w:color="auto" w:fill="FFFFFF"/>
              </w:rPr>
              <w:t>本项目施工过程中最直接的环境影响是井场、开挖管沟及管沟敷设临时占地对农田土壤环境的影响</w:t>
            </w:r>
            <w:r>
              <w:rPr>
                <w:rFonts w:hint="eastAsia" w:ascii="Times New Roman" w:hAnsi="Times New Roman"/>
                <w:color w:val="auto"/>
                <w:shd w:val="clear" w:color="auto" w:fill="FFFFFF"/>
              </w:rPr>
              <w:t>。</w:t>
            </w:r>
          </w:p>
          <w:p>
            <w:pPr>
              <w:spacing w:line="360" w:lineRule="auto"/>
              <w:ind w:firstLine="480" w:firstLineChars="200"/>
              <w:jc w:val="both"/>
              <w:rPr>
                <w:rFonts w:ascii="Times New Roman" w:hAnsi="Times New Roman"/>
                <w:color w:val="auto"/>
                <w:kern w:val="1"/>
                <w:sz w:val="24"/>
              </w:rPr>
            </w:pPr>
            <w:r>
              <w:rPr>
                <w:rFonts w:ascii="Times New Roman" w:hAnsi="Times New Roman"/>
                <w:color w:val="auto"/>
                <w:kern w:val="1"/>
                <w:sz w:val="24"/>
              </w:rPr>
              <w:t>建设过程中大量人员、机械进入农业区，使农业环境中人类活动频率大幅度增加，人为活动对植被的影响主要表现为施工人员和作业机械对地表农作物践踏、碾压，原有的农作物在外力的影响下，特别是受到汽车和机械的反复碾压时，会遭到毁灭性的破坏，形成次生裸地，从而将导致工程开发范围内及边缘区域地表土壤被践踏和农作物覆盖率减少</w:t>
            </w:r>
            <w:r>
              <w:rPr>
                <w:rFonts w:hint="eastAsia" w:ascii="Times New Roman" w:hAnsi="Times New Roman"/>
                <w:color w:val="auto"/>
                <w:kern w:val="1"/>
                <w:sz w:val="24"/>
              </w:rPr>
              <w:t>。</w:t>
            </w:r>
          </w:p>
          <w:p>
            <w:pPr>
              <w:pStyle w:val="13"/>
              <w:spacing w:before="0" w:after="0" w:line="360" w:lineRule="auto"/>
              <w:ind w:right="0" w:firstLine="480" w:firstLineChars="200"/>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土壤结构是经过较长的历史时期形成的，管沟开挖和回填必将破坏土壤的结构。尤其是土壤中的团粒结构，一旦遭到破坏，必须经过较长的时间才能恢复，对农田土壤影响更大，农田土壤耕作层是保证农业生产的基础，深度一般在15～25cm，是</w:t>
            </w:r>
            <w:r>
              <w:rPr>
                <w:rFonts w:hint="eastAsia" w:ascii="Times New Roman" w:hAnsi="Times New Roman"/>
                <w:color w:val="auto"/>
                <w:sz w:val="24"/>
                <w:szCs w:val="24"/>
                <w:shd w:val="clear" w:color="auto" w:fill="FFFFFF"/>
              </w:rPr>
              <w:t>农作物</w:t>
            </w:r>
            <w:r>
              <w:rPr>
                <w:rFonts w:ascii="Times New Roman" w:hAnsi="Times New Roman"/>
                <w:color w:val="auto"/>
                <w:sz w:val="24"/>
                <w:szCs w:val="24"/>
                <w:shd w:val="clear" w:color="auto" w:fill="FFFFFF"/>
              </w:rPr>
              <w:t>根系生长和发达的层次。管道开挖必定扰乱和破坏土壤的耕作层，除管道开挖的部分受到直接的破坏外，开挖土堆放两边占用农田，也会破坏农田的耕作土。此外，土层的混合和扰动，同样会改变原有农田耕作层的性质。因此在整个施工过程中，对土壤耕作层的影响最为严重。本项目在管道施工过程中实行分层堆放和分层覆土等保护措施，但仍对土壤结构、肥力、物理性质等产生一定的影响。总体而言，在严格控制施工作业范围的条件下，项目的实施不会使区域生态系统的结构和功能产生明显影响，不会造成植被和土壤的退化。同时，在尽可能减少工程扰动范围的同时，项目建成后应及时对临时占地实施土壤和植被恢复，</w:t>
            </w:r>
            <w:r>
              <w:rPr>
                <w:rFonts w:hint="eastAsia" w:ascii="Times New Roman" w:hAnsi="Times New Roman"/>
                <w:color w:val="auto"/>
                <w:sz w:val="24"/>
                <w:szCs w:val="24"/>
                <w:shd w:val="clear" w:color="auto" w:fill="FFFFFF"/>
              </w:rPr>
              <w:t>尤其是1.5km集输管线临时占地的恢复，永久占地包括井场范围内占地和2km井场道路占地将在油田闭井期全部实施土地复垦，</w:t>
            </w:r>
            <w:r>
              <w:rPr>
                <w:rFonts w:ascii="Times New Roman" w:hAnsi="Times New Roman"/>
                <w:color w:val="auto"/>
                <w:sz w:val="24"/>
                <w:szCs w:val="24"/>
                <w:shd w:val="clear" w:color="auto" w:fill="FFFFFF"/>
              </w:rPr>
              <w:t>使项目施工带来的不良生态影响逐渐得以消除</w:t>
            </w:r>
            <w:r>
              <w:rPr>
                <w:rFonts w:hint="eastAsia" w:ascii="Times New Roman" w:hAnsi="Times New Roman"/>
                <w:color w:val="auto"/>
                <w:sz w:val="24"/>
                <w:szCs w:val="24"/>
                <w:shd w:val="clear" w:color="auto" w:fill="FFFFFF"/>
              </w:rPr>
              <w:t>，</w:t>
            </w:r>
            <w:r>
              <w:rPr>
                <w:rFonts w:ascii="Times New Roman" w:hAnsi="Times New Roman"/>
                <w:color w:val="auto"/>
                <w:sz w:val="24"/>
                <w:szCs w:val="24"/>
                <w:shd w:val="clear" w:color="auto" w:fill="FFFFFF"/>
              </w:rPr>
              <w:t>将项目对生态环境的影响降至最</w:t>
            </w:r>
            <w:r>
              <w:rPr>
                <w:rFonts w:hint="eastAsia" w:ascii="Times New Roman" w:hAnsi="Times New Roman"/>
                <w:color w:val="auto"/>
                <w:sz w:val="24"/>
                <w:szCs w:val="24"/>
                <w:shd w:val="clear" w:color="auto" w:fill="FFFFFF"/>
              </w:rPr>
              <w:t>小。</w:t>
            </w:r>
          </w:p>
          <w:p>
            <w:pPr>
              <w:pStyle w:val="48"/>
              <w:spacing w:line="360" w:lineRule="auto"/>
              <w:ind w:firstLine="480"/>
              <w:jc w:val="both"/>
              <w:rPr>
                <w:rFonts w:ascii="Times New Roman" w:hAnsi="Times New Roman"/>
                <w:color w:val="auto"/>
              </w:rPr>
            </w:pPr>
            <w:r>
              <w:rPr>
                <w:color w:val="auto"/>
              </w:rPr>
              <w:t>油田开发建设项目中对生态环境造成严重破坏的主要事故类型为井喷和原油泄漏</w:t>
            </w:r>
            <w:r>
              <w:rPr>
                <w:rFonts w:hint="eastAsia"/>
                <w:color w:val="auto"/>
              </w:rPr>
              <w:t>引发的火灾爆炸</w:t>
            </w:r>
            <w:r>
              <w:rPr>
                <w:color w:val="auto"/>
              </w:rPr>
              <w:t>，其产生的污染物排放均会对影响范围内的</w:t>
            </w:r>
            <w:r>
              <w:rPr>
                <w:rFonts w:hint="eastAsia"/>
                <w:color w:val="auto"/>
              </w:rPr>
              <w:t>农作物</w:t>
            </w:r>
            <w:r>
              <w:rPr>
                <w:color w:val="auto"/>
              </w:rPr>
              <w:t>造成不同程度的影响</w:t>
            </w:r>
            <w:r>
              <w:rPr>
                <w:rFonts w:ascii="Times New Roman" w:hAnsi="Times New Roman"/>
                <w:color w:val="auto"/>
                <w:shd w:val="clear" w:color="auto" w:fill="FFFFFF"/>
              </w:rPr>
              <w:t>。</w:t>
            </w:r>
            <w:r>
              <w:rPr>
                <w:color w:val="auto"/>
              </w:rPr>
              <w:t>影响程度与发生事故时泄漏的油量及是否发生火灾有很大关系。植被体上附着的原油越多，死亡率就越高。如果发生火灾，则植被的地上部分会完全被毁，但如果土壤环境未被破坏，第二年自然植被会重新发芽生长，农作物耕种后也会较快恢复。</w:t>
            </w:r>
          </w:p>
          <w:p>
            <w:pPr>
              <w:pStyle w:val="13"/>
              <w:spacing w:before="0" w:after="0" w:line="360" w:lineRule="auto"/>
              <w:ind w:right="0" w:firstLine="482" w:firstLineChars="200"/>
              <w:jc w:val="both"/>
              <w:rPr>
                <w:rFonts w:ascii="Times New Roman" w:hAnsi="Times New Roman"/>
                <w:b/>
                <w:bCs/>
                <w:color w:val="auto"/>
                <w:kern w:val="2"/>
                <w:sz w:val="24"/>
                <w:szCs w:val="24"/>
              </w:rPr>
            </w:pPr>
            <w:r>
              <w:rPr>
                <w:rFonts w:ascii="Times New Roman" w:hAnsi="Times New Roman"/>
                <w:b/>
                <w:bCs/>
                <w:color w:val="auto"/>
                <w:kern w:val="2"/>
                <w:sz w:val="24"/>
                <w:szCs w:val="24"/>
              </w:rPr>
              <w:t>2</w:t>
            </w:r>
            <w:r>
              <w:rPr>
                <w:rFonts w:hint="eastAsia" w:ascii="Times New Roman" w:hAnsi="Times New Roman"/>
                <w:b/>
                <w:bCs/>
                <w:color w:val="auto"/>
                <w:kern w:val="2"/>
                <w:sz w:val="24"/>
                <w:szCs w:val="24"/>
              </w:rPr>
              <w:t>．</w:t>
            </w:r>
            <w:r>
              <w:rPr>
                <w:rFonts w:ascii="Times New Roman" w:hAnsi="Times New Roman"/>
                <w:b/>
                <w:bCs/>
                <w:color w:val="auto"/>
                <w:kern w:val="2"/>
                <w:sz w:val="24"/>
                <w:szCs w:val="24"/>
              </w:rPr>
              <w:t>大气环境影响分析</w:t>
            </w:r>
          </w:p>
          <w:p>
            <w:pPr>
              <w:pStyle w:val="48"/>
              <w:spacing w:line="360" w:lineRule="auto"/>
              <w:ind w:firstLine="456"/>
              <w:jc w:val="both"/>
              <w:rPr>
                <w:rFonts w:ascii="Times New Roman" w:hAnsi="Times New Roman"/>
                <w:color w:val="auto"/>
                <w:spacing w:val="-11"/>
              </w:rPr>
            </w:pPr>
            <w:r>
              <w:rPr>
                <w:rFonts w:ascii="Times New Roman" w:hAnsi="Times New Roman"/>
                <w:color w:val="auto"/>
                <w:spacing w:val="-6"/>
              </w:rPr>
              <w:t>施工期废气主要为施工扬尘、施工车辆燃烧</w:t>
            </w:r>
            <w:r>
              <w:rPr>
                <w:rFonts w:hint="eastAsia" w:ascii="Times New Roman" w:hAnsi="Times New Roman"/>
                <w:color w:val="auto"/>
                <w:spacing w:val="-6"/>
              </w:rPr>
              <w:t>废气</w:t>
            </w:r>
            <w:r>
              <w:rPr>
                <w:rFonts w:ascii="Times New Roman" w:hAnsi="Times New Roman"/>
                <w:color w:val="auto"/>
                <w:spacing w:val="-6"/>
              </w:rPr>
              <w:t>，柴油发电机燃料燃烧</w:t>
            </w:r>
            <w:r>
              <w:rPr>
                <w:rFonts w:hint="eastAsia" w:ascii="Times New Roman" w:hAnsi="Times New Roman"/>
                <w:color w:val="auto"/>
                <w:spacing w:val="-6"/>
              </w:rPr>
              <w:t>废</w:t>
            </w:r>
            <w:r>
              <w:rPr>
                <w:rFonts w:ascii="Times New Roman" w:hAnsi="Times New Roman"/>
                <w:color w:val="auto"/>
                <w:spacing w:val="-6"/>
              </w:rPr>
              <w:t>气</w:t>
            </w:r>
            <w:r>
              <w:rPr>
                <w:rFonts w:hint="eastAsia" w:ascii="Times New Roman" w:hAnsi="Times New Roman"/>
                <w:color w:val="auto"/>
                <w:spacing w:val="-6"/>
              </w:rPr>
              <w:t>，以及试井诱喷排出的少量伴生气经火炬系统燃烧放空排放的废气</w:t>
            </w:r>
            <w:r>
              <w:rPr>
                <w:rFonts w:ascii="Times New Roman" w:hAnsi="Times New Roman"/>
                <w:color w:val="auto"/>
                <w:spacing w:val="-6"/>
              </w:rPr>
              <w:t>。</w:t>
            </w:r>
          </w:p>
          <w:p>
            <w:pPr>
              <w:pStyle w:val="48"/>
              <w:spacing w:line="360" w:lineRule="auto"/>
              <w:ind w:firstLine="480"/>
              <w:jc w:val="both"/>
              <w:rPr>
                <w:rFonts w:ascii="Times New Roman" w:hAnsi="Times New Roman"/>
                <w:color w:val="auto"/>
              </w:rPr>
            </w:pPr>
            <w:r>
              <w:rPr>
                <w:rFonts w:ascii="Times New Roman" w:hAnsi="Times New Roman"/>
                <w:color w:val="auto"/>
              </w:rPr>
              <w:t>（1）施工扬尘</w:t>
            </w:r>
          </w:p>
          <w:p>
            <w:pPr>
              <w:pStyle w:val="48"/>
              <w:spacing w:line="360" w:lineRule="auto"/>
              <w:ind w:firstLine="480"/>
              <w:jc w:val="both"/>
              <w:rPr>
                <w:rFonts w:ascii="Times New Roman" w:hAnsi="Times New Roman"/>
                <w:color w:val="auto"/>
              </w:rPr>
            </w:pPr>
            <w:r>
              <w:rPr>
                <w:rFonts w:ascii="Times New Roman" w:hAnsi="Times New Roman"/>
                <w:color w:val="auto"/>
              </w:rPr>
              <w:t>钻前工程及公用工程施工过程中会产生施工扬尘，以及项目所用材料的装卸、运输、堆放以及施工车辆运输扬尘等，污染物主要为</w:t>
            </w:r>
            <w:r>
              <w:rPr>
                <w:rFonts w:hint="eastAsia" w:ascii="Times New Roman" w:hAnsi="Times New Roman"/>
                <w:color w:val="auto"/>
              </w:rPr>
              <w:t>扬尘</w:t>
            </w:r>
            <w:r>
              <w:rPr>
                <w:rFonts w:ascii="Times New Roman" w:hAnsi="Times New Roman"/>
                <w:color w:val="auto"/>
              </w:rPr>
              <w:t>。</w:t>
            </w:r>
          </w:p>
          <w:p>
            <w:pPr>
              <w:pStyle w:val="48"/>
              <w:spacing w:line="360" w:lineRule="auto"/>
              <w:ind w:firstLine="480"/>
              <w:jc w:val="both"/>
              <w:rPr>
                <w:rFonts w:ascii="Times New Roman" w:hAnsi="Times New Roman"/>
                <w:color w:val="auto"/>
              </w:rPr>
            </w:pPr>
            <w:r>
              <w:rPr>
                <w:rFonts w:ascii="Times New Roman" w:hAnsi="Times New Roman"/>
                <w:color w:val="auto"/>
              </w:rPr>
              <w:t>钻井活动中</w:t>
            </w:r>
            <w:r>
              <w:rPr>
                <w:rFonts w:ascii="Times New Roman" w:hAnsi="Times New Roman"/>
                <w:color w:val="auto"/>
                <w:lang w:val="zh-CN"/>
              </w:rPr>
              <w:t>运输车辆会产生扬尘，如建筑材料堆积、土壤扰动及施工运输车辆行驶等，均会对环境空气造成一定的影响。</w:t>
            </w:r>
            <w:r>
              <w:rPr>
                <w:rFonts w:ascii="Times New Roman" w:hAnsi="Times New Roman"/>
                <w:color w:val="auto"/>
              </w:rPr>
              <w:t>在施工场地实施每天洒水抑尘作业4~5次，大风天气增加洒水次数，由此车辆产生的扬尘对周围环境影响较小。从影响时间、范围和程度来看，钻井施工扬尘随着施工期的结束而消失，对周围大气环境质量影响是有限的，</w:t>
            </w:r>
            <w:r>
              <w:rPr>
                <w:rFonts w:ascii="Times New Roman" w:hAnsi="Times New Roman"/>
                <w:color w:val="auto"/>
                <w:lang w:val="zh-CN"/>
              </w:rPr>
              <w:t>项目施工过程中产生的扬尘不会对环境空气产生明显影响。</w:t>
            </w:r>
          </w:p>
          <w:p>
            <w:pPr>
              <w:pStyle w:val="74"/>
              <w:adjustRightInd w:val="0"/>
              <w:snapToGrid w:val="0"/>
              <w:spacing w:line="360" w:lineRule="auto"/>
              <w:ind w:firstLine="480"/>
              <w:jc w:val="both"/>
              <w:outlineLvl w:val="9"/>
              <w:rPr>
                <w:rFonts w:ascii="Times New Roman" w:hAnsi="Times New Roman"/>
                <w:b w:val="0"/>
                <w:bCs/>
                <w:color w:val="auto"/>
                <w:szCs w:val="24"/>
              </w:rPr>
            </w:pPr>
            <w:r>
              <w:rPr>
                <w:rFonts w:ascii="Times New Roman" w:hAnsi="Times New Roman"/>
                <w:b w:val="0"/>
                <w:bCs/>
                <w:color w:val="auto"/>
                <w:szCs w:val="24"/>
              </w:rPr>
              <w:t>（2）施工机械、施工车辆燃料燃烧</w:t>
            </w:r>
            <w:r>
              <w:rPr>
                <w:rFonts w:hint="eastAsia" w:ascii="Times New Roman" w:hAnsi="Times New Roman"/>
                <w:b w:val="0"/>
                <w:bCs/>
                <w:color w:val="auto"/>
                <w:szCs w:val="24"/>
              </w:rPr>
              <w:t>废气</w:t>
            </w:r>
          </w:p>
          <w:p>
            <w:pPr>
              <w:spacing w:line="360" w:lineRule="auto"/>
              <w:ind w:firstLine="480" w:firstLineChars="200"/>
              <w:rPr>
                <w:rFonts w:ascii="Times New Roman" w:hAnsi="Times New Roman"/>
                <w:bCs/>
                <w:color w:val="auto"/>
                <w:sz w:val="24"/>
              </w:rPr>
            </w:pPr>
            <w:r>
              <w:rPr>
                <w:rFonts w:ascii="Times New Roman" w:hAnsi="Times New Roman"/>
                <w:bCs/>
                <w:color w:val="auto"/>
                <w:sz w:val="24"/>
              </w:rPr>
              <w:t>施工期各类施工机械及运输车辆较多，燃烧燃料排放的</w:t>
            </w:r>
            <w:r>
              <w:rPr>
                <w:rFonts w:hint="eastAsia" w:ascii="Times New Roman" w:hAnsi="Times New Roman"/>
                <w:bCs/>
                <w:color w:val="auto"/>
                <w:sz w:val="24"/>
              </w:rPr>
              <w:t>废</w:t>
            </w:r>
            <w:r>
              <w:rPr>
                <w:rFonts w:ascii="Times New Roman" w:hAnsi="Times New Roman"/>
                <w:bCs/>
                <w:color w:val="auto"/>
                <w:sz w:val="24"/>
              </w:rPr>
              <w:t>气</w:t>
            </w:r>
            <w:r>
              <w:rPr>
                <w:color w:val="auto"/>
                <w:sz w:val="24"/>
              </w:rPr>
              <w:t>主要污染物为</w:t>
            </w:r>
            <w:r>
              <w:rPr>
                <w:rFonts w:ascii="Times New Roman" w:hAnsi="Times New Roman"/>
                <w:color w:val="auto"/>
                <w:sz w:val="24"/>
              </w:rPr>
              <w:t>TSP、NO</w:t>
            </w:r>
            <w:r>
              <w:rPr>
                <w:rFonts w:ascii="Times New Roman" w:hAnsi="Times New Roman"/>
                <w:color w:val="auto"/>
                <w:sz w:val="24"/>
                <w:vertAlign w:val="subscript"/>
              </w:rPr>
              <w:t>2</w:t>
            </w:r>
            <w:r>
              <w:rPr>
                <w:rFonts w:ascii="Times New Roman" w:hAnsi="Times New Roman"/>
                <w:color w:val="auto"/>
                <w:sz w:val="24"/>
              </w:rPr>
              <w:t>、SO</w:t>
            </w:r>
            <w:r>
              <w:rPr>
                <w:rFonts w:ascii="Times New Roman" w:hAnsi="Times New Roman"/>
                <w:color w:val="auto"/>
                <w:sz w:val="24"/>
                <w:vertAlign w:val="subscript"/>
              </w:rPr>
              <w:t>2</w:t>
            </w:r>
            <w:r>
              <w:rPr>
                <w:rFonts w:ascii="Times New Roman" w:hAnsi="Times New Roman"/>
                <w:color w:val="auto"/>
                <w:sz w:val="24"/>
              </w:rPr>
              <w:t>、CO和烃类</w:t>
            </w:r>
            <w:r>
              <w:rPr>
                <w:color w:val="auto"/>
                <w:sz w:val="24"/>
              </w:rPr>
              <w:t>等</w:t>
            </w:r>
            <w:r>
              <w:rPr>
                <w:rFonts w:hint="eastAsia"/>
                <w:color w:val="auto"/>
                <w:sz w:val="24"/>
              </w:rPr>
              <w:t>，</w:t>
            </w:r>
            <w:r>
              <w:rPr>
                <w:rFonts w:ascii="Times New Roman" w:hAnsi="Times New Roman"/>
                <w:bCs/>
                <w:color w:val="auto"/>
                <w:sz w:val="24"/>
              </w:rPr>
              <w:t>会对大气环境造成一定污染</w:t>
            </w:r>
            <w:r>
              <w:rPr>
                <w:color w:val="auto"/>
                <w:sz w:val="24"/>
              </w:rPr>
              <w:t>。</w:t>
            </w:r>
          </w:p>
          <w:p>
            <w:pPr>
              <w:adjustRightInd w:val="0"/>
              <w:snapToGrid w:val="0"/>
              <w:spacing w:line="360" w:lineRule="auto"/>
              <w:ind w:firstLine="480" w:firstLineChars="200"/>
              <w:jc w:val="both"/>
              <w:rPr>
                <w:rFonts w:ascii="Times New Roman" w:hAnsi="Times New Roman"/>
                <w:bCs/>
                <w:color w:val="auto"/>
                <w:sz w:val="24"/>
              </w:rPr>
            </w:pPr>
            <w:r>
              <w:rPr>
                <w:rFonts w:ascii="Times New Roman" w:hAnsi="Times New Roman"/>
                <w:bCs/>
                <w:color w:val="auto"/>
                <w:sz w:val="24"/>
              </w:rPr>
              <w:t>施工机械及运输车辆燃料燃烧产生的</w:t>
            </w:r>
            <w:r>
              <w:rPr>
                <w:rFonts w:hint="eastAsia" w:ascii="Times New Roman" w:hAnsi="Times New Roman"/>
                <w:bCs/>
                <w:color w:val="auto"/>
                <w:sz w:val="24"/>
              </w:rPr>
              <w:t>废气</w:t>
            </w:r>
            <w:r>
              <w:rPr>
                <w:rFonts w:ascii="Times New Roman" w:hAnsi="Times New Roman"/>
                <w:bCs/>
                <w:color w:val="auto"/>
                <w:sz w:val="24"/>
              </w:rPr>
              <w:t>会对环境空气造成影响，各施工机械及车辆均采用合格油品，其环境影响较小。</w:t>
            </w:r>
          </w:p>
          <w:p>
            <w:pPr>
              <w:pStyle w:val="33"/>
              <w:widowControl w:val="0"/>
              <w:spacing w:before="0" w:beforeAutospacing="0" w:after="0" w:afterAutospacing="0" w:line="360" w:lineRule="auto"/>
              <w:ind w:firstLine="480" w:firstLineChars="200"/>
              <w:jc w:val="both"/>
              <w:rPr>
                <w:rFonts w:ascii="Times New Roman" w:hAnsi="Times New Roman"/>
                <w:color w:val="auto"/>
                <w:lang w:val="zh-CN"/>
              </w:rPr>
            </w:pPr>
            <w:r>
              <w:rPr>
                <w:rFonts w:ascii="Times New Roman" w:hAnsi="Times New Roman"/>
                <w:color w:val="auto"/>
                <w:kern w:val="2"/>
              </w:rPr>
              <w:t>（3）</w:t>
            </w:r>
            <w:r>
              <w:rPr>
                <w:rFonts w:ascii="Times New Roman" w:hAnsi="Times New Roman"/>
                <w:color w:val="auto"/>
                <w:kern w:val="2"/>
                <w:lang w:val="zh-CN" w:bidi="ar"/>
              </w:rPr>
              <w:t>柴油机、柴油发电机组燃烧</w:t>
            </w:r>
            <w:r>
              <w:rPr>
                <w:rFonts w:hint="eastAsia" w:ascii="Times New Roman" w:hAnsi="Times New Roman"/>
                <w:color w:val="auto"/>
                <w:kern w:val="2"/>
                <w:lang w:val="zh-CN" w:bidi="ar"/>
              </w:rPr>
              <w:t>废气</w:t>
            </w:r>
          </w:p>
          <w:p>
            <w:pPr>
              <w:pStyle w:val="13"/>
              <w:spacing w:before="0" w:after="0" w:line="360" w:lineRule="auto"/>
              <w:ind w:firstLine="480" w:firstLineChars="200"/>
              <w:jc w:val="both"/>
              <w:rPr>
                <w:rFonts w:ascii="Times New Roman" w:hAnsi="Times New Roman"/>
                <w:color w:val="auto"/>
                <w:kern w:val="2"/>
                <w:sz w:val="24"/>
                <w:szCs w:val="24"/>
              </w:rPr>
            </w:pPr>
            <w:r>
              <w:rPr>
                <w:rFonts w:ascii="Times New Roman" w:hAnsi="Times New Roman"/>
                <w:color w:val="auto"/>
                <w:kern w:val="2"/>
                <w:sz w:val="24"/>
                <w:szCs w:val="24"/>
              </w:rPr>
              <w:t>柴油机、发电机工作时消耗的燃料主要为柴油，本项目使用符合国家标准的燃料，且施工期短暂，</w:t>
            </w:r>
            <w:r>
              <w:rPr>
                <w:rFonts w:ascii="Times New Roman" w:hAnsi="Times New Roman"/>
                <w:color w:val="auto"/>
                <w:sz w:val="24"/>
              </w:rPr>
              <w:t>本环评要求钻井期间定期对柴油机、柴油发电机等设备进行维护，</w:t>
            </w:r>
            <w:r>
              <w:rPr>
                <w:rFonts w:ascii="Times New Roman" w:hAnsi="Times New Roman"/>
                <w:color w:val="auto"/>
                <w:kern w:val="2"/>
                <w:sz w:val="24"/>
                <w:szCs w:val="24"/>
              </w:rPr>
              <w:t>以降低柴油燃烧污染物的排放，减轻对大气环境的影响，类比新疆油田其他类似钻井井场，井场场界外非甲烷总烃的浓度低于《</w:t>
            </w:r>
            <w:r>
              <w:rPr>
                <w:color w:val="auto"/>
              </w:rPr>
              <w:fldChar w:fldCharType="begin"/>
            </w:r>
            <w:r>
              <w:rPr>
                <w:color w:val="auto"/>
              </w:rPr>
              <w:instrText xml:space="preserve"> HYPERLINK "http://www.mee.gov.cn/ywgz/fgbz/bz/bzwb/dqhjbh/dqgdwrywrwpfbz/202012/W020201225551948738018.pdf" </w:instrText>
            </w:r>
            <w:r>
              <w:rPr>
                <w:color w:val="auto"/>
              </w:rPr>
              <w:fldChar w:fldCharType="separate"/>
            </w:r>
            <w:r>
              <w:rPr>
                <w:rFonts w:ascii="Times New Roman" w:hAnsi="Times New Roman"/>
                <w:color w:val="auto"/>
                <w:kern w:val="2"/>
                <w:sz w:val="24"/>
                <w:szCs w:val="24"/>
              </w:rPr>
              <w:t>陆上石油天然气开采工业大气污染物排放标准》（GB39728</w:t>
            </w:r>
            <w:r>
              <w:rPr>
                <w:rFonts w:hint="eastAsia" w:ascii="Times New Roman" w:hAnsi="Times New Roman"/>
                <w:color w:val="auto"/>
                <w:kern w:val="2"/>
                <w:sz w:val="24"/>
                <w:szCs w:val="24"/>
              </w:rPr>
              <w:t>-</w:t>
            </w:r>
            <w:r>
              <w:rPr>
                <w:rFonts w:ascii="Times New Roman" w:hAnsi="Times New Roman"/>
                <w:color w:val="auto"/>
                <w:kern w:val="2"/>
                <w:sz w:val="24"/>
                <w:szCs w:val="24"/>
              </w:rPr>
              <w:t>2020）</w:t>
            </w:r>
            <w:r>
              <w:rPr>
                <w:rFonts w:ascii="Times New Roman" w:hAnsi="Times New Roman"/>
                <w:color w:val="auto"/>
                <w:kern w:val="2"/>
                <w:sz w:val="24"/>
                <w:szCs w:val="24"/>
              </w:rPr>
              <w:fldChar w:fldCharType="end"/>
            </w:r>
            <w:r>
              <w:rPr>
                <w:rFonts w:ascii="Times New Roman" w:hAnsi="Times New Roman"/>
                <w:color w:val="auto"/>
                <w:kern w:val="2"/>
                <w:sz w:val="24"/>
                <w:szCs w:val="24"/>
              </w:rPr>
              <w:t>中企业边界污染物控制要求。</w:t>
            </w:r>
          </w:p>
          <w:p>
            <w:pPr>
              <w:pStyle w:val="13"/>
              <w:spacing w:before="0" w:after="0" w:line="360" w:lineRule="auto"/>
              <w:ind w:right="0" w:firstLine="480" w:firstLineChars="200"/>
              <w:jc w:val="both"/>
              <w:rPr>
                <w:rFonts w:ascii="Times New Roman" w:hAnsi="Times New Roman"/>
                <w:color w:val="auto"/>
                <w:kern w:val="2"/>
                <w:sz w:val="24"/>
                <w:szCs w:val="24"/>
              </w:rPr>
            </w:pPr>
            <w:r>
              <w:rPr>
                <w:rFonts w:hint="eastAsia" w:ascii="Times New Roman" w:hAnsi="Times New Roman"/>
                <w:color w:val="auto"/>
                <w:kern w:val="2"/>
                <w:sz w:val="24"/>
                <w:szCs w:val="24"/>
              </w:rPr>
              <w:t>（4）诱喷伴生气燃烧废气</w:t>
            </w:r>
          </w:p>
          <w:p>
            <w:pPr>
              <w:pStyle w:val="13"/>
              <w:spacing w:before="0" w:after="0" w:line="360" w:lineRule="auto"/>
              <w:ind w:right="0" w:firstLine="480" w:firstLineChars="200"/>
              <w:jc w:val="both"/>
              <w:rPr>
                <w:rFonts w:ascii="Times New Roman" w:hAnsi="Times New Roman"/>
                <w:color w:val="auto"/>
                <w:kern w:val="2"/>
                <w:sz w:val="24"/>
                <w:szCs w:val="24"/>
              </w:rPr>
            </w:pPr>
            <w:r>
              <w:rPr>
                <w:rFonts w:ascii="Times New Roman" w:hAnsi="Times New Roman"/>
                <w:color w:val="auto"/>
                <w:kern w:val="2"/>
                <w:sz w:val="24"/>
                <w:szCs w:val="24"/>
              </w:rPr>
              <w:t>在诱喷过程中，会释放极少量的伴生气，在钻井过程中监测到伴生气产生则采用火炬燃烧的方式进行处置。</w:t>
            </w:r>
          </w:p>
          <w:p>
            <w:pPr>
              <w:pStyle w:val="13"/>
              <w:spacing w:before="0" w:after="0" w:line="360" w:lineRule="auto"/>
              <w:ind w:right="0" w:firstLine="482" w:firstLineChars="200"/>
              <w:jc w:val="both"/>
              <w:rPr>
                <w:rFonts w:ascii="Times New Roman" w:hAnsi="Times New Roman"/>
                <w:b/>
                <w:bCs/>
                <w:color w:val="auto"/>
                <w:kern w:val="2"/>
                <w:sz w:val="24"/>
                <w:szCs w:val="24"/>
              </w:rPr>
            </w:pPr>
            <w:r>
              <w:rPr>
                <w:rFonts w:ascii="Times New Roman" w:hAnsi="Times New Roman"/>
                <w:b/>
                <w:bCs/>
                <w:color w:val="auto"/>
                <w:kern w:val="2"/>
                <w:sz w:val="24"/>
                <w:szCs w:val="24"/>
              </w:rPr>
              <w:t>3</w:t>
            </w:r>
            <w:r>
              <w:rPr>
                <w:rFonts w:hint="eastAsia" w:ascii="Times New Roman" w:hAnsi="Times New Roman"/>
                <w:b/>
                <w:bCs/>
                <w:color w:val="auto"/>
                <w:kern w:val="2"/>
                <w:sz w:val="24"/>
                <w:szCs w:val="24"/>
              </w:rPr>
              <w:t>．</w:t>
            </w:r>
            <w:r>
              <w:rPr>
                <w:rFonts w:ascii="Times New Roman" w:hAnsi="Times New Roman"/>
                <w:b/>
                <w:bCs/>
                <w:color w:val="auto"/>
                <w:kern w:val="2"/>
                <w:sz w:val="24"/>
                <w:szCs w:val="24"/>
              </w:rPr>
              <w:t>水环境影响分析</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施工期</w:t>
            </w:r>
            <w:r>
              <w:rPr>
                <w:rFonts w:hint="eastAsia" w:ascii="Times New Roman" w:hAnsi="Times New Roman"/>
                <w:color w:val="auto"/>
              </w:rPr>
              <w:t>产生的废水主要包括钻井废水、试油阶段废水、管道试压废水。</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（1）钻井废水</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施工期的生产废水主要为钻井废水。钻井废水由冲洗钻台、钻具、地面、设备用水及下钻时的泥浆流失物、泥浆循环系统的渗透物组成。根据《排放源统计调查产排污核算方法和系数手册》1120 石油和天然气开采专业及辅助性活动行业系数手册，普通油井（≤2.5km 进尺）产污系数18.81t/100m。本项目单井平均进尺993.3m，则单井钻井废水产生量为186.8m</w:t>
            </w:r>
            <w:r>
              <w:rPr>
                <w:rFonts w:hint="eastAsia" w:ascii="Times New Roman" w:hAnsi="Times New Roman"/>
                <w:color w:val="auto"/>
                <w:sz w:val="24"/>
                <w:vertAlign w:val="superscript"/>
              </w:rPr>
              <w:t>3</w:t>
            </w:r>
            <w:r>
              <w:rPr>
                <w:rFonts w:hint="eastAsia" w:ascii="Times New Roman" w:hAnsi="Times New Roman"/>
                <w:color w:val="auto"/>
                <w:sz w:val="24"/>
              </w:rPr>
              <w:t>，则15 口井钻井废水产生量为2802m</w:t>
            </w:r>
            <w:r>
              <w:rPr>
                <w:rFonts w:hint="eastAsia" w:ascii="Times New Roman" w:hAnsi="Times New Roman"/>
                <w:color w:val="auto"/>
                <w:sz w:val="24"/>
                <w:vertAlign w:val="superscript"/>
              </w:rPr>
              <w:t>3</w:t>
            </w:r>
            <w:r>
              <w:rPr>
                <w:rFonts w:hint="eastAsia" w:ascii="Times New Roman" w:hAnsi="Times New Roman"/>
                <w:color w:val="auto"/>
                <w:sz w:val="24"/>
              </w:rPr>
              <w:t>。</w:t>
            </w:r>
          </w:p>
          <w:p>
            <w:pPr>
              <w:pStyle w:val="48"/>
              <w:adjustRightInd w:val="0"/>
              <w:snapToGrid w:val="0"/>
              <w:spacing w:line="360" w:lineRule="auto"/>
              <w:ind w:firstLine="496"/>
              <w:jc w:val="both"/>
              <w:rPr>
                <w:rFonts w:ascii="Times New Roman" w:hAnsi="Times New Roman"/>
                <w:color w:val="auto"/>
              </w:rPr>
            </w:pPr>
            <w:r>
              <w:rPr>
                <w:color w:val="auto"/>
                <w:spacing w:val="4"/>
                <w:kern w:val="24"/>
              </w:rPr>
              <w:t>钻井期间，</w:t>
            </w:r>
            <w:r>
              <w:rPr>
                <w:color w:val="auto"/>
              </w:rPr>
              <w:t>钻井废水与钻井泥浆、岩屑一同进入不落地系统进行分离处理，分离后的液相回用于钻井液配制，</w:t>
            </w:r>
            <w:r>
              <w:rPr>
                <w:rFonts w:hint="eastAsia" w:ascii="Times New Roman" w:hAnsi="Times New Roman"/>
                <w:color w:val="auto"/>
              </w:rPr>
              <w:t>进行钻井作业循环使用，不外排，</w:t>
            </w:r>
            <w:r>
              <w:rPr>
                <w:color w:val="auto"/>
              </w:rPr>
              <w:t>待钻井工程结束后由供应商回收或带至下一个钻井井场继续使用。</w:t>
            </w:r>
            <w:r>
              <w:rPr>
                <w:rFonts w:ascii="Times New Roman" w:hAnsi="Times New Roman"/>
                <w:color w:val="auto"/>
              </w:rPr>
              <w:t>钻井废水得到妥善处理，对水环境影响较小。</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（2）试油阶段废水</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试油阶段废水包括洗井废水和诱喷排液（油类）。试油时，作业队带罐作业，所有废水及排液均由罐车收集送春光联合站处理。</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（3） 管道试压废水</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管道试压用水为清水，</w:t>
            </w:r>
            <w:r>
              <w:rPr>
                <w:rFonts w:hint="eastAsia" w:ascii="Times New Roman" w:hAnsi="Times New Roman"/>
                <w:color w:val="auto"/>
              </w:rPr>
              <w:t>产生的试压废水按照每千米2.5m</w:t>
            </w:r>
            <w:r>
              <w:rPr>
                <w:rFonts w:hint="eastAsia" w:ascii="Times New Roman" w:hAnsi="Times New Roman"/>
                <w:color w:val="auto"/>
                <w:vertAlign w:val="superscript"/>
              </w:rPr>
              <w:t>3</w:t>
            </w:r>
            <w:r>
              <w:rPr>
                <w:rFonts w:hint="eastAsia" w:ascii="Times New Roman" w:hAnsi="Times New Roman"/>
                <w:color w:val="auto"/>
              </w:rPr>
              <w:t xml:space="preserve"> 计算，本工程管线总长度为1.5km，试压废水为3.75m</w:t>
            </w:r>
            <w:r>
              <w:rPr>
                <w:rFonts w:hint="eastAsia" w:ascii="Times New Roman" w:hAnsi="Times New Roman"/>
                <w:color w:val="auto"/>
                <w:vertAlign w:val="superscript"/>
              </w:rPr>
              <w:t>3</w:t>
            </w:r>
            <w:r>
              <w:rPr>
                <w:rFonts w:hint="eastAsia" w:ascii="Times New Roman" w:hAnsi="Times New Roman"/>
                <w:color w:val="auto"/>
              </w:rPr>
              <w:t>。</w:t>
            </w:r>
            <w:r>
              <w:rPr>
                <w:rFonts w:ascii="Times New Roman" w:hAnsi="Times New Roman"/>
                <w:color w:val="auto"/>
              </w:rPr>
              <w:t>废水中主要污染物为悬浮物，浓度在40～60mg/L。管道试压废水用于施工区洒水抑尘</w:t>
            </w:r>
            <w:r>
              <w:rPr>
                <w:rFonts w:hint="eastAsia" w:ascii="Times New Roman" w:hAnsi="Times New Roman"/>
                <w:color w:val="auto"/>
              </w:rPr>
              <w:t>、场区绿化</w:t>
            </w:r>
            <w:r>
              <w:rPr>
                <w:rFonts w:ascii="Times New Roman" w:hAnsi="Times New Roman"/>
                <w:color w:val="auto"/>
              </w:rPr>
              <w:t>，不会对项目区地下水产生影响。</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施工期不新建</w:t>
            </w:r>
            <w:r>
              <w:rPr>
                <w:rFonts w:hint="eastAsia" w:ascii="Times New Roman" w:hAnsi="Times New Roman"/>
                <w:color w:val="auto"/>
              </w:rPr>
              <w:t>施工</w:t>
            </w:r>
            <w:r>
              <w:rPr>
                <w:rFonts w:ascii="Times New Roman" w:hAnsi="Times New Roman"/>
                <w:color w:val="auto"/>
              </w:rPr>
              <w:t>营地，施工现场无生活污水产生。</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本项目钻井过程中的废水和固体废物以及试油过程中固体废物均可得到有效的处置，正常情况下不会形成地表径流，或因雨水的冲刷而随地表径流，</w:t>
            </w:r>
            <w:r>
              <w:rPr>
                <w:rFonts w:hint="eastAsia" w:ascii="Times New Roman" w:hAnsi="Times New Roman"/>
                <w:color w:val="auto"/>
              </w:rPr>
              <w:t>项目区周边</w:t>
            </w:r>
            <w:r>
              <w:rPr>
                <w:rFonts w:ascii="Times New Roman" w:hAnsi="Times New Roman"/>
                <w:color w:val="auto"/>
              </w:rPr>
              <w:t>无地表水体，钻井过程中各种污染物质不进入地表水体，不影响地表水水质。施工期对水环境影响具体见地下水环境影响专项报告。</w:t>
            </w:r>
          </w:p>
          <w:p>
            <w:pPr>
              <w:spacing w:line="360" w:lineRule="auto"/>
              <w:ind w:firstLine="482" w:firstLineChars="200"/>
              <w:jc w:val="both"/>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w:t>
            </w:r>
            <w:r>
              <w:rPr>
                <w:rFonts w:ascii="Times New Roman" w:hAnsi="Times New Roman"/>
                <w:b/>
                <w:color w:val="auto"/>
                <w:sz w:val="24"/>
              </w:rPr>
              <w:t>声环境影响分析</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噪声源主要是施工机械及运输车辆噪声，源强约80～110dB（A），对高噪声设备采取隔声措施，并加强机械设备的保养，保证机械设备的正常运转，以降低设备正常运转的噪声。进一步落实以上措施后，钻井噪声对周边环境及施工人员的影响将进一步减少，钻井期产生噪声对周边环境影响不大，据类比调查，施工期场界外噪声可满足《建筑施工场界</w:t>
            </w:r>
            <w:r>
              <w:rPr>
                <w:rFonts w:hint="eastAsia" w:ascii="Times New Roman" w:hAnsi="Times New Roman"/>
                <w:color w:val="auto"/>
                <w:sz w:val="24"/>
              </w:rPr>
              <w:t>环境</w:t>
            </w:r>
            <w:r>
              <w:rPr>
                <w:rFonts w:ascii="Times New Roman" w:hAnsi="Times New Roman"/>
                <w:color w:val="auto"/>
                <w:sz w:val="24"/>
              </w:rPr>
              <w:t>噪声排放标准》（GB12523-2011）中限值要求。</w:t>
            </w:r>
          </w:p>
          <w:p>
            <w:pPr>
              <w:pStyle w:val="13"/>
              <w:spacing w:before="0" w:after="0" w:line="360" w:lineRule="auto"/>
              <w:ind w:right="0" w:firstLine="482" w:firstLineChars="200"/>
              <w:jc w:val="both"/>
              <w:rPr>
                <w:rFonts w:ascii="Times New Roman" w:hAnsi="Times New Roman"/>
                <w:b/>
                <w:color w:val="auto"/>
                <w:kern w:val="2"/>
                <w:sz w:val="24"/>
                <w:szCs w:val="24"/>
              </w:rPr>
            </w:pPr>
            <w:r>
              <w:rPr>
                <w:rFonts w:ascii="Times New Roman" w:hAnsi="Times New Roman"/>
                <w:b/>
                <w:color w:val="auto"/>
                <w:kern w:val="2"/>
                <w:sz w:val="24"/>
                <w:szCs w:val="24"/>
              </w:rPr>
              <w:t>5</w:t>
            </w:r>
            <w:r>
              <w:rPr>
                <w:rFonts w:hint="eastAsia" w:ascii="Times New Roman" w:hAnsi="Times New Roman"/>
                <w:b/>
                <w:color w:val="auto"/>
                <w:kern w:val="2"/>
                <w:sz w:val="24"/>
                <w:szCs w:val="24"/>
              </w:rPr>
              <w:t>．</w:t>
            </w:r>
            <w:r>
              <w:rPr>
                <w:rFonts w:ascii="Times New Roman" w:hAnsi="Times New Roman"/>
                <w:b/>
                <w:color w:val="auto"/>
                <w:kern w:val="2"/>
                <w:sz w:val="24"/>
                <w:szCs w:val="24"/>
              </w:rPr>
              <w:t>固体废物环境影响分析</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施工期不新建</w:t>
            </w:r>
            <w:r>
              <w:rPr>
                <w:rFonts w:hint="eastAsia" w:ascii="Times New Roman" w:hAnsi="Times New Roman"/>
                <w:color w:val="auto"/>
              </w:rPr>
              <w:t>施工</w:t>
            </w:r>
            <w:r>
              <w:rPr>
                <w:rFonts w:ascii="Times New Roman" w:hAnsi="Times New Roman"/>
                <w:color w:val="auto"/>
              </w:rPr>
              <w:t>营地，施工现场无生活垃圾产生；</w:t>
            </w:r>
            <w:r>
              <w:rPr>
                <w:rFonts w:ascii="Times New Roman" w:hAnsi="Times New Roman"/>
                <w:color w:val="auto"/>
                <w:lang w:val="zh-CN"/>
              </w:rPr>
              <w:t>施工过程中开挖的土石方全部回填，无弃方产生；</w:t>
            </w:r>
            <w:r>
              <w:rPr>
                <w:rFonts w:ascii="Times New Roman" w:hAnsi="Times New Roman"/>
                <w:color w:val="auto"/>
              </w:rPr>
              <w:t>固体废物主要为钻井岩屑、建筑垃圾（</w:t>
            </w:r>
            <w:r>
              <w:rPr>
                <w:rFonts w:ascii="Times New Roman" w:hAnsi="Times New Roman"/>
                <w:color w:val="auto"/>
                <w:lang w:val="zh-CN"/>
              </w:rPr>
              <w:t>少量的废边角料、废包装物等</w:t>
            </w:r>
            <w:r>
              <w:rPr>
                <w:rFonts w:ascii="Times New Roman" w:hAnsi="Times New Roman"/>
                <w:color w:val="auto"/>
              </w:rPr>
              <w:t>）及</w:t>
            </w:r>
            <w:r>
              <w:rPr>
                <w:rFonts w:ascii="Times New Roman" w:hAnsi="Times New Roman"/>
                <w:color w:val="auto"/>
                <w:kern w:val="0"/>
                <w:lang w:val="zh-CN"/>
              </w:rPr>
              <w:t>沾油废物、废机油</w:t>
            </w:r>
            <w:r>
              <w:rPr>
                <w:rFonts w:ascii="Times New Roman" w:hAnsi="Times New Roman"/>
                <w:color w:val="auto"/>
              </w:rPr>
              <w:t>。</w:t>
            </w:r>
          </w:p>
          <w:p>
            <w:pPr>
              <w:pStyle w:val="48"/>
              <w:numPr>
                <w:ilvl w:val="0"/>
                <w:numId w:val="8"/>
              </w:numPr>
              <w:adjustRightInd w:val="0"/>
              <w:snapToGrid w:val="0"/>
              <w:spacing w:line="360" w:lineRule="auto"/>
              <w:ind w:firstLine="480"/>
              <w:jc w:val="both"/>
              <w:rPr>
                <w:rFonts w:ascii="Times New Roman" w:hAnsi="Times New Roman"/>
                <w:color w:val="auto"/>
              </w:rPr>
            </w:pPr>
            <w:r>
              <w:rPr>
                <w:rFonts w:ascii="Times New Roman" w:hAnsi="Times New Roman"/>
                <w:color w:val="auto"/>
              </w:rPr>
              <w:t>施工期弃土弃渣</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本项目建设15</w:t>
            </w:r>
            <w:r>
              <w:rPr>
                <w:rFonts w:ascii="Times New Roman" w:hAnsi="Times New Roman" w:eastAsia="TimesNewRomanPSMT"/>
                <w:color w:val="auto"/>
                <w:sz w:val="24"/>
              </w:rPr>
              <w:t xml:space="preserve"> </w:t>
            </w:r>
            <w:r>
              <w:rPr>
                <w:rFonts w:ascii="Times New Roman" w:hAnsi="Times New Roman"/>
                <w:color w:val="auto"/>
                <w:sz w:val="24"/>
              </w:rPr>
              <w:t>座采油井场，预计本项目挖方量为10672</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，填方总量为16326</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w:t>
            </w:r>
            <w:r>
              <w:rPr>
                <w:rFonts w:hint="eastAsia" w:ascii="Times New Roman" w:hAnsi="Times New Roman"/>
                <w:bCs/>
                <w:color w:val="auto"/>
                <w:kern w:val="0"/>
                <w:sz w:val="24"/>
                <w:lang w:bidi="ar"/>
              </w:rPr>
              <w:t>本项目不设置砂石料取土场，</w:t>
            </w:r>
            <w:r>
              <w:rPr>
                <w:rFonts w:ascii="Times New Roman" w:hAnsi="Times New Roman"/>
                <w:bCs/>
                <w:color w:val="auto"/>
                <w:kern w:val="0"/>
                <w:sz w:val="24"/>
                <w:lang w:bidi="ar"/>
              </w:rPr>
              <w:t>外借土石方量（砂石料）12276m</w:t>
            </w:r>
            <w:r>
              <w:rPr>
                <w:rFonts w:ascii="Times New Roman" w:hAnsi="Times New Roman"/>
                <w:bCs/>
                <w:color w:val="auto"/>
                <w:kern w:val="0"/>
                <w:sz w:val="24"/>
                <w:vertAlign w:val="superscript"/>
                <w:lang w:bidi="ar"/>
              </w:rPr>
              <w:t>3</w:t>
            </w:r>
            <w:r>
              <w:rPr>
                <w:rFonts w:ascii="Times New Roman" w:hAnsi="Times New Roman"/>
                <w:bCs/>
                <w:color w:val="auto"/>
                <w:kern w:val="0"/>
                <w:sz w:val="24"/>
                <w:lang w:bidi="ar"/>
              </w:rPr>
              <w:t>均</w:t>
            </w:r>
            <w:r>
              <w:rPr>
                <w:rFonts w:hint="eastAsia" w:ascii="Times New Roman" w:hAnsi="Times New Roman"/>
                <w:bCs/>
                <w:color w:val="auto"/>
                <w:kern w:val="0"/>
                <w:sz w:val="24"/>
                <w:lang w:bidi="ar"/>
              </w:rPr>
              <w:t>来自于</w:t>
            </w:r>
            <w:r>
              <w:rPr>
                <w:rFonts w:ascii="Times New Roman" w:hAnsi="Times New Roman"/>
                <w:bCs/>
                <w:color w:val="auto"/>
                <w:kern w:val="0"/>
                <w:sz w:val="24"/>
                <w:lang w:bidi="ar"/>
              </w:rPr>
              <w:t>外购，</w:t>
            </w:r>
            <w:r>
              <w:rPr>
                <w:rFonts w:ascii="Times New Roman" w:hAnsi="Times New Roman"/>
                <w:bCs/>
                <w:color w:val="auto"/>
                <w:sz w:val="24"/>
              </w:rPr>
              <w:t>6</w:t>
            </w:r>
            <w:r>
              <w:rPr>
                <w:rFonts w:ascii="Times New Roman" w:hAnsi="Times New Roman"/>
                <w:color w:val="auto"/>
                <w:sz w:val="24"/>
              </w:rPr>
              <w:t>622</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表层土回填周边农田，无废弃土方量。管线施工结束后施工土方回填在管堤上，井场及道路施工过程产生的土方回填至挖方处或回填至周边农田，并实施压实平整水土保持措施。</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本项目土石方平衡表见下表</w:t>
            </w:r>
            <w:r>
              <w:rPr>
                <w:rFonts w:ascii="Times New Roman" w:hAnsi="Times New Roman" w:eastAsia="TimesNewRomanPSMT"/>
                <w:color w:val="auto"/>
                <w:sz w:val="24"/>
              </w:rPr>
              <w:t>4-2</w:t>
            </w:r>
            <w:r>
              <w:rPr>
                <w:rFonts w:ascii="Times New Roman" w:hAnsi="Times New Roman"/>
                <w:color w:val="auto"/>
                <w:sz w:val="24"/>
              </w:rPr>
              <w:t>。</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计算过程：</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fldChar w:fldCharType="begin"/>
            </w:r>
            <w:r>
              <w:rPr>
                <w:rFonts w:ascii="Times New Roman" w:hAnsi="Times New Roman"/>
                <w:color w:val="auto"/>
              </w:rPr>
              <w:instrText xml:space="preserve"> = 1 \* GB3 \* MERGEFORMAT </w:instrText>
            </w:r>
            <w:r>
              <w:rPr>
                <w:rFonts w:ascii="Times New Roman" w:hAnsi="Times New Roman"/>
                <w:color w:val="auto"/>
              </w:rPr>
              <w:fldChar w:fldCharType="separate"/>
            </w:r>
            <w:r>
              <w:rPr>
                <w:rFonts w:ascii="Times New Roman" w:hAnsi="Times New Roman"/>
                <w:color w:val="auto"/>
              </w:rPr>
              <w:t>①</w:t>
            </w:r>
            <w:r>
              <w:rPr>
                <w:rFonts w:ascii="Times New Roman" w:hAnsi="Times New Roman"/>
                <w:color w:val="auto"/>
              </w:rPr>
              <w:fldChar w:fldCharType="end"/>
            </w:r>
            <w:r>
              <w:rPr>
                <w:rFonts w:ascii="Times New Roman" w:hAnsi="Times New Roman"/>
                <w:color w:val="auto"/>
              </w:rPr>
              <w:t>井场</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项目区为平原，地势平坦，地形高差小，项目区井场永久占地为16920</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2</w:t>
            </w:r>
            <w:r>
              <w:rPr>
                <w:rFonts w:ascii="Times New Roman" w:hAnsi="Times New Roman"/>
                <w:color w:val="auto"/>
                <w:sz w:val="24"/>
              </w:rPr>
              <w:t>，井场范围内的耕作土层约35cm全部挖出，</w:t>
            </w:r>
            <w:r>
              <w:rPr>
                <w:rFonts w:hint="eastAsia" w:ascii="Times New Roman" w:hAnsi="Times New Roman"/>
                <w:color w:val="auto"/>
                <w:sz w:val="24"/>
              </w:rPr>
              <w:t>表土剥离</w:t>
            </w:r>
            <w:r>
              <w:rPr>
                <w:rFonts w:ascii="Times New Roman" w:hAnsi="Times New Roman"/>
                <w:color w:val="auto"/>
                <w:sz w:val="24"/>
              </w:rPr>
              <w:t>移至周边农田或荒地加以利用</w:t>
            </w:r>
            <w:r>
              <w:rPr>
                <w:rFonts w:hint="eastAsia" w:ascii="Times New Roman" w:hAnsi="Times New Roman"/>
                <w:color w:val="auto"/>
                <w:sz w:val="24"/>
              </w:rPr>
              <w:t>，</w:t>
            </w:r>
            <w:r>
              <w:rPr>
                <w:rFonts w:ascii="Times New Roman" w:hAnsi="Times New Roman"/>
                <w:color w:val="auto"/>
                <w:sz w:val="24"/>
              </w:rPr>
              <w:t>开挖量为</w:t>
            </w:r>
            <w:r>
              <w:rPr>
                <w:rFonts w:hint="eastAsia" w:ascii="Times New Roman" w:hAnsi="Times New Roman"/>
                <w:color w:val="auto"/>
                <w:sz w:val="24"/>
              </w:rPr>
              <w:t>5922</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，全部回填</w:t>
            </w:r>
            <w:r>
              <w:rPr>
                <w:rFonts w:hint="eastAsia" w:ascii="Times New Roman" w:hAnsi="Times New Roman"/>
                <w:color w:val="auto"/>
                <w:sz w:val="24"/>
              </w:rPr>
              <w:t>；</w:t>
            </w:r>
            <w:r>
              <w:rPr>
                <w:rFonts w:ascii="Times New Roman" w:hAnsi="Times New Roman"/>
                <w:color w:val="auto"/>
                <w:sz w:val="24"/>
              </w:rPr>
              <w:t>根据地势，</w:t>
            </w:r>
            <w:r>
              <w:rPr>
                <w:rFonts w:hint="eastAsia" w:ascii="宋体" w:hAnsi="宋体"/>
                <w:color w:val="auto"/>
                <w:sz w:val="24"/>
              </w:rPr>
              <w:t>场平高度</w:t>
            </w:r>
            <w:r>
              <w:rPr>
                <w:rFonts w:ascii="Times New Roman" w:hAnsi="Times New Roman"/>
                <w:color w:val="auto"/>
                <w:sz w:val="24"/>
              </w:rPr>
              <w:t>为</w:t>
            </w:r>
            <w:r>
              <w:rPr>
                <w:rFonts w:ascii="Times New Roman" w:hAnsi="Times New Roman" w:eastAsia="TimesNewRomanPSMT"/>
                <w:color w:val="auto"/>
                <w:sz w:val="24"/>
              </w:rPr>
              <w:t>0.</w:t>
            </w:r>
            <w:r>
              <w:rPr>
                <w:rFonts w:hint="eastAsia" w:ascii="Times New Roman" w:hAnsi="Times New Roman"/>
                <w:color w:val="auto"/>
                <w:sz w:val="24"/>
              </w:rPr>
              <w:t>3</w:t>
            </w:r>
            <w:r>
              <w:rPr>
                <w:rFonts w:ascii="Times New Roman" w:hAnsi="Times New Roman" w:eastAsia="TimesNewRomanPSMT"/>
                <w:color w:val="auto"/>
                <w:sz w:val="24"/>
              </w:rPr>
              <w:t>m</w:t>
            </w:r>
            <w:r>
              <w:rPr>
                <w:rFonts w:ascii="Times New Roman" w:hAnsi="Times New Roman"/>
                <w:color w:val="auto"/>
                <w:sz w:val="24"/>
              </w:rPr>
              <w:t>，填方量为</w:t>
            </w:r>
            <w:r>
              <w:rPr>
                <w:rFonts w:hint="eastAsia" w:ascii="Times New Roman" w:hAnsi="Times New Roman"/>
                <w:color w:val="auto"/>
                <w:sz w:val="24"/>
              </w:rPr>
              <w:t>5076</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hint="eastAsia" w:ascii="Times New Roman" w:hAnsi="Times New Roman"/>
                <w:color w:val="auto"/>
                <w:sz w:val="24"/>
              </w:rPr>
              <w:t>。</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2 \* GB3 \* MERGEFORMAT </w:instrText>
            </w:r>
            <w:r>
              <w:rPr>
                <w:rFonts w:ascii="Times New Roman" w:hAnsi="Times New Roman"/>
                <w:color w:val="auto"/>
                <w:sz w:val="24"/>
              </w:rPr>
              <w:fldChar w:fldCharType="separate"/>
            </w:r>
            <w:r>
              <w:rPr>
                <w:rFonts w:ascii="Times New Roman" w:hAnsi="Times New Roman"/>
                <w:color w:val="auto"/>
                <w:sz w:val="24"/>
              </w:rPr>
              <w:t>②</w:t>
            </w:r>
            <w:r>
              <w:rPr>
                <w:rFonts w:ascii="Times New Roman" w:hAnsi="Times New Roman"/>
                <w:color w:val="auto"/>
                <w:sz w:val="24"/>
              </w:rPr>
              <w:fldChar w:fldCharType="end"/>
            </w:r>
            <w:r>
              <w:rPr>
                <w:rFonts w:ascii="Times New Roman" w:hAnsi="Times New Roman"/>
                <w:color w:val="auto"/>
                <w:sz w:val="24"/>
              </w:rPr>
              <w:t>管线</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单井集油管线长1.5</w:t>
            </w:r>
            <w:r>
              <w:rPr>
                <w:rFonts w:ascii="Times New Roman" w:hAnsi="Times New Roman" w:eastAsia="TimesNewRomanPSMT"/>
                <w:color w:val="auto"/>
                <w:sz w:val="24"/>
              </w:rPr>
              <w:t>km</w:t>
            </w:r>
            <w:r>
              <w:rPr>
                <w:rFonts w:ascii="Times New Roman" w:hAnsi="Times New Roman"/>
                <w:color w:val="auto"/>
                <w:sz w:val="24"/>
              </w:rPr>
              <w:t>，开挖宽度</w:t>
            </w:r>
            <w:r>
              <w:rPr>
                <w:rFonts w:ascii="Times New Roman" w:hAnsi="Times New Roman" w:eastAsia="TimesNewRomanPSMT"/>
                <w:color w:val="auto"/>
                <w:sz w:val="24"/>
              </w:rPr>
              <w:t>1.5m</w:t>
            </w:r>
            <w:r>
              <w:rPr>
                <w:rFonts w:ascii="Times New Roman" w:hAnsi="Times New Roman"/>
                <w:color w:val="auto"/>
                <w:sz w:val="24"/>
              </w:rPr>
              <w:t>、开挖深度</w:t>
            </w:r>
            <w:r>
              <w:rPr>
                <w:rFonts w:ascii="Times New Roman" w:hAnsi="Times New Roman" w:eastAsia="TimesNewRomanPSMT"/>
                <w:color w:val="auto"/>
                <w:sz w:val="24"/>
              </w:rPr>
              <w:t>1.8m</w:t>
            </w:r>
            <w:r>
              <w:rPr>
                <w:rFonts w:ascii="Times New Roman" w:hAnsi="Times New Roman"/>
                <w:color w:val="auto"/>
                <w:sz w:val="24"/>
              </w:rPr>
              <w:t>，挖方量4050</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。因单井集输管线管径为Φ73×5.5，管径较小，回填土方经压实后覆盖在管线上方，无弃方量。</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fldChar w:fldCharType="begin"/>
            </w:r>
            <w:r>
              <w:rPr>
                <w:rFonts w:ascii="Times New Roman" w:hAnsi="Times New Roman"/>
                <w:color w:val="auto"/>
                <w:sz w:val="24"/>
              </w:rPr>
              <w:instrText xml:space="preserve"> = 3 \* GB3 \* MERGEFORMAT </w:instrText>
            </w:r>
            <w:r>
              <w:rPr>
                <w:rFonts w:ascii="Times New Roman" w:hAnsi="Times New Roman"/>
                <w:color w:val="auto"/>
                <w:sz w:val="24"/>
              </w:rPr>
              <w:fldChar w:fldCharType="separate"/>
            </w:r>
            <w:r>
              <w:rPr>
                <w:rFonts w:ascii="Times New Roman" w:hAnsi="Times New Roman"/>
                <w:color w:val="auto"/>
                <w:sz w:val="24"/>
              </w:rPr>
              <w:t>③</w:t>
            </w:r>
            <w:r>
              <w:rPr>
                <w:rFonts w:ascii="Times New Roman" w:hAnsi="Times New Roman"/>
                <w:color w:val="auto"/>
                <w:sz w:val="24"/>
              </w:rPr>
              <w:fldChar w:fldCharType="end"/>
            </w:r>
            <w:r>
              <w:rPr>
                <w:rFonts w:ascii="Times New Roman" w:hAnsi="Times New Roman"/>
                <w:color w:val="auto"/>
                <w:sz w:val="24"/>
              </w:rPr>
              <w:t>道路</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根据可研，新建</w:t>
            </w:r>
            <w:r>
              <w:rPr>
                <w:rFonts w:hint="eastAsia" w:ascii="Times New Roman" w:hAnsi="Times New Roman"/>
                <w:color w:val="auto"/>
                <w:sz w:val="24"/>
              </w:rPr>
              <w:t>井场</w:t>
            </w:r>
            <w:r>
              <w:rPr>
                <w:rFonts w:ascii="Times New Roman" w:hAnsi="Times New Roman"/>
                <w:color w:val="auto"/>
                <w:sz w:val="24"/>
              </w:rPr>
              <w:t>道路长</w:t>
            </w:r>
            <w:r>
              <w:rPr>
                <w:rFonts w:hint="eastAsia" w:ascii="Times New Roman" w:hAnsi="Times New Roman"/>
                <w:color w:val="auto"/>
                <w:sz w:val="24"/>
              </w:rPr>
              <w:t>2</w:t>
            </w:r>
            <w:r>
              <w:rPr>
                <w:rFonts w:ascii="Times New Roman" w:hAnsi="Times New Roman" w:eastAsia="TimesNewRomanPSMT"/>
                <w:color w:val="auto"/>
                <w:sz w:val="24"/>
              </w:rPr>
              <w:t>km</w:t>
            </w:r>
            <w:r>
              <w:rPr>
                <w:rFonts w:ascii="Times New Roman" w:hAnsi="Times New Roman"/>
                <w:color w:val="auto"/>
                <w:sz w:val="24"/>
              </w:rPr>
              <w:t>、宽</w:t>
            </w:r>
            <w:r>
              <w:rPr>
                <w:rFonts w:hint="eastAsia" w:ascii="Times New Roman" w:hAnsi="Times New Roman"/>
                <w:color w:val="auto"/>
                <w:sz w:val="24"/>
              </w:rPr>
              <w:t>6</w:t>
            </w:r>
            <w:r>
              <w:rPr>
                <w:rFonts w:ascii="Times New Roman" w:hAnsi="Times New Roman" w:eastAsia="TimesNewRomanPSMT"/>
                <w:color w:val="auto"/>
                <w:sz w:val="24"/>
              </w:rPr>
              <w:t>m</w:t>
            </w:r>
            <w:r>
              <w:rPr>
                <w:rFonts w:ascii="Times New Roman" w:hAnsi="Times New Roman"/>
                <w:color w:val="auto"/>
                <w:sz w:val="24"/>
              </w:rPr>
              <w:t>，耕作土层约35cm全部挖出</w:t>
            </w:r>
            <w:r>
              <w:rPr>
                <w:rFonts w:hint="eastAsia" w:ascii="Times New Roman" w:hAnsi="Times New Roman"/>
                <w:color w:val="auto"/>
                <w:sz w:val="24"/>
              </w:rPr>
              <w:t>，表土层换填</w:t>
            </w:r>
            <w:r>
              <w:rPr>
                <w:rFonts w:ascii="Times New Roman" w:hAnsi="Times New Roman"/>
                <w:color w:val="auto"/>
                <w:sz w:val="24"/>
              </w:rPr>
              <w:t>砂砾石填方高度为</w:t>
            </w:r>
            <w:r>
              <w:rPr>
                <w:rFonts w:ascii="Times New Roman" w:hAnsi="Times New Roman" w:eastAsia="TimesNewRomanPSMT"/>
                <w:color w:val="auto"/>
                <w:sz w:val="24"/>
              </w:rPr>
              <w:t>0.6m</w:t>
            </w:r>
            <w:r>
              <w:rPr>
                <w:rFonts w:ascii="Times New Roman" w:hAnsi="Times New Roman"/>
                <w:color w:val="auto"/>
                <w:sz w:val="24"/>
              </w:rPr>
              <w:t>，填方量</w:t>
            </w:r>
            <w:r>
              <w:rPr>
                <w:rFonts w:hint="eastAsia" w:ascii="Times New Roman" w:hAnsi="Times New Roman"/>
                <w:color w:val="auto"/>
                <w:sz w:val="24"/>
              </w:rPr>
              <w:t>7200</w:t>
            </w:r>
            <w:r>
              <w:rPr>
                <w:rFonts w:ascii="Times New Roman" w:hAnsi="Times New Roman" w:eastAsia="TimesNewRomanPSMT"/>
                <w:color w:val="auto"/>
                <w:sz w:val="24"/>
              </w:rPr>
              <w:t>m</w:t>
            </w:r>
            <w:r>
              <w:rPr>
                <w:rFonts w:ascii="Times New Roman" w:hAnsi="Times New Roman" w:eastAsia="TimesNewRomanPSMT"/>
                <w:color w:val="auto"/>
                <w:sz w:val="24"/>
                <w:vertAlign w:val="superscript"/>
              </w:rPr>
              <w:t>3</w:t>
            </w:r>
            <w:r>
              <w:rPr>
                <w:rFonts w:ascii="Times New Roman" w:hAnsi="Times New Roman"/>
                <w:color w:val="auto"/>
                <w:sz w:val="24"/>
              </w:rPr>
              <w:t>。</w:t>
            </w:r>
          </w:p>
          <w:p>
            <w:pPr>
              <w:ind w:firstLine="422" w:firstLineChars="200"/>
              <w:jc w:val="center"/>
              <w:rPr>
                <w:rFonts w:ascii="Times New Roman" w:hAnsi="Times New Roman"/>
                <w:b/>
                <w:bCs/>
                <w:color w:val="auto"/>
                <w:vertAlign w:val="superscript"/>
              </w:rPr>
            </w:pPr>
            <w:r>
              <w:rPr>
                <w:rFonts w:hint="eastAsia"/>
                <w:b/>
                <w:bCs/>
                <w:color w:val="auto"/>
              </w:rPr>
              <w:t xml:space="preserve"> </w:t>
            </w:r>
            <w:r>
              <w:rPr>
                <w:rFonts w:ascii="Times New Roman" w:hAnsi="Times New Roman"/>
                <w:b/>
                <w:bCs/>
                <w:color w:val="auto"/>
              </w:rPr>
              <w:t>表4-2</w:t>
            </w:r>
            <w:r>
              <w:rPr>
                <w:rFonts w:hint="eastAsia"/>
                <w:b/>
                <w:bCs/>
                <w:color w:val="auto"/>
              </w:rPr>
              <w:t xml:space="preserve">   工程土石方平衡表   单位：</w:t>
            </w:r>
            <w:r>
              <w:rPr>
                <w:rFonts w:ascii="Times New Roman" w:hAnsi="Times New Roman"/>
                <w:b/>
                <w:bCs/>
                <w:color w:val="auto"/>
              </w:rPr>
              <w:t>m</w:t>
            </w:r>
            <w:r>
              <w:rPr>
                <w:rFonts w:ascii="Times New Roman" w:hAnsi="Times New Roman"/>
                <w:b/>
                <w:bCs/>
                <w:color w:val="auto"/>
                <w:vertAlign w:val="superscript"/>
              </w:rPr>
              <w:t>3</w:t>
            </w:r>
          </w:p>
          <w:tbl>
            <w:tblPr>
              <w:tblStyle w:val="3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97"/>
              <w:gridCol w:w="1296"/>
              <w:gridCol w:w="1144"/>
              <w:gridCol w:w="1324"/>
              <w:gridCol w:w="1113"/>
              <w:gridCol w:w="1009"/>
              <w:gridCol w:w="11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vMerge w:val="restart"/>
                  <w:vAlign w:val="center"/>
                </w:tcPr>
                <w:p>
                  <w:pPr>
                    <w:jc w:val="center"/>
                    <w:rPr>
                      <w:rFonts w:ascii="Times New Roman" w:hAnsi="Times New Roman"/>
                      <w:color w:val="auto"/>
                    </w:rPr>
                  </w:pPr>
                  <w:r>
                    <w:rPr>
                      <w:rFonts w:hint="eastAsia" w:ascii="Times New Roman" w:hAnsi="Times New Roman"/>
                      <w:color w:val="auto"/>
                    </w:rPr>
                    <w:t>序号</w:t>
                  </w:r>
                </w:p>
              </w:tc>
              <w:tc>
                <w:tcPr>
                  <w:tcW w:w="1219" w:type="pct"/>
                  <w:gridSpan w:val="2"/>
                  <w:vMerge w:val="restart"/>
                  <w:vAlign w:val="center"/>
                </w:tcPr>
                <w:p>
                  <w:pPr>
                    <w:jc w:val="center"/>
                    <w:rPr>
                      <w:rFonts w:ascii="Times New Roman" w:hAnsi="Times New Roman"/>
                      <w:color w:val="auto"/>
                    </w:rPr>
                  </w:pPr>
                  <w:r>
                    <w:rPr>
                      <w:rFonts w:hint="eastAsia" w:ascii="Times New Roman" w:hAnsi="Times New Roman"/>
                      <w:color w:val="auto"/>
                    </w:rPr>
                    <w:t>分区或分段</w:t>
                  </w:r>
                </w:p>
              </w:tc>
              <w:tc>
                <w:tcPr>
                  <w:tcW w:w="3520" w:type="pct"/>
                  <w:gridSpan w:val="5"/>
                  <w:vAlign w:val="center"/>
                </w:tcPr>
                <w:p>
                  <w:pPr>
                    <w:jc w:val="center"/>
                    <w:rPr>
                      <w:rFonts w:ascii="Times New Roman" w:hAnsi="Times New Roman"/>
                      <w:color w:val="auto"/>
                    </w:rPr>
                  </w:pPr>
                  <w:r>
                    <w:rPr>
                      <w:rFonts w:hint="eastAsia" w:ascii="Times New Roman" w:hAnsi="Times New Roman"/>
                      <w:color w:val="auto"/>
                    </w:rPr>
                    <w:t>土方量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59" w:type="pct"/>
                  <w:vMerge w:val="continue"/>
                  <w:vAlign w:val="center"/>
                </w:tcPr>
                <w:p>
                  <w:pPr>
                    <w:jc w:val="center"/>
                    <w:rPr>
                      <w:rFonts w:ascii="Times New Roman" w:hAnsi="Times New Roman"/>
                      <w:color w:val="auto"/>
                    </w:rPr>
                  </w:pPr>
                </w:p>
              </w:tc>
              <w:tc>
                <w:tcPr>
                  <w:tcW w:w="1219" w:type="pct"/>
                  <w:gridSpan w:val="2"/>
                  <w:vMerge w:val="continue"/>
                  <w:vAlign w:val="center"/>
                </w:tcPr>
                <w:p>
                  <w:pPr>
                    <w:jc w:val="center"/>
                    <w:rPr>
                      <w:rFonts w:ascii="Times New Roman" w:hAnsi="Times New Roman"/>
                      <w:color w:val="auto"/>
                    </w:rPr>
                  </w:pPr>
                </w:p>
              </w:tc>
              <w:tc>
                <w:tcPr>
                  <w:tcW w:w="700" w:type="pct"/>
                  <w:vMerge w:val="restart"/>
                  <w:vAlign w:val="center"/>
                </w:tcPr>
                <w:p>
                  <w:pPr>
                    <w:jc w:val="center"/>
                    <w:rPr>
                      <w:rFonts w:ascii="Times New Roman" w:hAnsi="Times New Roman"/>
                      <w:color w:val="auto"/>
                    </w:rPr>
                  </w:pPr>
                  <w:r>
                    <w:rPr>
                      <w:rFonts w:hint="eastAsia" w:ascii="Times New Roman" w:hAnsi="Times New Roman"/>
                      <w:color w:val="auto"/>
                    </w:rPr>
                    <w:t>挖方量</w:t>
                  </w:r>
                </w:p>
              </w:tc>
              <w:tc>
                <w:tcPr>
                  <w:tcW w:w="810" w:type="pct"/>
                  <w:vMerge w:val="restart"/>
                  <w:vAlign w:val="center"/>
                </w:tcPr>
                <w:p>
                  <w:pPr>
                    <w:jc w:val="center"/>
                    <w:rPr>
                      <w:rFonts w:ascii="Times New Roman" w:hAnsi="Times New Roman"/>
                      <w:color w:val="auto"/>
                    </w:rPr>
                  </w:pPr>
                  <w:r>
                    <w:rPr>
                      <w:rFonts w:hint="eastAsia" w:ascii="Times New Roman" w:hAnsi="Times New Roman"/>
                      <w:color w:val="auto"/>
                    </w:rPr>
                    <w:t>填方量</w:t>
                  </w:r>
                </w:p>
              </w:tc>
              <w:tc>
                <w:tcPr>
                  <w:tcW w:w="681" w:type="pct"/>
                  <w:vMerge w:val="restart"/>
                  <w:vAlign w:val="center"/>
                </w:tcPr>
                <w:p>
                  <w:pPr>
                    <w:jc w:val="center"/>
                    <w:rPr>
                      <w:rFonts w:ascii="Times New Roman" w:hAnsi="Times New Roman"/>
                      <w:color w:val="auto"/>
                    </w:rPr>
                  </w:pPr>
                  <w:r>
                    <w:rPr>
                      <w:rFonts w:hint="eastAsia" w:ascii="Times New Roman" w:hAnsi="Times New Roman"/>
                      <w:color w:val="auto"/>
                    </w:rPr>
                    <w:t>借方量</w:t>
                  </w:r>
                </w:p>
              </w:tc>
              <w:tc>
                <w:tcPr>
                  <w:tcW w:w="1328" w:type="pct"/>
                  <w:gridSpan w:val="2"/>
                  <w:vAlign w:val="center"/>
                </w:tcPr>
                <w:p>
                  <w:pPr>
                    <w:jc w:val="center"/>
                    <w:rPr>
                      <w:rFonts w:ascii="Times New Roman" w:hAnsi="Times New Roman"/>
                      <w:color w:val="auto"/>
                    </w:rPr>
                  </w:pPr>
                  <w:r>
                    <w:rPr>
                      <w:rFonts w:hint="eastAsia" w:ascii="Times New Roman" w:hAnsi="Times New Roman"/>
                      <w:color w:val="auto"/>
                    </w:rPr>
                    <w:t>弃方量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59" w:type="pct"/>
                  <w:vMerge w:val="continue"/>
                  <w:vAlign w:val="center"/>
                </w:tcPr>
                <w:p>
                  <w:pPr>
                    <w:jc w:val="center"/>
                    <w:rPr>
                      <w:color w:val="auto"/>
                    </w:rPr>
                  </w:pPr>
                </w:p>
              </w:tc>
              <w:tc>
                <w:tcPr>
                  <w:tcW w:w="1219" w:type="pct"/>
                  <w:gridSpan w:val="2"/>
                  <w:vMerge w:val="continue"/>
                  <w:vAlign w:val="center"/>
                </w:tcPr>
                <w:p>
                  <w:pPr>
                    <w:jc w:val="center"/>
                    <w:rPr>
                      <w:color w:val="auto"/>
                    </w:rPr>
                  </w:pPr>
                </w:p>
              </w:tc>
              <w:tc>
                <w:tcPr>
                  <w:tcW w:w="700" w:type="pct"/>
                  <w:vMerge w:val="continue"/>
                  <w:vAlign w:val="center"/>
                </w:tcPr>
                <w:p>
                  <w:pPr>
                    <w:jc w:val="center"/>
                    <w:rPr>
                      <w:rFonts w:ascii="Times New Roman" w:hAnsi="Times New Roman"/>
                      <w:color w:val="auto"/>
                    </w:rPr>
                  </w:pPr>
                </w:p>
              </w:tc>
              <w:tc>
                <w:tcPr>
                  <w:tcW w:w="810" w:type="pct"/>
                  <w:vMerge w:val="continue"/>
                  <w:vAlign w:val="center"/>
                </w:tcPr>
                <w:p>
                  <w:pPr>
                    <w:jc w:val="center"/>
                    <w:rPr>
                      <w:rFonts w:ascii="Times New Roman" w:hAnsi="Times New Roman"/>
                      <w:color w:val="auto"/>
                    </w:rPr>
                  </w:pPr>
                </w:p>
              </w:tc>
              <w:tc>
                <w:tcPr>
                  <w:tcW w:w="681" w:type="pct"/>
                  <w:vMerge w:val="continue"/>
                  <w:vAlign w:val="center"/>
                </w:tcPr>
                <w:p>
                  <w:pPr>
                    <w:jc w:val="center"/>
                    <w:rPr>
                      <w:rFonts w:ascii="Times New Roman" w:hAnsi="Times New Roman"/>
                      <w:color w:val="auto"/>
                    </w:rPr>
                  </w:pPr>
                </w:p>
              </w:tc>
              <w:tc>
                <w:tcPr>
                  <w:tcW w:w="617" w:type="pct"/>
                  <w:vAlign w:val="center"/>
                </w:tcPr>
                <w:p>
                  <w:pPr>
                    <w:jc w:val="center"/>
                    <w:rPr>
                      <w:rFonts w:ascii="Times New Roman" w:hAnsi="Times New Roman"/>
                      <w:color w:val="auto"/>
                    </w:rPr>
                  </w:pPr>
                  <w:r>
                    <w:rPr>
                      <w:rFonts w:hint="eastAsia" w:ascii="Times New Roman" w:hAnsi="Times New Roman"/>
                      <w:color w:val="auto"/>
                    </w:rPr>
                    <w:t>数量</w:t>
                  </w:r>
                </w:p>
              </w:tc>
              <w:tc>
                <w:tcPr>
                  <w:tcW w:w="711" w:type="pct"/>
                  <w:vAlign w:val="center"/>
                </w:tcPr>
                <w:p>
                  <w:pPr>
                    <w:jc w:val="center"/>
                    <w:rPr>
                      <w:rFonts w:ascii="Times New Roman" w:hAnsi="Times New Roman"/>
                      <w:color w:val="auto"/>
                    </w:rPr>
                  </w:pPr>
                  <w:r>
                    <w:rPr>
                      <w:rFonts w:hint="eastAsia" w:ascii="Times New Roman" w:hAnsi="Times New Roman"/>
                      <w:color w:val="auto"/>
                    </w:rPr>
                    <w:t>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59" w:type="pct"/>
                  <w:vMerge w:val="restart"/>
                  <w:vAlign w:val="center"/>
                </w:tcPr>
                <w:p>
                  <w:pPr>
                    <w:jc w:val="center"/>
                    <w:rPr>
                      <w:rFonts w:ascii="Times New Roman" w:hAnsi="Times New Roman"/>
                      <w:color w:val="auto"/>
                    </w:rPr>
                  </w:pPr>
                  <w:r>
                    <w:rPr>
                      <w:rFonts w:hint="eastAsia" w:ascii="Times New Roman" w:hAnsi="Times New Roman"/>
                      <w:color w:val="auto"/>
                    </w:rPr>
                    <w:t>1</w:t>
                  </w:r>
                </w:p>
              </w:tc>
              <w:tc>
                <w:tcPr>
                  <w:tcW w:w="427" w:type="pct"/>
                  <w:vMerge w:val="restart"/>
                  <w:vAlign w:val="center"/>
                </w:tcPr>
                <w:p>
                  <w:pPr>
                    <w:jc w:val="center"/>
                    <w:rPr>
                      <w:rFonts w:ascii="Times New Roman" w:hAnsi="Times New Roman"/>
                      <w:color w:val="auto"/>
                    </w:rPr>
                  </w:pPr>
                  <w:r>
                    <w:rPr>
                      <w:rFonts w:hint="eastAsia" w:ascii="Times New Roman" w:hAnsi="Times New Roman"/>
                      <w:color w:val="auto"/>
                    </w:rPr>
                    <w:t>井场</w:t>
                  </w:r>
                </w:p>
              </w:tc>
              <w:tc>
                <w:tcPr>
                  <w:tcW w:w="792" w:type="pct"/>
                  <w:vAlign w:val="center"/>
                </w:tcPr>
                <w:p>
                  <w:pPr>
                    <w:jc w:val="center"/>
                    <w:rPr>
                      <w:rFonts w:ascii="Times New Roman" w:hAnsi="Times New Roman"/>
                      <w:color w:val="auto"/>
                    </w:rPr>
                  </w:pPr>
                  <w:r>
                    <w:rPr>
                      <w:rFonts w:hint="eastAsia" w:ascii="Times New Roman" w:hAnsi="Times New Roman"/>
                      <w:color w:val="auto"/>
                    </w:rPr>
                    <w:t>表土剥离</w:t>
                  </w:r>
                </w:p>
              </w:tc>
              <w:tc>
                <w:tcPr>
                  <w:tcW w:w="700" w:type="pct"/>
                  <w:vAlign w:val="center"/>
                </w:tcPr>
                <w:p>
                  <w:pPr>
                    <w:jc w:val="center"/>
                    <w:rPr>
                      <w:rFonts w:ascii="Times New Roman" w:hAnsi="Times New Roman"/>
                      <w:color w:val="auto"/>
                    </w:rPr>
                  </w:pPr>
                  <w:r>
                    <w:rPr>
                      <w:rFonts w:hint="eastAsia" w:ascii="Times New Roman" w:hAnsi="Times New Roman"/>
                      <w:color w:val="auto"/>
                    </w:rPr>
                    <w:t>5922</w:t>
                  </w:r>
                </w:p>
              </w:tc>
              <w:tc>
                <w:tcPr>
                  <w:tcW w:w="810" w:type="pct"/>
                  <w:vAlign w:val="center"/>
                </w:tcPr>
                <w:p>
                  <w:pPr>
                    <w:jc w:val="center"/>
                    <w:rPr>
                      <w:rFonts w:ascii="Times New Roman" w:hAnsi="Times New Roman"/>
                      <w:color w:val="auto"/>
                    </w:rPr>
                  </w:pPr>
                  <w:r>
                    <w:rPr>
                      <w:rFonts w:hint="eastAsia" w:ascii="Times New Roman" w:hAnsi="Times New Roman"/>
                      <w:color w:val="auto"/>
                    </w:rPr>
                    <w:t>0</w:t>
                  </w:r>
                </w:p>
              </w:tc>
              <w:tc>
                <w:tcPr>
                  <w:tcW w:w="681" w:type="pct"/>
                  <w:vAlign w:val="center"/>
                </w:tcPr>
                <w:p>
                  <w:pPr>
                    <w:jc w:val="center"/>
                    <w:rPr>
                      <w:rFonts w:ascii="Times New Roman" w:hAnsi="Times New Roman"/>
                      <w:color w:val="auto"/>
                    </w:rPr>
                  </w:pPr>
                  <w:r>
                    <w:rPr>
                      <w:rFonts w:hint="eastAsia" w:ascii="Times New Roman" w:hAnsi="Times New Roman"/>
                      <w:color w:val="auto"/>
                    </w:rPr>
                    <w:t>0</w:t>
                  </w:r>
                </w:p>
              </w:tc>
              <w:tc>
                <w:tcPr>
                  <w:tcW w:w="617" w:type="pct"/>
                  <w:vAlign w:val="center"/>
                </w:tcPr>
                <w:p>
                  <w:pPr>
                    <w:jc w:val="center"/>
                    <w:rPr>
                      <w:rFonts w:ascii="Times New Roman" w:hAnsi="Times New Roman"/>
                      <w:color w:val="auto"/>
                    </w:rPr>
                  </w:pPr>
                  <w:r>
                    <w:rPr>
                      <w:rFonts w:hint="eastAsia" w:ascii="Times New Roman" w:hAnsi="Times New Roman"/>
                      <w:color w:val="auto"/>
                    </w:rPr>
                    <w:t>5922</w:t>
                  </w:r>
                </w:p>
              </w:tc>
              <w:tc>
                <w:tcPr>
                  <w:tcW w:w="711" w:type="pct"/>
                  <w:vAlign w:val="center"/>
                </w:tcPr>
                <w:p>
                  <w:pPr>
                    <w:jc w:val="center"/>
                    <w:rPr>
                      <w:rFonts w:ascii="Times New Roman" w:hAnsi="Times New Roman"/>
                      <w:color w:val="auto"/>
                    </w:rPr>
                  </w:pPr>
                  <w:r>
                    <w:rPr>
                      <w:rFonts w:hint="eastAsia" w:ascii="Times New Roman" w:hAnsi="Times New Roman"/>
                      <w:color w:val="auto"/>
                    </w:rPr>
                    <w:t>周边农田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59" w:type="pct"/>
                  <w:vMerge w:val="continue"/>
                  <w:vAlign w:val="center"/>
                </w:tcPr>
                <w:p>
                  <w:pPr>
                    <w:jc w:val="center"/>
                    <w:rPr>
                      <w:color w:val="auto"/>
                    </w:rPr>
                  </w:pPr>
                </w:p>
              </w:tc>
              <w:tc>
                <w:tcPr>
                  <w:tcW w:w="427" w:type="pct"/>
                  <w:vMerge w:val="continue"/>
                  <w:vAlign w:val="center"/>
                </w:tcPr>
                <w:p>
                  <w:pPr>
                    <w:jc w:val="center"/>
                    <w:rPr>
                      <w:color w:val="auto"/>
                    </w:rPr>
                  </w:pPr>
                </w:p>
              </w:tc>
              <w:tc>
                <w:tcPr>
                  <w:tcW w:w="792" w:type="pct"/>
                  <w:vAlign w:val="center"/>
                </w:tcPr>
                <w:p>
                  <w:pPr>
                    <w:jc w:val="center"/>
                    <w:rPr>
                      <w:rFonts w:ascii="Times New Roman" w:hAnsi="Times New Roman"/>
                      <w:color w:val="auto"/>
                    </w:rPr>
                  </w:pPr>
                  <w:r>
                    <w:rPr>
                      <w:rFonts w:hint="eastAsia" w:ascii="Times New Roman" w:hAnsi="Times New Roman"/>
                      <w:color w:val="auto"/>
                    </w:rPr>
                    <w:t>场地平整</w:t>
                  </w:r>
                </w:p>
              </w:tc>
              <w:tc>
                <w:tcPr>
                  <w:tcW w:w="700" w:type="pct"/>
                  <w:vAlign w:val="center"/>
                </w:tcPr>
                <w:p>
                  <w:pPr>
                    <w:jc w:val="center"/>
                    <w:rPr>
                      <w:rFonts w:ascii="Times New Roman" w:hAnsi="Times New Roman"/>
                      <w:color w:val="auto"/>
                    </w:rPr>
                  </w:pPr>
                  <w:r>
                    <w:rPr>
                      <w:rFonts w:hint="eastAsia" w:ascii="Times New Roman" w:hAnsi="Times New Roman"/>
                      <w:color w:val="auto"/>
                    </w:rPr>
                    <w:t>0</w:t>
                  </w:r>
                </w:p>
              </w:tc>
              <w:tc>
                <w:tcPr>
                  <w:tcW w:w="810" w:type="pct"/>
                  <w:vAlign w:val="center"/>
                </w:tcPr>
                <w:p>
                  <w:pPr>
                    <w:jc w:val="center"/>
                    <w:rPr>
                      <w:rFonts w:ascii="Times New Roman" w:hAnsi="Times New Roman"/>
                      <w:color w:val="auto"/>
                    </w:rPr>
                  </w:pPr>
                  <w:r>
                    <w:rPr>
                      <w:rFonts w:hint="eastAsia" w:ascii="Times New Roman" w:hAnsi="Times New Roman"/>
                      <w:color w:val="auto"/>
                    </w:rPr>
                    <w:t>5076</w:t>
                  </w:r>
                </w:p>
              </w:tc>
              <w:tc>
                <w:tcPr>
                  <w:tcW w:w="681" w:type="pct"/>
                  <w:vAlign w:val="center"/>
                </w:tcPr>
                <w:p>
                  <w:pPr>
                    <w:jc w:val="center"/>
                    <w:rPr>
                      <w:rFonts w:ascii="Times New Roman" w:hAnsi="Times New Roman"/>
                      <w:color w:val="auto"/>
                    </w:rPr>
                  </w:pPr>
                  <w:r>
                    <w:rPr>
                      <w:rFonts w:hint="eastAsia" w:ascii="Times New Roman" w:hAnsi="Times New Roman"/>
                      <w:color w:val="auto"/>
                    </w:rPr>
                    <w:t>5076</w:t>
                  </w:r>
                </w:p>
              </w:tc>
              <w:tc>
                <w:tcPr>
                  <w:tcW w:w="617" w:type="pct"/>
                  <w:vAlign w:val="center"/>
                </w:tcPr>
                <w:p>
                  <w:pPr>
                    <w:jc w:val="center"/>
                    <w:rPr>
                      <w:rFonts w:ascii="Times New Roman" w:hAnsi="Times New Roman"/>
                      <w:color w:val="auto"/>
                    </w:rPr>
                  </w:pPr>
                  <w:r>
                    <w:rPr>
                      <w:rFonts w:hint="eastAsia" w:ascii="Times New Roman" w:hAnsi="Times New Roman"/>
                      <w:color w:val="auto"/>
                    </w:rPr>
                    <w:t>0</w:t>
                  </w:r>
                </w:p>
              </w:tc>
              <w:tc>
                <w:tcPr>
                  <w:tcW w:w="711" w:type="pct"/>
                  <w:vAlign w:val="center"/>
                </w:tcPr>
                <w:p>
                  <w:pPr>
                    <w:jc w:val="center"/>
                    <w:rPr>
                      <w:rFonts w:ascii="Times New Roman" w:hAnsi="Times New Roman"/>
                      <w:color w:val="auto"/>
                    </w:rPr>
                  </w:pPr>
                  <w:r>
                    <w:rPr>
                      <w:rFonts w:hint="eastAsia" w:ascii="Times New Roman" w:hAnsi="Times New Roman"/>
                      <w:color w:val="auto"/>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vAlign w:val="center"/>
                </w:tcPr>
                <w:p>
                  <w:pPr>
                    <w:jc w:val="center"/>
                    <w:rPr>
                      <w:rFonts w:ascii="Times New Roman" w:hAnsi="Times New Roman"/>
                      <w:color w:val="auto"/>
                    </w:rPr>
                  </w:pPr>
                  <w:r>
                    <w:rPr>
                      <w:rFonts w:hint="eastAsia" w:ascii="Times New Roman" w:hAnsi="Times New Roman"/>
                      <w:color w:val="auto"/>
                    </w:rPr>
                    <w:t>2</w:t>
                  </w:r>
                </w:p>
              </w:tc>
              <w:tc>
                <w:tcPr>
                  <w:tcW w:w="1219" w:type="pct"/>
                  <w:gridSpan w:val="2"/>
                  <w:vAlign w:val="center"/>
                </w:tcPr>
                <w:p>
                  <w:pPr>
                    <w:jc w:val="center"/>
                    <w:rPr>
                      <w:rFonts w:ascii="Times New Roman" w:hAnsi="Times New Roman"/>
                      <w:color w:val="auto"/>
                    </w:rPr>
                  </w:pPr>
                  <w:r>
                    <w:rPr>
                      <w:rFonts w:hint="eastAsia" w:ascii="Times New Roman" w:hAnsi="Times New Roman"/>
                      <w:color w:val="auto"/>
                    </w:rPr>
                    <w:t>管线</w:t>
                  </w:r>
                </w:p>
              </w:tc>
              <w:tc>
                <w:tcPr>
                  <w:tcW w:w="700" w:type="pct"/>
                  <w:vAlign w:val="center"/>
                </w:tcPr>
                <w:p>
                  <w:pPr>
                    <w:jc w:val="center"/>
                    <w:rPr>
                      <w:rFonts w:ascii="Times New Roman" w:hAnsi="Times New Roman"/>
                      <w:color w:val="auto"/>
                    </w:rPr>
                  </w:pPr>
                  <w:r>
                    <w:rPr>
                      <w:rFonts w:hint="eastAsia" w:ascii="Times New Roman" w:hAnsi="Times New Roman"/>
                      <w:color w:val="auto"/>
                    </w:rPr>
                    <w:t>4050</w:t>
                  </w:r>
                </w:p>
              </w:tc>
              <w:tc>
                <w:tcPr>
                  <w:tcW w:w="810" w:type="pct"/>
                  <w:vAlign w:val="center"/>
                </w:tcPr>
                <w:p>
                  <w:pPr>
                    <w:jc w:val="center"/>
                    <w:rPr>
                      <w:rFonts w:ascii="Times New Roman" w:hAnsi="Times New Roman"/>
                      <w:color w:val="auto"/>
                    </w:rPr>
                  </w:pPr>
                  <w:r>
                    <w:rPr>
                      <w:rFonts w:hint="eastAsia" w:ascii="Times New Roman" w:hAnsi="Times New Roman"/>
                      <w:color w:val="auto"/>
                    </w:rPr>
                    <w:t>4050</w:t>
                  </w:r>
                </w:p>
              </w:tc>
              <w:tc>
                <w:tcPr>
                  <w:tcW w:w="681" w:type="pct"/>
                  <w:vAlign w:val="center"/>
                </w:tcPr>
                <w:p>
                  <w:pPr>
                    <w:jc w:val="center"/>
                    <w:rPr>
                      <w:rFonts w:ascii="Times New Roman" w:hAnsi="Times New Roman"/>
                      <w:color w:val="auto"/>
                    </w:rPr>
                  </w:pPr>
                  <w:r>
                    <w:rPr>
                      <w:rFonts w:hint="eastAsia" w:ascii="Times New Roman" w:hAnsi="Times New Roman"/>
                      <w:color w:val="auto"/>
                    </w:rPr>
                    <w:t>0</w:t>
                  </w:r>
                </w:p>
              </w:tc>
              <w:tc>
                <w:tcPr>
                  <w:tcW w:w="617" w:type="pct"/>
                  <w:vAlign w:val="center"/>
                </w:tcPr>
                <w:p>
                  <w:pPr>
                    <w:jc w:val="center"/>
                    <w:rPr>
                      <w:rFonts w:ascii="Times New Roman" w:hAnsi="Times New Roman"/>
                      <w:color w:val="auto"/>
                    </w:rPr>
                  </w:pPr>
                  <w:r>
                    <w:rPr>
                      <w:rFonts w:hint="eastAsia" w:ascii="Times New Roman" w:hAnsi="Times New Roman"/>
                      <w:color w:val="auto"/>
                    </w:rPr>
                    <w:t>0</w:t>
                  </w:r>
                </w:p>
              </w:tc>
              <w:tc>
                <w:tcPr>
                  <w:tcW w:w="711" w:type="pct"/>
                  <w:vAlign w:val="center"/>
                </w:tcPr>
                <w:p>
                  <w:pPr>
                    <w:jc w:val="center"/>
                    <w:rPr>
                      <w:rFonts w:ascii="Times New Roman" w:hAnsi="Times New Roman"/>
                      <w:color w:val="auto"/>
                    </w:rPr>
                  </w:pPr>
                  <w:r>
                    <w:rPr>
                      <w:rFonts w:hint="eastAsia" w:ascii="Times New Roman" w:hAnsi="Times New Roman"/>
                      <w:color w:val="auto"/>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vAlign w:val="center"/>
                </w:tcPr>
                <w:p>
                  <w:pPr>
                    <w:jc w:val="center"/>
                    <w:rPr>
                      <w:rFonts w:ascii="Times New Roman" w:hAnsi="Times New Roman"/>
                      <w:color w:val="auto"/>
                    </w:rPr>
                  </w:pPr>
                  <w:r>
                    <w:rPr>
                      <w:rFonts w:hint="eastAsia" w:ascii="Times New Roman" w:hAnsi="Times New Roman"/>
                      <w:color w:val="auto"/>
                    </w:rPr>
                    <w:t>3</w:t>
                  </w:r>
                </w:p>
              </w:tc>
              <w:tc>
                <w:tcPr>
                  <w:tcW w:w="427" w:type="pct"/>
                  <w:vAlign w:val="center"/>
                </w:tcPr>
                <w:p>
                  <w:pPr>
                    <w:jc w:val="center"/>
                    <w:rPr>
                      <w:rFonts w:ascii="Times New Roman" w:hAnsi="Times New Roman"/>
                      <w:color w:val="auto"/>
                    </w:rPr>
                  </w:pPr>
                  <w:r>
                    <w:rPr>
                      <w:rFonts w:hint="eastAsia" w:ascii="Times New Roman" w:hAnsi="Times New Roman"/>
                      <w:color w:val="auto"/>
                    </w:rPr>
                    <w:t>道路</w:t>
                  </w:r>
                </w:p>
              </w:tc>
              <w:tc>
                <w:tcPr>
                  <w:tcW w:w="792" w:type="pct"/>
                  <w:vAlign w:val="center"/>
                </w:tcPr>
                <w:p>
                  <w:pPr>
                    <w:jc w:val="center"/>
                    <w:rPr>
                      <w:rFonts w:ascii="Times New Roman" w:hAnsi="Times New Roman"/>
                      <w:color w:val="auto"/>
                    </w:rPr>
                  </w:pPr>
                  <w:r>
                    <w:rPr>
                      <w:rFonts w:hint="eastAsia" w:ascii="Times New Roman" w:hAnsi="Times New Roman"/>
                      <w:color w:val="auto"/>
                    </w:rPr>
                    <w:t>表层土换填</w:t>
                  </w:r>
                </w:p>
              </w:tc>
              <w:tc>
                <w:tcPr>
                  <w:tcW w:w="700" w:type="pct"/>
                  <w:vAlign w:val="center"/>
                </w:tcPr>
                <w:p>
                  <w:pPr>
                    <w:jc w:val="center"/>
                    <w:rPr>
                      <w:rFonts w:ascii="Times New Roman" w:hAnsi="Times New Roman"/>
                      <w:color w:val="auto"/>
                    </w:rPr>
                  </w:pPr>
                  <w:r>
                    <w:rPr>
                      <w:rFonts w:hint="eastAsia" w:ascii="Times New Roman" w:hAnsi="Times New Roman"/>
                      <w:color w:val="auto"/>
                    </w:rPr>
                    <w:t>700</w:t>
                  </w:r>
                </w:p>
              </w:tc>
              <w:tc>
                <w:tcPr>
                  <w:tcW w:w="810" w:type="pct"/>
                  <w:vAlign w:val="center"/>
                </w:tcPr>
                <w:p>
                  <w:pPr>
                    <w:jc w:val="center"/>
                    <w:rPr>
                      <w:rFonts w:ascii="Times New Roman" w:hAnsi="Times New Roman"/>
                      <w:color w:val="auto"/>
                    </w:rPr>
                  </w:pPr>
                  <w:r>
                    <w:rPr>
                      <w:rFonts w:hint="eastAsia" w:ascii="Times New Roman" w:hAnsi="Times New Roman"/>
                      <w:color w:val="auto"/>
                    </w:rPr>
                    <w:t>7200</w:t>
                  </w:r>
                </w:p>
              </w:tc>
              <w:tc>
                <w:tcPr>
                  <w:tcW w:w="681" w:type="pct"/>
                  <w:vAlign w:val="center"/>
                </w:tcPr>
                <w:p>
                  <w:pPr>
                    <w:jc w:val="center"/>
                    <w:rPr>
                      <w:rFonts w:ascii="Times New Roman" w:hAnsi="Times New Roman"/>
                      <w:color w:val="auto"/>
                    </w:rPr>
                  </w:pPr>
                  <w:r>
                    <w:rPr>
                      <w:rFonts w:hint="eastAsia" w:ascii="Times New Roman" w:hAnsi="Times New Roman"/>
                      <w:color w:val="auto"/>
                    </w:rPr>
                    <w:t>7200</w:t>
                  </w:r>
                </w:p>
              </w:tc>
              <w:tc>
                <w:tcPr>
                  <w:tcW w:w="617" w:type="pct"/>
                  <w:vAlign w:val="center"/>
                </w:tcPr>
                <w:p>
                  <w:pPr>
                    <w:jc w:val="center"/>
                    <w:rPr>
                      <w:rFonts w:ascii="Times New Roman" w:hAnsi="Times New Roman"/>
                      <w:color w:val="auto"/>
                    </w:rPr>
                  </w:pPr>
                  <w:r>
                    <w:rPr>
                      <w:rFonts w:hint="eastAsia" w:ascii="Times New Roman" w:hAnsi="Times New Roman"/>
                      <w:color w:val="auto"/>
                    </w:rPr>
                    <w:t>700</w:t>
                  </w:r>
                </w:p>
              </w:tc>
              <w:tc>
                <w:tcPr>
                  <w:tcW w:w="711" w:type="pct"/>
                  <w:vAlign w:val="center"/>
                </w:tcPr>
                <w:p>
                  <w:pPr>
                    <w:jc w:val="center"/>
                    <w:rPr>
                      <w:rFonts w:ascii="Times New Roman" w:hAnsi="Times New Roman"/>
                      <w:color w:val="auto"/>
                    </w:rPr>
                  </w:pPr>
                  <w:r>
                    <w:rPr>
                      <w:rFonts w:hint="eastAsia" w:ascii="Times New Roman" w:hAnsi="Times New Roman"/>
                      <w:color w:val="auto"/>
                    </w:rPr>
                    <w:t>周边农田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79" w:type="pct"/>
                  <w:gridSpan w:val="3"/>
                  <w:vAlign w:val="center"/>
                </w:tcPr>
                <w:p>
                  <w:pPr>
                    <w:jc w:val="center"/>
                    <w:rPr>
                      <w:rFonts w:ascii="Times New Roman" w:hAnsi="Times New Roman"/>
                      <w:color w:val="auto"/>
                      <w:szCs w:val="21"/>
                    </w:rPr>
                  </w:pPr>
                  <w:r>
                    <w:rPr>
                      <w:rFonts w:hint="eastAsia" w:ascii="Times New Roman" w:hAnsi="Times New Roman"/>
                      <w:color w:val="auto"/>
                      <w:szCs w:val="21"/>
                    </w:rPr>
                    <w:t>土石方平衡：</w:t>
                  </w:r>
                </w:p>
                <w:p>
                  <w:pPr>
                    <w:jc w:val="center"/>
                    <w:rPr>
                      <w:rFonts w:ascii="Times New Roman" w:hAnsi="Times New Roman"/>
                      <w:color w:val="auto"/>
                    </w:rPr>
                  </w:pPr>
                  <w:r>
                    <w:rPr>
                      <w:rFonts w:hint="eastAsia" w:ascii="Times New Roman" w:hAnsi="Times New Roman"/>
                      <w:color w:val="auto"/>
                      <w:szCs w:val="21"/>
                    </w:rPr>
                    <w:t>借方+挖方-填方=弃方</w:t>
                  </w:r>
                </w:p>
              </w:tc>
              <w:tc>
                <w:tcPr>
                  <w:tcW w:w="700" w:type="pct"/>
                  <w:vAlign w:val="center"/>
                </w:tcPr>
                <w:p>
                  <w:pPr>
                    <w:jc w:val="center"/>
                    <w:rPr>
                      <w:rFonts w:ascii="Times New Roman" w:hAnsi="Times New Roman"/>
                      <w:color w:val="auto"/>
                    </w:rPr>
                  </w:pPr>
                  <w:r>
                    <w:rPr>
                      <w:rFonts w:hint="eastAsia" w:ascii="Times New Roman" w:hAnsi="Times New Roman"/>
                      <w:color w:val="auto"/>
                    </w:rPr>
                    <w:t>10672</w:t>
                  </w:r>
                </w:p>
              </w:tc>
              <w:tc>
                <w:tcPr>
                  <w:tcW w:w="810" w:type="pct"/>
                  <w:vAlign w:val="center"/>
                </w:tcPr>
                <w:p>
                  <w:pPr>
                    <w:jc w:val="center"/>
                    <w:rPr>
                      <w:rFonts w:ascii="Times New Roman" w:hAnsi="Times New Roman"/>
                      <w:color w:val="auto"/>
                    </w:rPr>
                  </w:pPr>
                  <w:r>
                    <w:rPr>
                      <w:rFonts w:hint="eastAsia" w:ascii="Times New Roman" w:hAnsi="Times New Roman"/>
                      <w:color w:val="auto"/>
                    </w:rPr>
                    <w:t>16326</w:t>
                  </w:r>
                </w:p>
              </w:tc>
              <w:tc>
                <w:tcPr>
                  <w:tcW w:w="681" w:type="pct"/>
                  <w:vAlign w:val="center"/>
                </w:tcPr>
                <w:p>
                  <w:pPr>
                    <w:jc w:val="center"/>
                    <w:rPr>
                      <w:rFonts w:ascii="Times New Roman" w:hAnsi="Times New Roman"/>
                      <w:color w:val="auto"/>
                    </w:rPr>
                  </w:pPr>
                  <w:r>
                    <w:rPr>
                      <w:rFonts w:hint="eastAsia" w:ascii="Times New Roman" w:hAnsi="Times New Roman"/>
                      <w:color w:val="auto"/>
                    </w:rPr>
                    <w:t>12276</w:t>
                  </w:r>
                </w:p>
              </w:tc>
              <w:tc>
                <w:tcPr>
                  <w:tcW w:w="617" w:type="pct"/>
                  <w:vAlign w:val="center"/>
                </w:tcPr>
                <w:p>
                  <w:pPr>
                    <w:jc w:val="center"/>
                    <w:rPr>
                      <w:rFonts w:ascii="Times New Roman" w:hAnsi="Times New Roman"/>
                      <w:color w:val="auto"/>
                    </w:rPr>
                  </w:pPr>
                  <w:r>
                    <w:rPr>
                      <w:rFonts w:hint="eastAsia" w:ascii="Times New Roman" w:hAnsi="Times New Roman"/>
                      <w:color w:val="auto"/>
                    </w:rPr>
                    <w:t>6622</w:t>
                  </w:r>
                </w:p>
              </w:tc>
              <w:tc>
                <w:tcPr>
                  <w:tcW w:w="711" w:type="pct"/>
                  <w:vAlign w:val="center"/>
                </w:tcPr>
                <w:p>
                  <w:pPr>
                    <w:jc w:val="center"/>
                    <w:rPr>
                      <w:rFonts w:ascii="Times New Roman" w:hAnsi="Times New Roman"/>
                      <w:color w:val="auto"/>
                    </w:rPr>
                  </w:pPr>
                </w:p>
              </w:tc>
            </w:tr>
          </w:tbl>
          <w:p>
            <w:pPr>
              <w:pStyle w:val="48"/>
              <w:spacing w:before="120" w:beforeLines="50" w:line="360" w:lineRule="auto"/>
              <w:ind w:firstLine="480"/>
              <w:jc w:val="both"/>
              <w:rPr>
                <w:rFonts w:ascii="Times New Roman" w:hAnsi="Times New Roman"/>
                <w:color w:val="auto"/>
              </w:rPr>
            </w:pPr>
            <w:r>
              <w:rPr>
                <w:rFonts w:ascii="Times New Roman" w:hAnsi="Times New Roman"/>
                <w:color w:val="auto"/>
              </w:rPr>
              <w:t>（</w:t>
            </w:r>
            <w:r>
              <w:rPr>
                <w:rFonts w:hint="eastAsia" w:ascii="Times New Roman" w:hAnsi="Times New Roman"/>
                <w:color w:val="auto"/>
              </w:rPr>
              <w:t>2</w:t>
            </w:r>
            <w:r>
              <w:rPr>
                <w:rFonts w:ascii="Times New Roman" w:hAnsi="Times New Roman"/>
                <w:color w:val="auto"/>
              </w:rPr>
              <w:t>）钻井岩屑</w:t>
            </w:r>
          </w:p>
          <w:p>
            <w:pPr>
              <w:pStyle w:val="48"/>
              <w:spacing w:line="360" w:lineRule="auto"/>
              <w:ind w:left="2" w:firstLine="480"/>
              <w:jc w:val="both"/>
              <w:rPr>
                <w:rFonts w:ascii="Times New Roman" w:hAnsi="Times New Roman"/>
                <w:color w:val="auto"/>
              </w:rPr>
            </w:pPr>
            <w:r>
              <w:rPr>
                <w:rFonts w:ascii="Times New Roman" w:hAnsi="Times New Roman"/>
                <w:color w:val="auto"/>
              </w:rPr>
              <w:t>钻井过程中的钻井液采用不落地技术处理，分离后的钻井液循环使用不外排，固体废物主要为钻井岩屑。岩屑产生、排放量与井身结构以及回收率等因素有关，其中岩屑产生量可按下式计算：</w:t>
            </w:r>
          </w:p>
          <w:p>
            <w:pPr>
              <w:spacing w:line="360" w:lineRule="auto"/>
              <w:ind w:firstLine="1200" w:firstLineChars="500"/>
              <w:rPr>
                <w:rFonts w:ascii="Times New Roman" w:hAnsi="Times New Roman"/>
                <w:color w:val="auto"/>
                <w:sz w:val="24"/>
              </w:rPr>
            </w:pPr>
            <w:r>
              <w:rPr>
                <w:rFonts w:ascii="Times New Roman" w:hAnsi="Times New Roman"/>
                <w:color w:val="auto"/>
                <w:sz w:val="24"/>
              </w:rPr>
              <w:t>W=1/4×π×D</w:t>
            </w:r>
            <w:r>
              <w:rPr>
                <w:rFonts w:ascii="Times New Roman" w:hAnsi="Times New Roman"/>
                <w:color w:val="auto"/>
                <w:sz w:val="24"/>
                <w:vertAlign w:val="superscript"/>
              </w:rPr>
              <w:t>2</w:t>
            </w:r>
            <w:r>
              <w:rPr>
                <w:rFonts w:ascii="Times New Roman" w:hAnsi="Times New Roman"/>
                <w:color w:val="auto"/>
                <w:sz w:val="24"/>
              </w:rPr>
              <w:t>×h</w:t>
            </w:r>
          </w:p>
          <w:p>
            <w:pPr>
              <w:pStyle w:val="48"/>
              <w:spacing w:line="360" w:lineRule="auto"/>
              <w:ind w:firstLine="480"/>
              <w:jc w:val="both"/>
              <w:rPr>
                <w:rFonts w:ascii="Times New Roman" w:hAnsi="Times New Roman"/>
                <w:color w:val="auto"/>
              </w:rPr>
            </w:pPr>
            <w:r>
              <w:rPr>
                <w:rFonts w:ascii="Times New Roman" w:hAnsi="Times New Roman"/>
                <w:color w:val="auto"/>
              </w:rPr>
              <w:t>式中：W——产生的岩屑量，m</w:t>
            </w:r>
            <w:r>
              <w:rPr>
                <w:rFonts w:ascii="Times New Roman" w:hAnsi="Times New Roman"/>
                <w:color w:val="auto"/>
                <w:vertAlign w:val="superscript"/>
              </w:rPr>
              <w:t>3</w:t>
            </w:r>
            <w:r>
              <w:rPr>
                <w:rFonts w:ascii="Times New Roman" w:hAnsi="Times New Roman"/>
                <w:color w:val="auto"/>
              </w:rPr>
              <w:t>；</w:t>
            </w:r>
          </w:p>
          <w:p>
            <w:pPr>
              <w:pStyle w:val="48"/>
              <w:spacing w:line="360" w:lineRule="auto"/>
              <w:ind w:firstLine="480"/>
              <w:jc w:val="both"/>
              <w:rPr>
                <w:rFonts w:ascii="Times New Roman" w:hAnsi="Times New Roman"/>
                <w:color w:val="auto"/>
              </w:rPr>
            </w:pPr>
            <w:r>
              <w:rPr>
                <w:rFonts w:ascii="Times New Roman" w:hAnsi="Times New Roman"/>
                <w:color w:val="auto"/>
              </w:rPr>
              <w:t xml:space="preserve">      D——各井段井筒直径（m）；</w:t>
            </w:r>
          </w:p>
          <w:p>
            <w:pPr>
              <w:pStyle w:val="48"/>
              <w:spacing w:line="360" w:lineRule="auto"/>
              <w:ind w:firstLine="480"/>
              <w:jc w:val="both"/>
              <w:rPr>
                <w:rFonts w:ascii="Times New Roman" w:hAnsi="Times New Roman"/>
                <w:color w:val="auto"/>
              </w:rPr>
            </w:pPr>
            <w:r>
              <w:rPr>
                <w:rFonts w:ascii="Times New Roman" w:hAnsi="Times New Roman"/>
                <w:color w:val="auto"/>
              </w:rPr>
              <w:t xml:space="preserve">      h——井深，m</w:t>
            </w:r>
            <w:r>
              <w:rPr>
                <w:rFonts w:hint="eastAsia" w:ascii="Times New Roman" w:hAnsi="Times New Roman"/>
                <w:color w:val="auto"/>
              </w:rPr>
              <w:t>。</w:t>
            </w:r>
          </w:p>
          <w:p>
            <w:pPr>
              <w:pStyle w:val="48"/>
              <w:spacing w:line="360" w:lineRule="auto"/>
              <w:ind w:firstLine="480"/>
              <w:jc w:val="both"/>
              <w:rPr>
                <w:rFonts w:ascii="Times New Roman" w:hAnsi="Times New Roman"/>
                <w:color w:val="auto"/>
              </w:rPr>
            </w:pPr>
            <w:r>
              <w:rPr>
                <w:rFonts w:ascii="Times New Roman" w:hAnsi="Times New Roman"/>
                <w:color w:val="auto"/>
              </w:rPr>
              <w:t xml:space="preserve">   本项目钻井岩屑估算表详见表</w:t>
            </w:r>
            <w:r>
              <w:rPr>
                <w:rFonts w:hint="eastAsia" w:ascii="Times New Roman" w:hAnsi="Times New Roman"/>
                <w:color w:val="auto"/>
              </w:rPr>
              <w:t>4</w:t>
            </w:r>
            <w:r>
              <w:rPr>
                <w:rFonts w:ascii="Times New Roman" w:hAnsi="Times New Roman"/>
                <w:color w:val="auto"/>
              </w:rPr>
              <w:t>-3。</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4</w:t>
            </w:r>
            <w:r>
              <w:rPr>
                <w:rFonts w:ascii="Times New Roman" w:hAnsi="Times New Roman"/>
                <w:b/>
                <w:color w:val="auto"/>
                <w:kern w:val="0"/>
                <w:szCs w:val="21"/>
              </w:rPr>
              <w:t>-3   本项目钻井岩屑估算表</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423"/>
              <w:gridCol w:w="1843"/>
              <w:gridCol w:w="1591"/>
              <w:gridCol w:w="1220"/>
              <w:gridCol w:w="209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70"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开钻次序</w:t>
                  </w:r>
                </w:p>
              </w:tc>
              <w:tc>
                <w:tcPr>
                  <w:tcW w:w="112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kern w:val="0"/>
                      <w:sz w:val="21"/>
                      <w:szCs w:val="21"/>
                    </w:rPr>
                    <w:t>D 井眼直径（mm）</w:t>
                  </w:r>
                </w:p>
              </w:tc>
              <w:tc>
                <w:tcPr>
                  <w:tcW w:w="973"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kern w:val="0"/>
                      <w:sz w:val="21"/>
                      <w:szCs w:val="21"/>
                    </w:rPr>
                    <w:t>完钻井</w:t>
                  </w:r>
                  <w:r>
                    <w:rPr>
                      <w:rFonts w:ascii="Times New Roman"/>
                      <w:color w:val="auto"/>
                      <w:kern w:val="0"/>
                      <w:sz w:val="21"/>
                      <w:szCs w:val="21"/>
                    </w:rPr>
                    <w:t>深</w:t>
                  </w:r>
                  <w:r>
                    <w:rPr>
                      <w:rFonts w:hint="eastAsia" w:ascii="Times New Roman"/>
                      <w:color w:val="auto"/>
                      <w:kern w:val="0"/>
                      <w:sz w:val="21"/>
                      <w:szCs w:val="21"/>
                    </w:rPr>
                    <w:t>h</w:t>
                  </w:r>
                  <w:r>
                    <w:rPr>
                      <w:rFonts w:ascii="Times New Roman"/>
                      <w:color w:val="auto"/>
                      <w:kern w:val="0"/>
                      <w:sz w:val="21"/>
                      <w:szCs w:val="21"/>
                    </w:rPr>
                    <w:t>（m）</w:t>
                  </w:r>
                </w:p>
              </w:tc>
              <w:tc>
                <w:tcPr>
                  <w:tcW w:w="746" w:type="pct"/>
                  <w:shd w:val="clear" w:color="auto" w:fill="auto"/>
                  <w:tcMar>
                    <w:left w:w="28" w:type="dxa"/>
                    <w:right w:w="28" w:type="dxa"/>
                  </w:tcMar>
                  <w:vAlign w:val="center"/>
                </w:tcPr>
                <w:p>
                  <w:pPr>
                    <w:pStyle w:val="244"/>
                    <w:spacing w:line="240" w:lineRule="auto"/>
                    <w:ind w:firstLine="164"/>
                    <w:jc w:val="center"/>
                    <w:rPr>
                      <w:rFonts w:ascii="Times New Roman"/>
                      <w:color w:val="auto"/>
                      <w:kern w:val="0"/>
                      <w:sz w:val="21"/>
                      <w:szCs w:val="21"/>
                    </w:rPr>
                  </w:pPr>
                  <w:r>
                    <w:rPr>
                      <w:rFonts w:ascii="Times New Roman"/>
                      <w:color w:val="auto"/>
                      <w:kern w:val="0"/>
                      <w:sz w:val="21"/>
                      <w:szCs w:val="21"/>
                    </w:rPr>
                    <w:t>进尺（m）</w:t>
                  </w:r>
                </w:p>
              </w:tc>
              <w:tc>
                <w:tcPr>
                  <w:tcW w:w="1282"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kern w:val="0"/>
                      <w:sz w:val="21"/>
                      <w:szCs w:val="21"/>
                    </w:rPr>
                    <w:t>W 岩屑量（m³）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70"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一开</w:t>
                  </w:r>
                </w:p>
              </w:tc>
              <w:tc>
                <w:tcPr>
                  <w:tcW w:w="112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311.1</w:t>
                  </w:r>
                </w:p>
              </w:tc>
              <w:tc>
                <w:tcPr>
                  <w:tcW w:w="973"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151</w:t>
                  </w:r>
                </w:p>
              </w:tc>
              <w:tc>
                <w:tcPr>
                  <w:tcW w:w="746" w:type="pct"/>
                  <w:shd w:val="clear" w:color="auto" w:fill="auto"/>
                  <w:tcMar>
                    <w:left w:w="28" w:type="dxa"/>
                    <w:right w:w="28" w:type="dxa"/>
                  </w:tcMar>
                  <w:vAlign w:val="center"/>
                </w:tcPr>
                <w:p>
                  <w:pPr>
                    <w:pStyle w:val="244"/>
                    <w:spacing w:line="240" w:lineRule="auto"/>
                    <w:ind w:firstLine="164"/>
                    <w:jc w:val="center"/>
                    <w:rPr>
                      <w:rStyle w:val="42"/>
                      <w:rFonts w:ascii="Times New Roman"/>
                      <w:color w:val="auto"/>
                      <w:kern w:val="0"/>
                      <w:szCs w:val="21"/>
                    </w:rPr>
                  </w:pPr>
                  <w:r>
                    <w:rPr>
                      <w:rStyle w:val="42"/>
                      <w:rFonts w:ascii="Times New Roman"/>
                      <w:color w:val="auto"/>
                      <w:kern w:val="0"/>
                      <w:szCs w:val="21"/>
                    </w:rPr>
                    <w:t>151</w:t>
                  </w:r>
                </w:p>
              </w:tc>
              <w:tc>
                <w:tcPr>
                  <w:tcW w:w="1282"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11.47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70"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二开</w:t>
                  </w:r>
                </w:p>
              </w:tc>
              <w:tc>
                <w:tcPr>
                  <w:tcW w:w="112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215.9</w:t>
                  </w:r>
                </w:p>
              </w:tc>
              <w:tc>
                <w:tcPr>
                  <w:tcW w:w="973"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highlight w:val="yellow"/>
                    </w:rPr>
                  </w:pPr>
                  <w:r>
                    <w:rPr>
                      <w:rFonts w:hint="eastAsia" w:ascii="Times New Roman"/>
                      <w:color w:val="auto"/>
                      <w:sz w:val="21"/>
                      <w:szCs w:val="21"/>
                    </w:rPr>
                    <w:t>151-1073</w:t>
                  </w:r>
                </w:p>
              </w:tc>
              <w:tc>
                <w:tcPr>
                  <w:tcW w:w="746"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922</w:t>
                  </w:r>
                </w:p>
              </w:tc>
              <w:tc>
                <w:tcPr>
                  <w:tcW w:w="1282"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sz w:val="21"/>
                      <w:szCs w:val="21"/>
                    </w:rPr>
                    <w:t>33.74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70"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单口井合计</w:t>
                  </w:r>
                </w:p>
              </w:tc>
              <w:tc>
                <w:tcPr>
                  <w:tcW w:w="112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p>
              </w:tc>
              <w:tc>
                <w:tcPr>
                  <w:tcW w:w="973"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highlight w:val="yellow"/>
                    </w:rPr>
                  </w:pPr>
                </w:p>
              </w:tc>
              <w:tc>
                <w:tcPr>
                  <w:tcW w:w="746"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p>
              </w:tc>
              <w:tc>
                <w:tcPr>
                  <w:tcW w:w="1282"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sz w:val="21"/>
                      <w:szCs w:val="21"/>
                    </w:rPr>
                    <w:t>45.21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70"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ascii="Times New Roman"/>
                      <w:color w:val="auto"/>
                      <w:sz w:val="21"/>
                      <w:szCs w:val="21"/>
                    </w:rPr>
                    <w:t>15口井合计</w:t>
                  </w:r>
                </w:p>
              </w:tc>
              <w:tc>
                <w:tcPr>
                  <w:tcW w:w="1127"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p>
              </w:tc>
              <w:tc>
                <w:tcPr>
                  <w:tcW w:w="973"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highlight w:val="yellow"/>
                    </w:rPr>
                  </w:pPr>
                </w:p>
              </w:tc>
              <w:tc>
                <w:tcPr>
                  <w:tcW w:w="746"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p>
              </w:tc>
              <w:tc>
                <w:tcPr>
                  <w:tcW w:w="1282" w:type="pct"/>
                  <w:shd w:val="clear" w:color="auto" w:fill="auto"/>
                  <w:tcMar>
                    <w:left w:w="28" w:type="dxa"/>
                    <w:right w:w="28" w:type="dxa"/>
                  </w:tcMar>
                  <w:vAlign w:val="center"/>
                </w:tcPr>
                <w:p>
                  <w:pPr>
                    <w:pStyle w:val="244"/>
                    <w:spacing w:line="240" w:lineRule="auto"/>
                    <w:ind w:firstLine="164"/>
                    <w:jc w:val="center"/>
                    <w:rPr>
                      <w:rFonts w:ascii="Times New Roman"/>
                      <w:color w:val="auto"/>
                      <w:sz w:val="21"/>
                      <w:szCs w:val="21"/>
                    </w:rPr>
                  </w:pPr>
                  <w:r>
                    <w:rPr>
                      <w:rFonts w:hint="eastAsia" w:ascii="Times New Roman"/>
                      <w:color w:val="auto"/>
                      <w:sz w:val="21"/>
                      <w:szCs w:val="21"/>
                    </w:rPr>
                    <w:t>678.15</w:t>
                  </w:r>
                </w:p>
              </w:tc>
            </w:tr>
          </w:tbl>
          <w:p>
            <w:pPr>
              <w:pStyle w:val="48"/>
              <w:spacing w:line="360" w:lineRule="auto"/>
              <w:ind w:firstLine="480"/>
              <w:jc w:val="both"/>
              <w:rPr>
                <w:rFonts w:ascii="Times New Roman" w:hAnsi="Times New Roman"/>
                <w:color w:val="auto"/>
              </w:rPr>
            </w:pPr>
            <w:r>
              <w:rPr>
                <w:rFonts w:ascii="Times New Roman" w:hAnsi="Times New Roman"/>
                <w:color w:val="auto"/>
              </w:rPr>
              <w:t>计算可知，本项目新钻15口井，共产生钻井岩屑</w:t>
            </w:r>
            <w:r>
              <w:rPr>
                <w:rFonts w:hint="eastAsia" w:ascii="Times New Roman" w:hAnsi="Times New Roman"/>
                <w:color w:val="auto"/>
              </w:rPr>
              <w:t>678.15</w:t>
            </w:r>
            <w:r>
              <w:rPr>
                <w:rFonts w:ascii="Times New Roman" w:hAnsi="Times New Roman"/>
                <w:color w:val="auto"/>
              </w:rPr>
              <w:t>m³，岩屑经不落地系统处理后暂存于岩屑储存罐，经检测符合《油气田钻井固体废物综合利用污染控制要求》（DB65/T3997-2017）指标限值</w:t>
            </w:r>
            <w:r>
              <w:rPr>
                <w:rFonts w:hint="eastAsia" w:ascii="Times New Roman" w:hAnsi="Times New Roman"/>
                <w:color w:val="auto"/>
              </w:rPr>
              <w:t>后和废弃钻井泥浆统一处理。</w:t>
            </w:r>
          </w:p>
          <w:p>
            <w:pPr>
              <w:pStyle w:val="48"/>
              <w:spacing w:line="360" w:lineRule="auto"/>
              <w:ind w:firstLine="480"/>
              <w:jc w:val="both"/>
              <w:rPr>
                <w:rFonts w:ascii="Times New Roman" w:hAnsi="Times New Roman"/>
                <w:color w:val="auto"/>
              </w:rPr>
            </w:pPr>
            <w:r>
              <w:rPr>
                <w:rFonts w:ascii="Times New Roman" w:hAnsi="Times New Roman"/>
                <w:color w:val="auto"/>
              </w:rPr>
              <w:t>（</w:t>
            </w:r>
            <w:r>
              <w:rPr>
                <w:rFonts w:hint="eastAsia" w:ascii="Times New Roman" w:hAnsi="Times New Roman"/>
                <w:color w:val="auto"/>
              </w:rPr>
              <w:t>3</w:t>
            </w:r>
            <w:r>
              <w:rPr>
                <w:rFonts w:ascii="Times New Roman" w:hAnsi="Times New Roman"/>
                <w:color w:val="auto"/>
              </w:rPr>
              <w:t>）钻井泥浆的排放量依井的深度而增加，其排放量计算采用《油田开发环境影响评价文集》中的经验公式：</w:t>
            </w:r>
          </w:p>
          <w:p>
            <w:pPr>
              <w:spacing w:line="360" w:lineRule="auto"/>
              <w:ind w:firstLine="1200" w:firstLineChars="500"/>
              <w:rPr>
                <w:rFonts w:ascii="Times New Roman" w:hAnsi="Times New Roman"/>
                <w:color w:val="auto"/>
                <w:sz w:val="24"/>
              </w:rPr>
            </w:pPr>
            <w:r>
              <w:rPr>
                <w:rFonts w:ascii="Times New Roman" w:hAnsi="Times New Roman"/>
                <w:color w:val="auto"/>
                <w:sz w:val="24"/>
              </w:rPr>
              <w:drawing>
                <wp:inline distT="0" distB="0" distL="0" distR="0">
                  <wp:extent cx="2023110" cy="388620"/>
                  <wp:effectExtent l="0" t="0" r="0" b="0"/>
                  <wp:docPr id="5" name="图片 11" descr="C:\DOCUME~1\ADMINI~1\LOCALS~1\Temp\ksohtml\wps_clip_image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C:\DOCUME~1\ADMINI~1\LOCALS~1\Temp\ksohtml\wps_clip_image1.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23110" cy="388620"/>
                          </a:xfrm>
                          <a:prstGeom prst="rect">
                            <a:avLst/>
                          </a:prstGeom>
                          <a:noFill/>
                          <a:ln>
                            <a:noFill/>
                          </a:ln>
                        </pic:spPr>
                      </pic:pic>
                    </a:graphicData>
                  </a:graphic>
                </wp:inline>
              </w:drawing>
            </w:r>
          </w:p>
          <w:p>
            <w:pPr>
              <w:pStyle w:val="48"/>
              <w:spacing w:line="360" w:lineRule="auto"/>
              <w:ind w:firstLine="480"/>
              <w:jc w:val="both"/>
              <w:rPr>
                <w:rFonts w:ascii="Times New Roman" w:hAnsi="Times New Roman"/>
                <w:color w:val="auto"/>
              </w:rPr>
            </w:pPr>
            <w:r>
              <w:rPr>
                <w:rFonts w:ascii="Times New Roman" w:hAnsi="Times New Roman"/>
                <w:color w:val="auto"/>
              </w:rPr>
              <w:t>式中：V－排到地面上的泥浆量（m</w:t>
            </w:r>
            <w:r>
              <w:rPr>
                <w:rFonts w:ascii="Times New Roman" w:hAnsi="Times New Roman"/>
                <w:color w:val="auto"/>
                <w:vertAlign w:val="superscript"/>
              </w:rPr>
              <w:t>3</w:t>
            </w:r>
            <w:r>
              <w:rPr>
                <w:rFonts w:ascii="Times New Roman" w:hAnsi="Times New Roman"/>
                <w:color w:val="auto"/>
              </w:rPr>
              <w:t>）；</w:t>
            </w:r>
          </w:p>
          <w:p>
            <w:pPr>
              <w:pStyle w:val="48"/>
              <w:spacing w:line="360" w:lineRule="auto"/>
              <w:ind w:firstLine="480"/>
              <w:jc w:val="both"/>
              <w:rPr>
                <w:rFonts w:ascii="Times New Roman" w:hAnsi="Times New Roman"/>
                <w:color w:val="auto"/>
              </w:rPr>
            </w:pPr>
            <w:r>
              <w:rPr>
                <w:rFonts w:ascii="Times New Roman" w:hAnsi="Times New Roman"/>
                <w:color w:val="auto"/>
              </w:rPr>
              <w:t xml:space="preserve">      D－井眼的平均直径（m）；</w:t>
            </w:r>
          </w:p>
          <w:p>
            <w:pPr>
              <w:pStyle w:val="48"/>
              <w:spacing w:line="360" w:lineRule="auto"/>
              <w:ind w:firstLine="480"/>
              <w:jc w:val="both"/>
              <w:rPr>
                <w:rFonts w:ascii="Times New Roman" w:hAnsi="Times New Roman"/>
                <w:color w:val="auto"/>
              </w:rPr>
            </w:pPr>
            <w:r>
              <w:rPr>
                <w:rFonts w:ascii="Times New Roman" w:hAnsi="Times New Roman"/>
                <w:color w:val="auto"/>
              </w:rPr>
              <w:t xml:space="preserve">      h－井深（m）。</w:t>
            </w:r>
          </w:p>
          <w:p>
            <w:pPr>
              <w:pStyle w:val="48"/>
              <w:spacing w:line="360" w:lineRule="auto"/>
              <w:ind w:firstLine="960" w:firstLineChars="400"/>
              <w:jc w:val="both"/>
              <w:rPr>
                <w:rFonts w:ascii="Times New Roman" w:hAnsi="Times New Roman"/>
                <w:color w:val="auto"/>
              </w:rPr>
            </w:pPr>
            <w:r>
              <w:rPr>
                <w:rFonts w:ascii="Times New Roman" w:hAnsi="Times New Roman"/>
                <w:color w:val="auto"/>
              </w:rPr>
              <w:t>本项目单井钻井泥浆产生量见表4-4。</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表4-4   本项目泥浆产生量</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422"/>
              <w:gridCol w:w="1766"/>
              <w:gridCol w:w="1125"/>
              <w:gridCol w:w="1205"/>
              <w:gridCol w:w="265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70" w:type="pct"/>
                  <w:vMerge w:val="restar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开钻次序</w:t>
                  </w:r>
                </w:p>
              </w:tc>
              <w:tc>
                <w:tcPr>
                  <w:tcW w:w="2505" w:type="pct"/>
                  <w:gridSpan w:val="3"/>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单井</w:t>
                  </w:r>
                </w:p>
              </w:tc>
              <w:tc>
                <w:tcPr>
                  <w:tcW w:w="1624" w:type="pct"/>
                  <w:vMerge w:val="restar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钻井液体系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870" w:type="pct"/>
                  <w:vMerge w:val="continue"/>
                  <w:shd w:val="clear" w:color="auto" w:fill="auto"/>
                  <w:vAlign w:val="center"/>
                </w:tcPr>
                <w:p>
                  <w:pPr>
                    <w:jc w:val="center"/>
                    <w:rPr>
                      <w:rFonts w:ascii="Times New Roman" w:hAnsi="Times New Roman"/>
                      <w:color w:val="auto"/>
                      <w:kern w:val="0"/>
                      <w:szCs w:val="21"/>
                    </w:rPr>
                  </w:pPr>
                </w:p>
              </w:tc>
              <w:tc>
                <w:tcPr>
                  <w:tcW w:w="1080"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完钻井深h（m）</w:t>
                  </w:r>
                </w:p>
              </w:tc>
              <w:tc>
                <w:tcPr>
                  <w:tcW w:w="688"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进尺（m）</w:t>
                  </w:r>
                </w:p>
              </w:tc>
              <w:tc>
                <w:tcPr>
                  <w:tcW w:w="736"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泥浆量m</w:t>
                  </w:r>
                  <w:r>
                    <w:rPr>
                      <w:rFonts w:ascii="Times New Roman" w:hAnsi="Times New Roman"/>
                      <w:color w:val="auto"/>
                      <w:kern w:val="0"/>
                      <w:szCs w:val="21"/>
                      <w:vertAlign w:val="superscript"/>
                    </w:rPr>
                    <w:t>3</w:t>
                  </w:r>
                </w:p>
              </w:tc>
              <w:tc>
                <w:tcPr>
                  <w:tcW w:w="1624" w:type="pct"/>
                  <w:vMerge w:val="continue"/>
                  <w:shd w:val="clear" w:color="auto" w:fill="auto"/>
                  <w:vAlign w:val="center"/>
                </w:tcPr>
                <w:p>
                  <w:pPr>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870"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一开</w:t>
                  </w:r>
                </w:p>
              </w:tc>
              <w:tc>
                <w:tcPr>
                  <w:tcW w:w="1080"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0-151</w:t>
                  </w:r>
                </w:p>
              </w:tc>
              <w:tc>
                <w:tcPr>
                  <w:tcW w:w="688"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151</w:t>
                  </w:r>
                </w:p>
              </w:tc>
              <w:tc>
                <w:tcPr>
                  <w:tcW w:w="736" w:type="pct"/>
                  <w:shd w:val="clear" w:color="auto" w:fill="auto"/>
                  <w:vAlign w:val="center"/>
                </w:tcPr>
                <w:p>
                  <w:pPr>
                    <w:jc w:val="center"/>
                    <w:rPr>
                      <w:rFonts w:ascii="Times New Roman" w:hAnsi="Times New Roman"/>
                      <w:color w:val="auto"/>
                      <w:kern w:val="0"/>
                      <w:szCs w:val="21"/>
                      <w:highlight w:val="yellow"/>
                    </w:rPr>
                  </w:pPr>
                  <w:r>
                    <w:rPr>
                      <w:rFonts w:hint="eastAsia" w:ascii="Times New Roman" w:hAnsi="Times New Roman"/>
                      <w:color w:val="auto"/>
                      <w:kern w:val="0"/>
                      <w:szCs w:val="21"/>
                    </w:rPr>
                    <w:t>91.17</w:t>
                  </w:r>
                </w:p>
              </w:tc>
              <w:tc>
                <w:tcPr>
                  <w:tcW w:w="1624"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膨润土-聚合物钻井液体系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70"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二开</w:t>
                  </w:r>
                </w:p>
              </w:tc>
              <w:tc>
                <w:tcPr>
                  <w:tcW w:w="1080" w:type="pct"/>
                  <w:shd w:val="clear" w:color="auto" w:fill="auto"/>
                  <w:vAlign w:val="center"/>
                </w:tcPr>
                <w:p>
                  <w:pPr>
                    <w:jc w:val="center"/>
                    <w:rPr>
                      <w:rFonts w:ascii="Times New Roman" w:hAnsi="Times New Roman"/>
                      <w:color w:val="auto"/>
                      <w:kern w:val="0"/>
                      <w:szCs w:val="21"/>
                      <w:highlight w:val="yellow"/>
                    </w:rPr>
                  </w:pPr>
                  <w:r>
                    <w:rPr>
                      <w:rFonts w:ascii="Times New Roman" w:hAnsi="Times New Roman"/>
                      <w:color w:val="auto"/>
                      <w:kern w:val="0"/>
                      <w:szCs w:val="21"/>
                    </w:rPr>
                    <w:t>151-</w:t>
                  </w:r>
                  <w:r>
                    <w:rPr>
                      <w:rFonts w:hint="eastAsia" w:ascii="Times New Roman" w:hAnsi="Times New Roman"/>
                      <w:color w:val="auto"/>
                      <w:kern w:val="0"/>
                      <w:szCs w:val="21"/>
                    </w:rPr>
                    <w:t>1073</w:t>
                  </w:r>
                </w:p>
              </w:tc>
              <w:tc>
                <w:tcPr>
                  <w:tcW w:w="688" w:type="pc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922</w:t>
                  </w:r>
                </w:p>
              </w:tc>
              <w:tc>
                <w:tcPr>
                  <w:tcW w:w="736" w:type="pct"/>
                  <w:shd w:val="clear" w:color="auto" w:fill="auto"/>
                  <w:vAlign w:val="center"/>
                </w:tcPr>
                <w:p>
                  <w:pPr>
                    <w:jc w:val="center"/>
                    <w:rPr>
                      <w:rFonts w:ascii="Times New Roman" w:hAnsi="Times New Roman"/>
                      <w:color w:val="auto"/>
                      <w:kern w:val="0"/>
                      <w:szCs w:val="21"/>
                      <w:highlight w:val="yellow"/>
                    </w:rPr>
                  </w:pPr>
                  <w:r>
                    <w:rPr>
                      <w:rFonts w:hint="eastAsia" w:ascii="Times New Roman" w:hAnsi="Times New Roman"/>
                      <w:color w:val="auto"/>
                      <w:kern w:val="0"/>
                      <w:szCs w:val="21"/>
                    </w:rPr>
                    <w:t>130.06</w:t>
                  </w:r>
                </w:p>
              </w:tc>
              <w:tc>
                <w:tcPr>
                  <w:tcW w:w="1624"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膨润土-聚合物钻井液体系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70"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单井合计</w:t>
                  </w:r>
                </w:p>
              </w:tc>
              <w:tc>
                <w:tcPr>
                  <w:tcW w:w="1080" w:type="pct"/>
                  <w:shd w:val="clear" w:color="auto" w:fill="auto"/>
                  <w:vAlign w:val="center"/>
                </w:tcPr>
                <w:p>
                  <w:pPr>
                    <w:jc w:val="center"/>
                    <w:rPr>
                      <w:rFonts w:ascii="Times New Roman" w:hAnsi="Times New Roman"/>
                      <w:color w:val="auto"/>
                      <w:kern w:val="0"/>
                      <w:szCs w:val="21"/>
                    </w:rPr>
                  </w:pPr>
                </w:p>
              </w:tc>
              <w:tc>
                <w:tcPr>
                  <w:tcW w:w="688" w:type="pct"/>
                  <w:shd w:val="clear" w:color="auto" w:fill="auto"/>
                  <w:vAlign w:val="center"/>
                </w:tcPr>
                <w:p>
                  <w:pPr>
                    <w:jc w:val="center"/>
                    <w:rPr>
                      <w:rFonts w:ascii="Times New Roman" w:hAnsi="Times New Roman"/>
                      <w:color w:val="auto"/>
                      <w:kern w:val="0"/>
                      <w:szCs w:val="21"/>
                    </w:rPr>
                  </w:pPr>
                </w:p>
              </w:tc>
              <w:tc>
                <w:tcPr>
                  <w:tcW w:w="736" w:type="pct"/>
                  <w:shd w:val="clear" w:color="auto" w:fill="auto"/>
                  <w:vAlign w:val="center"/>
                </w:tcPr>
                <w:p>
                  <w:pPr>
                    <w:jc w:val="center"/>
                    <w:rPr>
                      <w:rFonts w:ascii="Times New Roman" w:hAnsi="Times New Roman"/>
                      <w:color w:val="auto"/>
                      <w:kern w:val="0"/>
                      <w:szCs w:val="21"/>
                      <w:highlight w:val="yellow"/>
                    </w:rPr>
                  </w:pPr>
                  <w:r>
                    <w:rPr>
                      <w:rFonts w:hint="eastAsia" w:ascii="Times New Roman" w:hAnsi="Times New Roman"/>
                      <w:color w:val="auto"/>
                      <w:kern w:val="0"/>
                      <w:szCs w:val="21"/>
                    </w:rPr>
                    <w:t>221.23</w:t>
                  </w:r>
                </w:p>
              </w:tc>
              <w:tc>
                <w:tcPr>
                  <w:tcW w:w="1624" w:type="pct"/>
                  <w:shd w:val="clear" w:color="auto" w:fill="auto"/>
                  <w:vAlign w:val="center"/>
                </w:tcPr>
                <w:p>
                  <w:pPr>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70"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15口井合计</w:t>
                  </w:r>
                </w:p>
              </w:tc>
              <w:tc>
                <w:tcPr>
                  <w:tcW w:w="1080" w:type="pct"/>
                  <w:shd w:val="clear" w:color="auto" w:fill="auto"/>
                  <w:vAlign w:val="center"/>
                </w:tcPr>
                <w:p>
                  <w:pPr>
                    <w:jc w:val="center"/>
                    <w:rPr>
                      <w:rFonts w:ascii="Times New Roman" w:hAnsi="Times New Roman"/>
                      <w:color w:val="auto"/>
                      <w:kern w:val="0"/>
                      <w:szCs w:val="21"/>
                    </w:rPr>
                  </w:pPr>
                </w:p>
              </w:tc>
              <w:tc>
                <w:tcPr>
                  <w:tcW w:w="688" w:type="pct"/>
                  <w:shd w:val="clear" w:color="auto" w:fill="auto"/>
                  <w:vAlign w:val="center"/>
                </w:tcPr>
                <w:p>
                  <w:pPr>
                    <w:jc w:val="center"/>
                    <w:rPr>
                      <w:rFonts w:ascii="Times New Roman" w:hAnsi="Times New Roman"/>
                      <w:color w:val="auto"/>
                      <w:kern w:val="0"/>
                      <w:szCs w:val="21"/>
                    </w:rPr>
                  </w:pPr>
                </w:p>
              </w:tc>
              <w:tc>
                <w:tcPr>
                  <w:tcW w:w="736" w:type="pct"/>
                  <w:shd w:val="clear" w:color="auto" w:fill="auto"/>
                  <w:vAlign w:val="center"/>
                </w:tcPr>
                <w:p>
                  <w:pPr>
                    <w:jc w:val="center"/>
                    <w:rPr>
                      <w:rFonts w:ascii="Times New Roman" w:hAnsi="Times New Roman"/>
                      <w:color w:val="auto"/>
                      <w:kern w:val="0"/>
                      <w:szCs w:val="21"/>
                      <w:highlight w:val="yellow"/>
                    </w:rPr>
                  </w:pPr>
                  <w:r>
                    <w:rPr>
                      <w:rFonts w:hint="eastAsia" w:ascii="Times New Roman" w:hAnsi="Times New Roman"/>
                      <w:color w:val="auto"/>
                      <w:kern w:val="0"/>
                      <w:szCs w:val="21"/>
                    </w:rPr>
                    <w:t>3318.45</w:t>
                  </w:r>
                </w:p>
              </w:tc>
              <w:tc>
                <w:tcPr>
                  <w:tcW w:w="1624" w:type="pct"/>
                  <w:shd w:val="clear" w:color="auto" w:fill="auto"/>
                  <w:vAlign w:val="center"/>
                </w:tcPr>
                <w:p>
                  <w:pPr>
                    <w:jc w:val="center"/>
                    <w:rPr>
                      <w:rFonts w:ascii="Times New Roman" w:hAnsi="Times New Roman"/>
                      <w:color w:val="auto"/>
                      <w:kern w:val="0"/>
                      <w:szCs w:val="21"/>
                    </w:rPr>
                  </w:pPr>
                </w:p>
              </w:tc>
            </w:tr>
          </w:tbl>
          <w:p>
            <w:pPr>
              <w:pStyle w:val="48"/>
              <w:spacing w:before="120" w:beforeLines="50" w:line="360" w:lineRule="auto"/>
              <w:ind w:firstLine="480"/>
              <w:jc w:val="both"/>
              <w:rPr>
                <w:rFonts w:ascii="Times New Roman" w:hAnsi="Times New Roman"/>
                <w:color w:val="auto"/>
                <w:vertAlign w:val="superscript"/>
              </w:rPr>
            </w:pPr>
            <w:r>
              <w:rPr>
                <w:rFonts w:ascii="Times New Roman" w:hAnsi="Times New Roman"/>
                <w:color w:val="auto"/>
              </w:rPr>
              <w:t>本项目钻井过程中均采用水基非磺化泥浆。根据上述公示计算得知：本项目新钻15口井，共产生钻井泥浆</w:t>
            </w:r>
            <w:r>
              <w:rPr>
                <w:rFonts w:hint="eastAsia" w:ascii="Times New Roman" w:hAnsi="Times New Roman"/>
                <w:color w:val="auto"/>
              </w:rPr>
              <w:t>3318.45</w:t>
            </w:r>
            <w:r>
              <w:rPr>
                <w:rFonts w:ascii="Times New Roman" w:hAnsi="Times New Roman"/>
                <w:color w:val="auto"/>
              </w:rPr>
              <w:t>m³，泥浆回收率为80%，故本项目废弃泥浆量为</w:t>
            </w:r>
            <w:r>
              <w:rPr>
                <w:rFonts w:hint="eastAsia" w:ascii="Times New Roman" w:hAnsi="Times New Roman"/>
                <w:color w:val="auto"/>
              </w:rPr>
              <w:t>2654.76</w:t>
            </w:r>
            <w:r>
              <w:rPr>
                <w:rFonts w:ascii="Times New Roman" w:hAnsi="Times New Roman"/>
                <w:color w:val="auto"/>
              </w:rPr>
              <w:t>m</w:t>
            </w:r>
            <w:r>
              <w:rPr>
                <w:rFonts w:ascii="Times New Roman" w:hAnsi="Times New Roman"/>
                <w:color w:val="auto"/>
                <w:vertAlign w:val="superscript"/>
              </w:rPr>
              <w:t>3</w:t>
            </w:r>
            <w:r>
              <w:rPr>
                <w:rFonts w:hint="eastAsia" w:ascii="Times New Roman" w:hAnsi="Times New Roman"/>
                <w:color w:val="auto"/>
              </w:rPr>
              <w:t>，本项目采油井在钻井过程中产生的泥浆</w:t>
            </w:r>
            <w:r>
              <w:rPr>
                <w:rFonts w:ascii="Times New Roman" w:hAnsi="Times New Roman"/>
                <w:color w:val="auto"/>
              </w:rPr>
              <w:t>（</w:t>
            </w:r>
            <w:r>
              <w:rPr>
                <w:rFonts w:hint="eastAsia" w:ascii="Times New Roman" w:hAnsi="Times New Roman"/>
                <w:color w:val="auto"/>
              </w:rPr>
              <w:t>一般固体废物代码：</w:t>
            </w:r>
            <w:r>
              <w:rPr>
                <w:rFonts w:ascii="Times New Roman" w:hAnsi="Times New Roman" w:eastAsia="仿宋_GB2312"/>
                <w:bCs/>
                <w:color w:val="auto"/>
                <w:szCs w:val="32"/>
              </w:rPr>
              <w:t>071-001-99</w:t>
            </w:r>
            <w:r>
              <w:rPr>
                <w:rFonts w:ascii="Times New Roman" w:hAnsi="Times New Roman"/>
                <w:color w:val="auto"/>
              </w:rPr>
              <w:t>）</w:t>
            </w:r>
            <w:r>
              <w:rPr>
                <w:rFonts w:hint="eastAsia" w:ascii="Times New Roman" w:hAnsi="Times New Roman"/>
                <w:color w:val="auto"/>
              </w:rPr>
              <w:t>和岩屑</w:t>
            </w:r>
            <w:r>
              <w:rPr>
                <w:rFonts w:ascii="Times New Roman" w:hAnsi="Times New Roman"/>
                <w:color w:val="auto"/>
              </w:rPr>
              <w:t>（</w:t>
            </w:r>
            <w:r>
              <w:rPr>
                <w:rFonts w:hint="eastAsia" w:ascii="Times New Roman" w:hAnsi="Times New Roman"/>
                <w:color w:val="auto"/>
              </w:rPr>
              <w:t>一般固体废物代码：</w:t>
            </w:r>
            <w:r>
              <w:rPr>
                <w:rFonts w:ascii="Times New Roman" w:hAnsi="Times New Roman" w:eastAsia="仿宋_GB2312"/>
                <w:bCs/>
                <w:color w:val="auto"/>
                <w:szCs w:val="32"/>
              </w:rPr>
              <w:t>071-001-99</w:t>
            </w:r>
            <w:r>
              <w:rPr>
                <w:rFonts w:ascii="Times New Roman" w:hAnsi="Times New Roman"/>
                <w:color w:val="auto"/>
              </w:rPr>
              <w:t>）</w:t>
            </w:r>
            <w:r>
              <w:rPr>
                <w:rFonts w:hint="eastAsia" w:ascii="Times New Roman" w:hAnsi="Times New Roman"/>
                <w:color w:val="auto"/>
              </w:rPr>
              <w:t>全部委托山东奥友环保工程有限责任公司进行不落地作业，由罐体收集后运离井场进行专业处理。</w:t>
            </w:r>
          </w:p>
          <w:p>
            <w:pPr>
              <w:pStyle w:val="48"/>
              <w:spacing w:line="360" w:lineRule="auto"/>
              <w:ind w:firstLine="480"/>
              <w:jc w:val="both"/>
              <w:rPr>
                <w:rFonts w:ascii="Times New Roman" w:hAnsi="Times New Roman"/>
                <w:color w:val="auto"/>
              </w:rPr>
            </w:pPr>
            <w:r>
              <w:rPr>
                <w:rFonts w:ascii="Times New Roman" w:hAnsi="Times New Roman"/>
                <w:color w:val="auto"/>
              </w:rPr>
              <w:t>（</w:t>
            </w:r>
            <w:r>
              <w:rPr>
                <w:rFonts w:hint="eastAsia" w:ascii="Times New Roman" w:hAnsi="Times New Roman"/>
                <w:color w:val="auto"/>
              </w:rPr>
              <w:t>4</w:t>
            </w:r>
            <w:r>
              <w:rPr>
                <w:rFonts w:ascii="Times New Roman" w:hAnsi="Times New Roman"/>
                <w:color w:val="auto"/>
              </w:rPr>
              <w:t>）建筑垃圾</w:t>
            </w:r>
          </w:p>
          <w:p>
            <w:pPr>
              <w:pStyle w:val="48"/>
              <w:spacing w:line="360" w:lineRule="auto"/>
              <w:ind w:firstLine="480"/>
              <w:jc w:val="both"/>
              <w:rPr>
                <w:rFonts w:ascii="Times New Roman" w:hAnsi="Times New Roman"/>
                <w:color w:val="auto"/>
              </w:rPr>
            </w:pPr>
            <w:r>
              <w:rPr>
                <w:rFonts w:ascii="Times New Roman" w:hAnsi="Times New Roman"/>
                <w:color w:val="auto"/>
              </w:rPr>
              <w:t>施工过程中产生的</w:t>
            </w:r>
            <w:r>
              <w:rPr>
                <w:rFonts w:ascii="Times New Roman" w:hAnsi="Times New Roman"/>
                <w:color w:val="auto"/>
                <w:lang w:val="zh-CN"/>
              </w:rPr>
              <w:t>废边角料、废包装物等</w:t>
            </w:r>
            <w:r>
              <w:rPr>
                <w:rFonts w:ascii="Times New Roman" w:hAnsi="Times New Roman"/>
                <w:color w:val="auto"/>
              </w:rPr>
              <w:t>产生量较少，统一收集，先回收利用，不能回收利用的</w:t>
            </w:r>
            <w:r>
              <w:rPr>
                <w:rFonts w:hint="eastAsia" w:ascii="Times New Roman" w:hAnsi="Times New Roman"/>
                <w:color w:val="auto"/>
              </w:rPr>
              <w:t>应运至当地环卫部门指定的生活垃圾填埋场建筑垃圾填埋区进行处置</w:t>
            </w:r>
            <w:r>
              <w:rPr>
                <w:rFonts w:ascii="Times New Roman" w:hAnsi="Times New Roman"/>
                <w:color w:val="auto"/>
                <w:kern w:val="0"/>
              </w:rPr>
              <w:t>。</w:t>
            </w:r>
          </w:p>
          <w:p>
            <w:pPr>
              <w:pStyle w:val="48"/>
              <w:spacing w:line="360" w:lineRule="auto"/>
              <w:ind w:firstLine="480"/>
              <w:jc w:val="both"/>
              <w:rPr>
                <w:rFonts w:ascii="Times New Roman" w:hAnsi="Times New Roman"/>
                <w:color w:val="auto"/>
                <w:lang w:val="zh-CN"/>
              </w:rPr>
            </w:pPr>
            <w:r>
              <w:rPr>
                <w:rFonts w:ascii="Times New Roman" w:hAnsi="Times New Roman"/>
                <w:color w:val="auto"/>
                <w:lang w:val="zh-CN"/>
              </w:rPr>
              <w:t>（</w:t>
            </w:r>
            <w:r>
              <w:rPr>
                <w:rFonts w:ascii="Times New Roman" w:hAnsi="Times New Roman"/>
                <w:color w:val="auto"/>
              </w:rPr>
              <w:t>5</w:t>
            </w:r>
            <w:r>
              <w:rPr>
                <w:rFonts w:ascii="Times New Roman" w:hAnsi="Times New Roman"/>
                <w:color w:val="auto"/>
                <w:lang w:val="zh-CN"/>
              </w:rPr>
              <w:t>）废机油</w:t>
            </w:r>
          </w:p>
          <w:p>
            <w:pPr>
              <w:pStyle w:val="48"/>
              <w:spacing w:line="360" w:lineRule="auto"/>
              <w:ind w:firstLine="480"/>
              <w:jc w:val="both"/>
              <w:rPr>
                <w:rFonts w:ascii="Times New Roman" w:hAnsi="Times New Roman"/>
                <w:color w:val="auto"/>
              </w:rPr>
            </w:pPr>
            <w:r>
              <w:rPr>
                <w:rFonts w:ascii="Times New Roman" w:hAnsi="Times New Roman"/>
                <w:color w:val="auto"/>
                <w:lang w:val="zh-CN"/>
              </w:rPr>
              <w:t>由于钻井井场有发电机、钻机和钻井液循环泵及其他动力设备，需要定期保养维护，产生一定量的废机油，参照新疆油田其他使用相同动力设备的井在钻井过程中产生废机油的量可知，本项目单井井场钻井期产生的废机油为0.5t，整个施工期废机油的产生量共计</w:t>
            </w:r>
            <w:r>
              <w:rPr>
                <w:rFonts w:ascii="Times New Roman" w:hAnsi="Times New Roman"/>
                <w:color w:val="auto"/>
              </w:rPr>
              <w:t>7.5</w:t>
            </w:r>
            <w:r>
              <w:rPr>
                <w:rFonts w:ascii="Times New Roman" w:hAnsi="Times New Roman"/>
                <w:color w:val="auto"/>
                <w:lang w:val="zh-CN"/>
              </w:rPr>
              <w:t>t</w:t>
            </w:r>
            <w:r>
              <w:rPr>
                <w:rStyle w:val="42"/>
                <w:rFonts w:hint="eastAsia" w:ascii="Calibri" w:hAnsi="Calibri"/>
                <w:color w:val="auto"/>
                <w:kern w:val="0"/>
              </w:rPr>
              <w:t>，</w:t>
            </w:r>
            <w:r>
              <w:rPr>
                <w:rStyle w:val="42"/>
                <w:rFonts w:hint="eastAsia" w:ascii="Calibri" w:hAnsi="Calibri"/>
                <w:color w:val="auto"/>
                <w:kern w:val="0"/>
                <w:sz w:val="24"/>
              </w:rPr>
              <w:t>集中收集后暂存于密封铁桶内</w:t>
            </w:r>
            <w:r>
              <w:rPr>
                <w:rFonts w:ascii="Times New Roman" w:hAnsi="Times New Roman"/>
                <w:color w:val="auto"/>
                <w:lang w:val="zh-CN"/>
              </w:rPr>
              <w:t>。废机油属于《国家危险废物名录（2021年版）》HW08废矿物油与含矿物油类危险废物，代码：900-214-08，危险特性为T，I，集中收集后</w:t>
            </w:r>
            <w:r>
              <w:rPr>
                <w:rFonts w:ascii="Times New Roman" w:hAnsi="Times New Roman"/>
                <w:color w:val="auto"/>
              </w:rPr>
              <w:t>委托</w:t>
            </w:r>
            <w:r>
              <w:rPr>
                <w:rFonts w:hint="eastAsia" w:ascii="Times New Roman" w:hAnsi="Times New Roman"/>
                <w:color w:val="auto"/>
              </w:rPr>
              <w:t>具有相应危废处置资质的单位</w:t>
            </w:r>
            <w:r>
              <w:rPr>
                <w:rFonts w:ascii="Times New Roman" w:hAnsi="Times New Roman"/>
                <w:color w:val="auto"/>
              </w:rPr>
              <w:t>转运、处置。</w:t>
            </w:r>
          </w:p>
          <w:p>
            <w:pPr>
              <w:pStyle w:val="48"/>
              <w:spacing w:line="360" w:lineRule="auto"/>
              <w:ind w:firstLine="480"/>
              <w:jc w:val="both"/>
              <w:rPr>
                <w:rFonts w:ascii="Times New Roman" w:hAnsi="Times New Roman"/>
                <w:color w:val="auto"/>
                <w:lang w:val="zh-CN"/>
              </w:rPr>
            </w:pPr>
            <w:r>
              <w:rPr>
                <w:rFonts w:ascii="Times New Roman" w:hAnsi="Times New Roman"/>
                <w:color w:val="auto"/>
                <w:kern w:val="0"/>
              </w:rPr>
              <w:t>（</w:t>
            </w:r>
            <w:r>
              <w:rPr>
                <w:rFonts w:hint="eastAsia" w:ascii="Times New Roman" w:hAnsi="Times New Roman"/>
                <w:color w:val="auto"/>
                <w:kern w:val="0"/>
              </w:rPr>
              <w:t>6</w:t>
            </w:r>
            <w:r>
              <w:rPr>
                <w:rFonts w:ascii="Times New Roman" w:hAnsi="Times New Roman"/>
                <w:color w:val="auto"/>
                <w:kern w:val="0"/>
              </w:rPr>
              <w:t>）</w:t>
            </w:r>
            <w:r>
              <w:rPr>
                <w:rFonts w:ascii="Times New Roman" w:hAnsi="Times New Roman"/>
                <w:color w:val="auto"/>
                <w:lang w:val="zh-CN"/>
              </w:rPr>
              <w:t>沾油废物</w:t>
            </w:r>
          </w:p>
          <w:p>
            <w:pPr>
              <w:spacing w:line="360" w:lineRule="auto"/>
              <w:ind w:firstLine="480" w:firstLineChars="200"/>
              <w:rPr>
                <w:rFonts w:ascii="Times New Roman" w:hAnsi="Times New Roman"/>
                <w:color w:val="auto"/>
                <w:sz w:val="24"/>
              </w:rPr>
            </w:pPr>
            <w:r>
              <w:rPr>
                <w:rFonts w:ascii="Times New Roman" w:hAnsi="Times New Roman"/>
                <w:color w:val="auto"/>
                <w:sz w:val="24"/>
              </w:rPr>
              <w:t>为防治土壤和地下水污染，</w:t>
            </w:r>
            <w:r>
              <w:rPr>
                <w:rFonts w:hint="eastAsia" w:ascii="Times New Roman" w:hAnsi="Times New Roman"/>
                <w:color w:val="auto"/>
                <w:sz w:val="24"/>
              </w:rPr>
              <w:t>施工期间钻井井场内的</w:t>
            </w:r>
            <w:r>
              <w:rPr>
                <w:rFonts w:ascii="Times New Roman" w:hAnsi="Times New Roman"/>
                <w:color w:val="auto"/>
                <w:sz w:val="24"/>
              </w:rPr>
              <w:t>井口区地面</w:t>
            </w:r>
            <w:r>
              <w:rPr>
                <w:rFonts w:hint="eastAsia" w:ascii="Times New Roman" w:hAnsi="Times New Roman"/>
                <w:color w:val="auto"/>
                <w:sz w:val="24"/>
              </w:rPr>
              <w:t>、</w:t>
            </w:r>
            <w:r>
              <w:rPr>
                <w:rFonts w:ascii="Times New Roman" w:hAnsi="Times New Roman"/>
                <w:color w:val="auto"/>
                <w:sz w:val="24"/>
              </w:rPr>
              <w:t>放喷池池底及池壁</w:t>
            </w:r>
            <w:r>
              <w:rPr>
                <w:rFonts w:hint="eastAsia" w:ascii="Times New Roman" w:hAnsi="Times New Roman"/>
                <w:color w:val="auto"/>
                <w:sz w:val="24"/>
              </w:rPr>
              <w:t>、</w:t>
            </w:r>
            <w:r>
              <w:rPr>
                <w:rFonts w:ascii="Times New Roman" w:hAnsi="Times New Roman"/>
                <w:color w:val="auto"/>
                <w:sz w:val="24"/>
              </w:rPr>
              <w:t>泥浆循环系统区域地面</w:t>
            </w:r>
            <w:r>
              <w:rPr>
                <w:rFonts w:hint="eastAsia" w:ascii="Times New Roman" w:hAnsi="Times New Roman"/>
                <w:color w:val="auto"/>
                <w:sz w:val="24"/>
              </w:rPr>
              <w:t>、柴油机、发电机房、柴油桶区、废油桶、岩屑收集罐存放处均铺设HDPE防渗膜</w:t>
            </w:r>
            <w:r>
              <w:rPr>
                <w:rFonts w:ascii="Times New Roman" w:hAnsi="Times New Roman"/>
                <w:color w:val="auto"/>
                <w:sz w:val="24"/>
              </w:rPr>
              <w:t>，试油完成后，需对井场铺设的防渗膜按照危险废物进行收集并</w:t>
            </w:r>
            <w:r>
              <w:rPr>
                <w:rFonts w:hint="eastAsia" w:ascii="Times New Roman" w:hAnsi="Times New Roman"/>
                <w:color w:val="auto"/>
                <w:sz w:val="24"/>
              </w:rPr>
              <w:t>进行处理。钻井过程中产生的废机油桶和废防渗膜</w:t>
            </w:r>
            <w:r>
              <w:rPr>
                <w:rFonts w:ascii="Times New Roman" w:hAnsi="Times New Roman"/>
                <w:color w:val="auto"/>
                <w:sz w:val="24"/>
              </w:rPr>
              <w:t>属于危险废物HW08废矿物油与含矿物油废物（900-249-08），</w:t>
            </w:r>
            <w:r>
              <w:rPr>
                <w:rFonts w:hint="eastAsia" w:ascii="Times New Roman" w:hAnsi="Times New Roman"/>
                <w:color w:val="auto"/>
                <w:sz w:val="24"/>
              </w:rPr>
              <w:t>废弃的含油抹布、劳保用品属于</w:t>
            </w:r>
            <w:r>
              <w:rPr>
                <w:rFonts w:ascii="Times New Roman" w:hAnsi="Times New Roman"/>
                <w:color w:val="auto"/>
                <w:sz w:val="24"/>
                <w:lang w:val="zh-CN"/>
              </w:rPr>
              <w:t>HW49</w:t>
            </w:r>
            <w:r>
              <w:rPr>
                <w:rFonts w:hint="eastAsia" w:ascii="Times New Roman" w:hAnsi="Times New Roman"/>
                <w:color w:val="auto"/>
                <w:sz w:val="24"/>
              </w:rPr>
              <w:t>其他废物（</w:t>
            </w:r>
            <w:r>
              <w:rPr>
                <w:rFonts w:ascii="Times New Roman" w:hAnsi="Times New Roman"/>
                <w:color w:val="auto"/>
                <w:sz w:val="24"/>
                <w:lang w:val="zh-CN"/>
              </w:rPr>
              <w:t>900-041-49</w:t>
            </w:r>
            <w:r>
              <w:rPr>
                <w:rFonts w:hint="eastAsia" w:ascii="Times New Roman" w:hAnsi="Times New Roman"/>
                <w:color w:val="auto"/>
                <w:sz w:val="24"/>
              </w:rPr>
              <w:t>）。</w:t>
            </w:r>
            <w:r>
              <w:rPr>
                <w:rFonts w:ascii="Times New Roman" w:hAnsi="Times New Roman"/>
                <w:color w:val="auto"/>
                <w:sz w:val="24"/>
              </w:rPr>
              <w:t>每口井每次产生沾油废物约0.05t，15口井产生的沾油废物为0.75t，集中收集后暂存于密封铁桶内，</w:t>
            </w:r>
            <w:r>
              <w:rPr>
                <w:rFonts w:hint="eastAsia" w:ascii="Times New Roman" w:hAnsi="Times New Roman"/>
                <w:color w:val="auto"/>
                <w:sz w:val="24"/>
              </w:rPr>
              <w:t>废机油桶、废弃的含油抹布、劳保用品，废弃防渗膜集中收集后委托克拉玛依沃森科技环保有限公司进行处置。</w:t>
            </w:r>
          </w:p>
          <w:p>
            <w:pPr>
              <w:pStyle w:val="48"/>
              <w:spacing w:line="360" w:lineRule="auto"/>
              <w:ind w:firstLine="480"/>
              <w:jc w:val="both"/>
              <w:rPr>
                <w:rFonts w:ascii="Times New Roman" w:hAnsi="Times New Roman"/>
                <w:color w:val="auto"/>
              </w:rPr>
            </w:pPr>
            <w:r>
              <w:rPr>
                <w:rFonts w:hint="eastAsia" w:ascii="Times New Roman" w:hAnsi="Times New Roman"/>
                <w:color w:val="auto"/>
                <w:lang w:val="zh-CN"/>
              </w:rPr>
              <w:t>（</w:t>
            </w:r>
            <w:r>
              <w:rPr>
                <w:rFonts w:hint="eastAsia" w:ascii="Times New Roman" w:hAnsi="Times New Roman"/>
                <w:color w:val="auto"/>
              </w:rPr>
              <w:t>7</w:t>
            </w:r>
            <w:r>
              <w:rPr>
                <w:rFonts w:hint="eastAsia" w:ascii="Times New Roman" w:hAnsi="Times New Roman"/>
                <w:color w:val="auto"/>
                <w:lang w:val="zh-CN"/>
              </w:rPr>
              <w:t>）</w:t>
            </w:r>
            <w:r>
              <w:rPr>
                <w:rFonts w:ascii="Times New Roman" w:hAnsi="Times New Roman"/>
                <w:color w:val="auto"/>
              </w:rPr>
              <w:t>落地油</w:t>
            </w:r>
          </w:p>
          <w:p>
            <w:pPr>
              <w:pStyle w:val="48"/>
              <w:spacing w:line="360" w:lineRule="auto"/>
              <w:ind w:firstLine="480"/>
              <w:jc w:val="both"/>
              <w:rPr>
                <w:color w:val="auto"/>
              </w:rPr>
            </w:pPr>
            <w:r>
              <w:rPr>
                <w:rFonts w:hint="eastAsia"/>
                <w:color w:val="auto"/>
              </w:rPr>
              <w:t>落地原油主要产生于油井采油树的阀门、法兰等处正常及事故状态下的泄漏、管线破损以及井下作业产生的落地原油。根据中国石油化工股份有限公司河南油田分公司新疆采油厂环境保护管理制度规定，井下作业时带罐作业，严禁产生落地油，因此，本项目落地油</w:t>
            </w:r>
            <w:r>
              <w:rPr>
                <w:rFonts w:hint="eastAsia" w:ascii="Times New Roman" w:hAnsi="Times New Roman" w:eastAsia="Times New Roman"/>
                <w:color w:val="auto"/>
              </w:rPr>
              <w:t>100%</w:t>
            </w:r>
            <w:r>
              <w:rPr>
                <w:rFonts w:hint="eastAsia"/>
                <w:color w:val="auto"/>
              </w:rPr>
              <w:t xml:space="preserve">回收。 </w:t>
            </w:r>
          </w:p>
          <w:p>
            <w:pPr>
              <w:pStyle w:val="48"/>
              <w:spacing w:line="360" w:lineRule="auto"/>
              <w:ind w:firstLine="482"/>
              <w:jc w:val="both"/>
              <w:rPr>
                <w:rFonts w:ascii="Times New Roman" w:hAnsi="Times New Roman"/>
                <w:b/>
                <w:color w:val="auto"/>
                <w:lang w:bidi="ar"/>
              </w:rPr>
            </w:pPr>
            <w:r>
              <w:rPr>
                <w:rFonts w:ascii="Times New Roman" w:hAnsi="Times New Roman"/>
                <w:b/>
                <w:color w:val="auto"/>
                <w:lang w:bidi="ar"/>
              </w:rPr>
              <w:t>6</w:t>
            </w:r>
            <w:r>
              <w:rPr>
                <w:rFonts w:hint="eastAsia" w:ascii="Times New Roman" w:hAnsi="Times New Roman"/>
                <w:b/>
                <w:color w:val="auto"/>
                <w:lang w:bidi="ar"/>
              </w:rPr>
              <w:t>．</w:t>
            </w:r>
            <w:r>
              <w:rPr>
                <w:rFonts w:ascii="Times New Roman" w:hAnsi="Times New Roman"/>
                <w:b/>
                <w:color w:val="auto"/>
                <w:lang w:bidi="ar"/>
              </w:rPr>
              <w:t>土壤环境影响分析</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施工占地将对地表土壤产生破坏性影响，钻井井场占地，以及堆积、挖掘、辗压、践踏等均改变原有的土壤结构。油井开发期间，占地都将改变原有土壤的理化性质和土壤结构，使原有土壤结构和性状难以恢复。但是施工期对土壤的影响程度轻，影响特征是部分可逆，影响时间为短期。</w:t>
            </w:r>
          </w:p>
          <w:p>
            <w:pPr>
              <w:spacing w:line="360" w:lineRule="auto"/>
              <w:ind w:firstLine="480" w:firstLineChars="200"/>
              <w:rPr>
                <w:rFonts w:ascii="Times New Roman" w:hAnsi="Times New Roman"/>
                <w:color w:val="auto"/>
                <w:sz w:val="24"/>
              </w:rPr>
            </w:pPr>
            <w:r>
              <w:rPr>
                <w:rFonts w:hint="eastAsia" w:ascii="宋体" w:hAnsi="宋体"/>
                <w:color w:val="auto"/>
                <w:sz w:val="24"/>
              </w:rPr>
              <w:t>在施工中，车辆行驶和机械作业时机械设备的碾压、施工人员的踩踏等都会对土壤的紧实度产生影响。机械碾压的结果使土壤紧实度增高，地表水入渗减少，土壤团粒结构遭到破坏，土壤养分流失，不利于植物生长。各种车辆（尤其是重型卡车）在耕地上行驶将使经过的土壤变紧实，严重的经过多次碾压后植物很难再生长，甚至退化为沙地。井场和管道的施工场地等都存在这种影响。</w:t>
            </w:r>
          </w:p>
          <w:p>
            <w:pPr>
              <w:pStyle w:val="43"/>
              <w:spacing w:line="360" w:lineRule="auto"/>
              <w:ind w:firstLine="480" w:firstLineChars="200"/>
              <w:jc w:val="left"/>
              <w:rPr>
                <w:rFonts w:ascii="Times New Roman" w:hAnsi="Times New Roman"/>
                <w:color w:val="auto"/>
                <w:sz w:val="24"/>
              </w:rPr>
            </w:pPr>
            <w:r>
              <w:rPr>
                <w:rFonts w:ascii="Times New Roman" w:hAnsi="Times New Roman"/>
                <w:color w:val="auto"/>
                <w:sz w:val="24"/>
              </w:rPr>
              <w:t>钻井作业对土壤的环境影响主要是钻井作业场地占用对周围土壤环境的影响。本项目共部署采油井15口，将改变井场区域的原地貌，使原有的农业耕地改变为油田建设区域。为减轻生态损失，环评要求在钻井作业前将井场范围内</w:t>
            </w:r>
            <w:r>
              <w:rPr>
                <w:rFonts w:hint="eastAsia" w:ascii="Times New Roman" w:hAnsi="Times New Roman"/>
                <w:color w:val="auto"/>
                <w:sz w:val="24"/>
              </w:rPr>
              <w:t>、井场道路</w:t>
            </w:r>
            <w:r>
              <w:rPr>
                <w:rFonts w:ascii="Times New Roman" w:hAnsi="Times New Roman"/>
                <w:color w:val="auto"/>
                <w:sz w:val="24"/>
              </w:rPr>
              <w:t>的耕作土层约35cm全部挖出，移至周边农田或荒地加以利用。</w:t>
            </w:r>
            <w:r>
              <w:rPr>
                <w:rFonts w:hint="eastAsia" w:ascii="Times New Roman" w:hAnsi="Times New Roman"/>
                <w:color w:val="auto"/>
                <w:sz w:val="24"/>
              </w:rPr>
              <w:t>对农田及临近区域拉设彩条进行隔离，防止车辆误入，避免油气开采施工对土壤环境的影响。</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本项目的钻井废水、废液</w:t>
            </w:r>
            <w:r>
              <w:rPr>
                <w:rFonts w:hint="eastAsia" w:ascii="Times New Roman" w:hAnsi="Times New Roman"/>
                <w:color w:val="auto"/>
                <w:sz w:val="24"/>
              </w:rPr>
              <w:t>、</w:t>
            </w:r>
            <w:r>
              <w:rPr>
                <w:rFonts w:ascii="Times New Roman" w:hAnsi="Times New Roman"/>
                <w:color w:val="auto"/>
                <w:sz w:val="24"/>
              </w:rPr>
              <w:t>废泥浆和岩屑均为不落地作业，现场设置不锈钢罐体收集，且在钻井作业前期</w:t>
            </w:r>
            <w:r>
              <w:rPr>
                <w:rFonts w:hint="eastAsia" w:ascii="Times New Roman" w:hAnsi="Times New Roman"/>
                <w:color w:val="auto"/>
                <w:sz w:val="24"/>
              </w:rPr>
              <w:t>1</w:t>
            </w:r>
            <w:r>
              <w:rPr>
                <w:rFonts w:ascii="Times New Roman" w:hAnsi="Times New Roman"/>
                <w:color w:val="auto"/>
                <w:sz w:val="24"/>
              </w:rPr>
              <w:t>5个井场地表均铺设防渗膜，防止事故洒出废水、泥浆、含油污泥等直接落于地表，作业后的钻井泥浆、岩屑及含油污泥全部拉走，洗井、修井等井下作业时带罐作业，洗井、修井等工艺产生的废水全部拉至春光联合站处置，严禁就地排放。</w:t>
            </w:r>
          </w:p>
          <w:p>
            <w:pPr>
              <w:pStyle w:val="48"/>
              <w:spacing w:line="360" w:lineRule="auto"/>
              <w:ind w:firstLine="482"/>
              <w:jc w:val="both"/>
              <w:rPr>
                <w:rFonts w:ascii="Times New Roman" w:hAnsi="Times New Roman"/>
                <w:b/>
                <w:color w:val="auto"/>
                <w:lang w:bidi="ar"/>
              </w:rPr>
            </w:pPr>
            <w:r>
              <w:rPr>
                <w:rFonts w:ascii="Times New Roman" w:hAnsi="Times New Roman"/>
                <w:b/>
                <w:color w:val="auto"/>
                <w:lang w:bidi="ar"/>
              </w:rPr>
              <w:t>7</w:t>
            </w:r>
            <w:r>
              <w:rPr>
                <w:rFonts w:hint="eastAsia" w:ascii="Times New Roman" w:hAnsi="Times New Roman"/>
                <w:b/>
                <w:color w:val="auto"/>
                <w:lang w:bidi="ar"/>
              </w:rPr>
              <w:t>．</w:t>
            </w:r>
            <w:r>
              <w:rPr>
                <w:rFonts w:ascii="Times New Roman" w:hAnsi="Times New Roman"/>
                <w:b/>
                <w:color w:val="auto"/>
                <w:lang w:bidi="ar"/>
              </w:rPr>
              <w:t>环境风险分析</w:t>
            </w:r>
          </w:p>
          <w:p>
            <w:pPr>
              <w:pStyle w:val="48"/>
              <w:adjustRightInd w:val="0"/>
              <w:snapToGrid w:val="0"/>
              <w:spacing w:line="360" w:lineRule="auto"/>
              <w:ind w:firstLine="480"/>
              <w:jc w:val="both"/>
              <w:rPr>
                <w:rFonts w:ascii="Times New Roman" w:hAnsi="Times New Roman"/>
                <w:color w:val="auto"/>
              </w:rPr>
            </w:pPr>
            <w:r>
              <w:rPr>
                <w:rStyle w:val="73"/>
                <w:rFonts w:ascii="Times New Roman" w:hAnsi="Times New Roman"/>
                <w:color w:val="auto"/>
              </w:rPr>
              <w:t>本项目施工期涉及的危险物质为柴油</w:t>
            </w:r>
            <w:r>
              <w:rPr>
                <w:rStyle w:val="73"/>
                <w:rFonts w:hint="eastAsia" w:ascii="Times New Roman" w:hAnsi="Times New Roman"/>
                <w:color w:val="auto"/>
              </w:rPr>
              <w:t>和原油</w:t>
            </w:r>
            <w:r>
              <w:rPr>
                <w:rStyle w:val="73"/>
                <w:rFonts w:ascii="Times New Roman" w:hAnsi="Times New Roman"/>
                <w:color w:val="auto"/>
              </w:rPr>
              <w:t>，</w:t>
            </w:r>
            <w:r>
              <w:rPr>
                <w:rFonts w:ascii="Times New Roman" w:hAnsi="Times New Roman"/>
                <w:color w:val="auto"/>
                <w:lang w:bidi="ar"/>
              </w:rPr>
              <w:t>环境风险事故主要为井喷、井漏和柴油</w:t>
            </w:r>
            <w:r>
              <w:rPr>
                <w:rFonts w:hint="eastAsia" w:ascii="Times New Roman" w:hAnsi="Times New Roman"/>
                <w:color w:val="auto"/>
                <w:lang w:bidi="ar"/>
              </w:rPr>
              <w:t>桶</w:t>
            </w:r>
            <w:r>
              <w:rPr>
                <w:rFonts w:ascii="Times New Roman" w:hAnsi="Times New Roman"/>
                <w:color w:val="auto"/>
                <w:lang w:bidi="ar"/>
              </w:rPr>
              <w:t>泄漏，</w:t>
            </w:r>
            <w:r>
              <w:rPr>
                <w:rFonts w:ascii="Times New Roman" w:hAnsi="Times New Roman"/>
                <w:color w:val="auto"/>
                <w:kern w:val="0"/>
                <w:shd w:val="clear" w:color="auto" w:fill="FFFFFF"/>
                <w:lang w:bidi="ar"/>
              </w:rPr>
              <w:t>井喷事故发生时对地下水环境的影响主要是原油以面源的形式渗漏进入包气带土壤并污染地下水</w:t>
            </w:r>
            <w:r>
              <w:rPr>
                <w:rFonts w:hint="eastAsia" w:ascii="Times New Roman" w:hAnsi="Times New Roman"/>
                <w:color w:val="auto"/>
                <w:kern w:val="0"/>
                <w:shd w:val="clear" w:color="auto" w:fill="FFFFFF"/>
                <w:lang w:bidi="ar"/>
              </w:rPr>
              <w:t>，</w:t>
            </w:r>
            <w:r>
              <w:rPr>
                <w:rFonts w:ascii="Times New Roman" w:hAnsi="Times New Roman"/>
                <w:color w:val="auto"/>
                <w:kern w:val="0"/>
                <w:shd w:val="clear" w:color="auto" w:fill="FFFFFF"/>
                <w:lang w:bidi="ar"/>
              </w:rPr>
              <w:t>项目区域降水稀少，不存在大量降水的淋滤作用</w:t>
            </w:r>
            <w:r>
              <w:rPr>
                <w:rFonts w:hint="eastAsia" w:ascii="Times New Roman" w:hAnsi="Times New Roman"/>
                <w:color w:val="auto"/>
                <w:kern w:val="0"/>
                <w:shd w:val="clear" w:color="auto" w:fill="FFFFFF"/>
                <w:lang w:bidi="ar"/>
              </w:rPr>
              <w:t>，</w:t>
            </w:r>
            <w:r>
              <w:rPr>
                <w:rFonts w:ascii="Times New Roman" w:hAnsi="Times New Roman"/>
                <w:color w:val="auto"/>
                <w:kern w:val="0"/>
                <w:shd w:val="clear" w:color="auto" w:fill="FFFFFF"/>
                <w:lang w:bidi="ar"/>
              </w:rPr>
              <w:t>井喷事故中的泄漏原油不会进入地下含水层污染地下水。</w:t>
            </w:r>
            <w:r>
              <w:rPr>
                <w:rFonts w:ascii="Times New Roman" w:hAnsi="Times New Roman"/>
                <w:color w:val="auto"/>
              </w:rPr>
              <w:t>在钻井过程中采用下套管注水泥固井、完井方式进行水泥固井，对含水层进行了固封处理，发生井漏的可能性较小，不会对地下水环境产生明显影响。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柴油桶泄漏后，柴油进入环境空气，其中的非甲烷总烃可能会对周围环境空气产生影响，若遇明火，可发生火灾、爆炸，火灾、爆炸产生的伴生/次生污染物可能对环境空气产生一定的影响。项目区春9</w:t>
            </w:r>
            <w:r>
              <w:rPr>
                <w:rFonts w:ascii="Times New Roman" w:hAnsi="Times New Roman"/>
                <w:color w:val="auto"/>
              </w:rPr>
              <w:t>9</w:t>
            </w:r>
            <w:r>
              <w:rPr>
                <w:rFonts w:hint="eastAsia" w:ascii="Times New Roman" w:hAnsi="Times New Roman"/>
                <w:color w:val="auto"/>
              </w:rPr>
              <w:t>区块周围存在居民区，</w:t>
            </w:r>
            <w:r>
              <w:rPr>
                <w:rFonts w:ascii="Times New Roman" w:hAnsi="Times New Roman"/>
                <w:color w:val="auto"/>
                <w:kern w:val="0"/>
                <w:shd w:val="clear" w:color="auto" w:fill="FFFFFF"/>
                <w:lang w:bidi="ar"/>
              </w:rPr>
              <w:t>一旦发生火灾事故</w:t>
            </w:r>
            <w:r>
              <w:rPr>
                <w:rFonts w:hint="eastAsia" w:ascii="Times New Roman" w:hAnsi="Times New Roman"/>
                <w:color w:val="auto"/>
                <w:kern w:val="0"/>
                <w:shd w:val="clear" w:color="auto" w:fill="FFFFFF"/>
                <w:lang w:bidi="ar"/>
              </w:rPr>
              <w:t>需</w:t>
            </w:r>
            <w:r>
              <w:rPr>
                <w:rFonts w:ascii="Times New Roman" w:hAnsi="Times New Roman"/>
                <w:color w:val="auto"/>
                <w:kern w:val="0"/>
                <w:shd w:val="clear" w:color="auto" w:fill="FFFFFF"/>
                <w:lang w:bidi="ar"/>
              </w:rPr>
              <w:t>及时启动救援，并疏散居住人群，对其影响较小。</w:t>
            </w:r>
            <w:r>
              <w:rPr>
                <w:rFonts w:hint="eastAsia" w:ascii="Times New Roman" w:hAnsi="Times New Roman"/>
                <w:color w:val="auto"/>
              </w:rPr>
              <w:t>其他区块地域空旷，扩散条件较好，发生事故后，及时采取相应的措施，不会对周围环境空气产生明显影响。</w:t>
            </w:r>
          </w:p>
          <w:p>
            <w:pPr>
              <w:pStyle w:val="48"/>
              <w:adjustRightInd w:val="0"/>
              <w:snapToGrid w:val="0"/>
              <w:spacing w:line="360" w:lineRule="auto"/>
              <w:ind w:firstLine="480"/>
              <w:jc w:val="both"/>
              <w:rPr>
                <w:rFonts w:ascii="Times New Roman" w:hAnsi="Times New Roman"/>
                <w:color w:val="auto"/>
              </w:rPr>
            </w:pPr>
            <w:r>
              <w:rPr>
                <w:rFonts w:hint="eastAsia" w:ascii="Times New Roman" w:hAnsi="Times New Roman"/>
                <w:color w:val="auto"/>
              </w:rPr>
              <w:t>柴油桶发生泄漏的概率极小，同时一旦发生泄漏会在较短时间内发现并采取堵漏措施，出现长期连续性泄漏的可能性很低，发生渗漏污染地下水的风险事故概率较低，发生泄漏事故后，若及时维修处理，即使有少量的污染物泄漏，也很难通过防渗层渗入包气带。发生泄漏后，及时清理，不能回收的柴油以及受污染的土壤应集中收集后交由有相应处理资质的单位进行回收处置。发生事故后，及时采取相应的措施，不会对周围土壤环境产生明显影响</w:t>
            </w:r>
            <w:r>
              <w:rPr>
                <w:rFonts w:hint="eastAsia"/>
                <w:color w:val="auto"/>
              </w:rPr>
              <w:t>。</w:t>
            </w:r>
          </w:p>
          <w:p>
            <w:pPr>
              <w:pStyle w:val="48"/>
              <w:spacing w:line="360" w:lineRule="auto"/>
              <w:ind w:firstLine="480"/>
              <w:jc w:val="both"/>
              <w:rPr>
                <w:rFonts w:ascii="Times New Roman" w:hAnsi="Times New Roman"/>
                <w:color w:val="auto"/>
                <w:lang w:bidi="ar"/>
              </w:rPr>
            </w:pPr>
            <w:r>
              <w:rPr>
                <w:rFonts w:ascii="Times New Roman" w:hAnsi="Times New Roman"/>
                <w:color w:val="auto"/>
                <w:lang w:bidi="ar"/>
              </w:rPr>
              <w:t>具体见环境风险专项评价报告。</w:t>
            </w:r>
          </w:p>
          <w:p>
            <w:pPr>
              <w:pStyle w:val="48"/>
              <w:spacing w:line="360" w:lineRule="auto"/>
              <w:ind w:firstLine="482"/>
              <w:jc w:val="both"/>
              <w:rPr>
                <w:rFonts w:ascii="Times New Roman" w:hAnsi="Times New Roman"/>
                <w:b/>
                <w:bCs/>
                <w:color w:val="auto"/>
                <w:lang w:bidi="ar"/>
              </w:rPr>
            </w:pPr>
            <w:r>
              <w:rPr>
                <w:rFonts w:hint="eastAsia" w:ascii="Times New Roman" w:hAnsi="Times New Roman"/>
                <w:b/>
                <w:bCs/>
                <w:color w:val="auto"/>
                <w:lang w:bidi="ar"/>
              </w:rPr>
              <w:t>8. 施工期污染物排放汇总</w:t>
            </w:r>
          </w:p>
          <w:p>
            <w:pPr>
              <w:spacing w:line="360" w:lineRule="auto"/>
              <w:ind w:firstLine="496" w:firstLineChars="200"/>
              <w:rPr>
                <w:color w:val="auto"/>
                <w:spacing w:val="4"/>
                <w:kern w:val="24"/>
                <w:sz w:val="24"/>
              </w:rPr>
            </w:pPr>
            <w:r>
              <w:rPr>
                <w:rFonts w:hint="eastAsia"/>
                <w:color w:val="auto"/>
                <w:spacing w:val="4"/>
                <w:kern w:val="24"/>
                <w:sz w:val="24"/>
              </w:rPr>
              <w:t>施工</w:t>
            </w:r>
            <w:r>
              <w:rPr>
                <w:color w:val="auto"/>
                <w:spacing w:val="4"/>
                <w:kern w:val="24"/>
                <w:sz w:val="24"/>
              </w:rPr>
              <w:t>期污染物排放汇总</w:t>
            </w:r>
            <w:r>
              <w:rPr>
                <w:rFonts w:ascii="Times New Roman" w:hAnsi="Times New Roman"/>
                <w:color w:val="auto"/>
                <w:spacing w:val="4"/>
                <w:kern w:val="24"/>
                <w:sz w:val="24"/>
              </w:rPr>
              <w:t>见表</w:t>
            </w:r>
            <w:r>
              <w:rPr>
                <w:rFonts w:hint="eastAsia" w:ascii="Times New Roman" w:hAnsi="Times New Roman"/>
                <w:color w:val="auto"/>
                <w:spacing w:val="4"/>
                <w:kern w:val="24"/>
                <w:sz w:val="24"/>
              </w:rPr>
              <w:t>4-5</w:t>
            </w:r>
            <w:r>
              <w:rPr>
                <w:color w:val="auto"/>
                <w:spacing w:val="4"/>
                <w:kern w:val="24"/>
                <w:sz w:val="24"/>
              </w:rPr>
              <w:t>。</w:t>
            </w:r>
          </w:p>
          <w:p>
            <w:pPr>
              <w:jc w:val="center"/>
              <w:rPr>
                <w:b/>
                <w:color w:val="auto"/>
                <w:kern w:val="0"/>
                <w:szCs w:val="21"/>
              </w:rPr>
            </w:pPr>
            <w:r>
              <w:rPr>
                <w:rFonts w:ascii="Times New Roman" w:hAnsi="Times New Roman"/>
                <w:b/>
                <w:color w:val="auto"/>
                <w:kern w:val="0"/>
                <w:szCs w:val="21"/>
              </w:rPr>
              <w:t xml:space="preserve">表4-5   </w:t>
            </w:r>
            <w:r>
              <w:rPr>
                <w:rFonts w:hint="eastAsia"/>
                <w:b/>
                <w:color w:val="auto"/>
                <w:kern w:val="0"/>
                <w:szCs w:val="21"/>
              </w:rPr>
              <w:t>施工</w:t>
            </w:r>
            <w:r>
              <w:rPr>
                <w:b/>
                <w:color w:val="auto"/>
                <w:kern w:val="0"/>
                <w:szCs w:val="21"/>
              </w:rPr>
              <w:t>期污染物排放汇总</w:t>
            </w:r>
            <w:r>
              <w:rPr>
                <w:rFonts w:hint="eastAsia"/>
                <w:b/>
                <w:color w:val="auto"/>
                <w:kern w:val="0"/>
                <w:szCs w:val="21"/>
              </w:rPr>
              <w:t>表</w:t>
            </w:r>
          </w:p>
          <w:tbl>
            <w:tblPr>
              <w:tblStyle w:val="37"/>
              <w:tblW w:w="4995"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68"/>
              <w:gridCol w:w="546"/>
              <w:gridCol w:w="935"/>
              <w:gridCol w:w="876"/>
              <w:gridCol w:w="1118"/>
              <w:gridCol w:w="1551"/>
              <w:gridCol w:w="2774"/>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25"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项目</w:t>
                  </w:r>
                </w:p>
              </w:tc>
              <w:tc>
                <w:tcPr>
                  <w:tcW w:w="33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工程</w:t>
                  </w: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污染源</w:t>
                  </w:r>
                </w:p>
              </w:tc>
              <w:tc>
                <w:tcPr>
                  <w:tcW w:w="1220" w:type="pct"/>
                  <w:gridSpan w:val="2"/>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主要污染物及</w:t>
                  </w:r>
                  <w:r>
                    <w:rPr>
                      <w:rFonts w:hint="eastAsia" w:ascii="Times New Roman" w:hAnsi="Times New Roman"/>
                      <w:color w:val="auto"/>
                      <w:szCs w:val="21"/>
                    </w:rPr>
                    <w:t>产生量</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主要污染物及排放量</w:t>
                  </w:r>
                </w:p>
              </w:tc>
              <w:tc>
                <w:tcPr>
                  <w:tcW w:w="1697"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排放去向</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25"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大气污染物</w:t>
                  </w:r>
                </w:p>
              </w:tc>
              <w:tc>
                <w:tcPr>
                  <w:tcW w:w="334"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井场、进场道路</w:t>
                  </w:r>
                </w:p>
              </w:tc>
              <w:tc>
                <w:tcPr>
                  <w:tcW w:w="572"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扬尘、机械、车辆尾气、</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CO</w:t>
                  </w:r>
                </w:p>
              </w:tc>
              <w:tc>
                <w:tcPr>
                  <w:tcW w:w="684"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少量</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阶段性排放</w:t>
                  </w:r>
                </w:p>
              </w:tc>
              <w:tc>
                <w:tcPr>
                  <w:tcW w:w="1697"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大气</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NO</w:t>
                  </w:r>
                  <w:r>
                    <w:rPr>
                      <w:rFonts w:ascii="Times New Roman" w:hAnsi="Times New Roman"/>
                      <w:color w:val="auto"/>
                      <w:szCs w:val="21"/>
                      <w:vertAlign w:val="subscript"/>
                    </w:rPr>
                    <w:t>2</w:t>
                  </w:r>
                </w:p>
              </w:tc>
              <w:tc>
                <w:tcPr>
                  <w:tcW w:w="68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阶段性排放</w:t>
                  </w:r>
                </w:p>
              </w:tc>
              <w:tc>
                <w:tcPr>
                  <w:tcW w:w="1697"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SO</w:t>
                  </w:r>
                  <w:r>
                    <w:rPr>
                      <w:rFonts w:ascii="Times New Roman" w:hAnsi="Times New Roman"/>
                      <w:color w:val="auto"/>
                      <w:szCs w:val="21"/>
                      <w:vertAlign w:val="subscript"/>
                    </w:rPr>
                    <w:t>2</w:t>
                  </w:r>
                </w:p>
              </w:tc>
              <w:tc>
                <w:tcPr>
                  <w:tcW w:w="68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阶段性排放</w:t>
                  </w:r>
                </w:p>
              </w:tc>
              <w:tc>
                <w:tcPr>
                  <w:tcW w:w="1697"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烃类</w:t>
                  </w:r>
                </w:p>
              </w:tc>
              <w:tc>
                <w:tcPr>
                  <w:tcW w:w="68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阶段性排放</w:t>
                  </w:r>
                </w:p>
              </w:tc>
              <w:tc>
                <w:tcPr>
                  <w:tcW w:w="1697"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225"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水污染物</w:t>
                  </w:r>
                </w:p>
              </w:tc>
              <w:tc>
                <w:tcPr>
                  <w:tcW w:w="334"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井场</w:t>
                  </w: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钻井废水</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SS、COD、石油类、挥发酚</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highlight w:val="yellow"/>
                    </w:rPr>
                  </w:pPr>
                  <w:r>
                    <w:rPr>
                      <w:rFonts w:hint="eastAsia" w:ascii="Times New Roman" w:hAnsi="Times New Roman"/>
                      <w:color w:val="auto"/>
                      <w:szCs w:val="21"/>
                    </w:rPr>
                    <w:t>2802</w:t>
                  </w:r>
                  <w:r>
                    <w:rPr>
                      <w:rFonts w:ascii="Times New Roman" w:hAnsi="Times New Roman"/>
                      <w:color w:val="auto"/>
                      <w:szCs w:val="21"/>
                    </w:rPr>
                    <w:t>m</w:t>
                  </w:r>
                  <w:r>
                    <w:rPr>
                      <w:rFonts w:ascii="Times New Roman" w:hAnsi="Times New Roman"/>
                      <w:color w:val="auto"/>
                      <w:szCs w:val="21"/>
                      <w:vertAlign w:val="superscript"/>
                    </w:rPr>
                    <w:t>3</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钻井废水与钻井泥浆、岩屑一同进入不落地系统进行分离处理，分离后的液相回用于钻井液配制，不外排</w:t>
                  </w:r>
                  <w:r>
                    <w:rPr>
                      <w:rFonts w:hint="eastAsia" w:ascii="Times New Roman" w:hAnsi="Times New Roman"/>
                      <w:color w:val="auto"/>
                      <w:szCs w:val="21"/>
                    </w:rPr>
                    <w:t>，</w:t>
                  </w:r>
                  <w:r>
                    <w:rPr>
                      <w:color w:val="auto"/>
                      <w:szCs w:val="21"/>
                    </w:rPr>
                    <w:t>待钻井工程结束后由供应商回收或带至下一个钻井井场继续使用。</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管道试压废水</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SS</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3.75</w:t>
                  </w:r>
                  <w:r>
                    <w:rPr>
                      <w:rFonts w:ascii="Times New Roman" w:hAnsi="Times New Roman"/>
                      <w:color w:val="auto"/>
                      <w:szCs w:val="21"/>
                    </w:rPr>
                    <w:t>m</w:t>
                  </w:r>
                  <w:r>
                    <w:rPr>
                      <w:rFonts w:ascii="Times New Roman" w:hAnsi="Times New Roman"/>
                      <w:color w:val="auto"/>
                      <w:szCs w:val="21"/>
                      <w:vertAlign w:val="superscript"/>
                    </w:rPr>
                    <w:t>3</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洒水抑尘、场区绿化</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225"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固体废物</w:t>
                  </w:r>
                </w:p>
              </w:tc>
              <w:tc>
                <w:tcPr>
                  <w:tcW w:w="334"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井场</w:t>
                  </w: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钻井岩屑</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岩屑</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highlight w:val="yellow"/>
                    </w:rPr>
                  </w:pPr>
                  <w:r>
                    <w:rPr>
                      <w:rFonts w:hint="eastAsia" w:ascii="Times New Roman" w:hAnsi="Times New Roman"/>
                      <w:color w:val="auto"/>
                      <w:szCs w:val="21"/>
                    </w:rPr>
                    <w:t>678.15</w:t>
                  </w:r>
                  <w:r>
                    <w:rPr>
                      <w:rFonts w:ascii="Times New Roman" w:hAnsi="Times New Roman"/>
                      <w:color w:val="auto"/>
                      <w:szCs w:val="21"/>
                    </w:rPr>
                    <w:t>m</w:t>
                  </w:r>
                  <w:r>
                    <w:rPr>
                      <w:rFonts w:ascii="Times New Roman" w:hAnsi="Times New Roman"/>
                      <w:color w:val="auto"/>
                      <w:szCs w:val="21"/>
                      <w:vertAlign w:val="superscript"/>
                    </w:rPr>
                    <w:t>3</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vMerge w:val="restart"/>
                  <w:tcBorders>
                    <w:tl2br w:val="nil"/>
                    <w:tr2bl w:val="nil"/>
                  </w:tcBorders>
                  <w:tcMar>
                    <w:left w:w="28" w:type="dxa"/>
                    <w:right w:w="28" w:type="dxa"/>
                  </w:tcMar>
                  <w:vAlign w:val="center"/>
                </w:tcPr>
                <w:p>
                  <w:pPr>
                    <w:pStyle w:val="48"/>
                    <w:spacing w:before="120" w:beforeLines="50" w:line="240" w:lineRule="auto"/>
                    <w:ind w:firstLine="0" w:firstLineChars="0"/>
                    <w:jc w:val="both"/>
                    <w:rPr>
                      <w:rFonts w:ascii="Times New Roman" w:hAnsi="Times New Roman"/>
                      <w:color w:val="auto"/>
                      <w:sz w:val="21"/>
                      <w:szCs w:val="21"/>
                    </w:rPr>
                  </w:pPr>
                  <w:r>
                    <w:rPr>
                      <w:rFonts w:hint="eastAsia" w:ascii="Calibri" w:hAnsi="Calibri"/>
                      <w:color w:val="auto"/>
                      <w:sz w:val="21"/>
                      <w:szCs w:val="21"/>
                    </w:rPr>
                    <w:t>泥浆和岩屑全部委托山东奥友环保工程有限责任公司进行不落地作业，由罐体收集后运离井场进行专业处理。</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废弃泥浆</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钻井废弃</w:t>
                  </w:r>
                </w:p>
                <w:p>
                  <w:pPr>
                    <w:widowControl w:val="0"/>
                    <w:spacing w:line="260" w:lineRule="exact"/>
                    <w:jc w:val="center"/>
                    <w:rPr>
                      <w:rFonts w:ascii="Times New Roman" w:hAnsi="Times New Roman"/>
                      <w:color w:val="auto"/>
                      <w:szCs w:val="21"/>
                    </w:rPr>
                  </w:pPr>
                  <w:r>
                    <w:rPr>
                      <w:rFonts w:ascii="Times New Roman" w:hAnsi="Times New Roman"/>
                      <w:color w:val="auto"/>
                      <w:szCs w:val="21"/>
                    </w:rPr>
                    <w:t>泥浆</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rPr>
                    <w:t>2654.76</w:t>
                  </w:r>
                  <w:r>
                    <w:rPr>
                      <w:rFonts w:ascii="Times New Roman" w:hAnsi="Times New Roman"/>
                      <w:color w:val="auto"/>
                    </w:rPr>
                    <w:t>m</w:t>
                  </w:r>
                  <w:r>
                    <w:rPr>
                      <w:rFonts w:ascii="Times New Roman" w:hAnsi="Times New Roman"/>
                      <w:color w:val="auto"/>
                      <w:vertAlign w:val="superscript"/>
                    </w:rPr>
                    <w:t>3</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废机油、</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废矿</w:t>
                  </w:r>
                </w:p>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物油</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7.5t</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vMerge w:val="restar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color w:val="auto"/>
                      <w:szCs w:val="21"/>
                      <w:lang w:val="zh-CN"/>
                    </w:rPr>
                    <w:t>集中收集后</w:t>
                  </w:r>
                  <w:r>
                    <w:rPr>
                      <w:rFonts w:hint="eastAsia"/>
                      <w:color w:val="auto"/>
                      <w:szCs w:val="21"/>
                    </w:rPr>
                    <w:t>委托具有相应危废处置资质的单位转运、处置</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沾油废物</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废矿</w:t>
                  </w:r>
                </w:p>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物油</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0.75t</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vMerge w:val="continue"/>
                  <w:tcBorders>
                    <w:tl2br w:val="nil"/>
                    <w:tr2bl w:val="nil"/>
                  </w:tcBorders>
                  <w:tcMar>
                    <w:left w:w="28" w:type="dxa"/>
                    <w:right w:w="28" w:type="dxa"/>
                  </w:tcMar>
                  <w:vAlign w:val="center"/>
                </w:tcPr>
                <w:p>
                  <w:pPr>
                    <w:widowControl w:val="0"/>
                    <w:spacing w:line="260" w:lineRule="exact"/>
                    <w:jc w:val="center"/>
                    <w:rPr>
                      <w:color w:val="auto"/>
                      <w:szCs w:val="21"/>
                      <w:lang w:val="zh-CN"/>
                    </w:rPr>
                  </w:pP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5"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334" w:type="pct"/>
                  <w:vMerge w:val="continue"/>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p>
              </w:tc>
              <w:tc>
                <w:tcPr>
                  <w:tcW w:w="572"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落地油</w:t>
                  </w:r>
                </w:p>
              </w:tc>
              <w:tc>
                <w:tcPr>
                  <w:tcW w:w="536"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废矿</w:t>
                  </w:r>
                </w:p>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物油</w:t>
                  </w:r>
                </w:p>
              </w:tc>
              <w:tc>
                <w:tcPr>
                  <w:tcW w:w="684"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hint="eastAsia" w:ascii="Times New Roman" w:hAnsi="Times New Roman"/>
                      <w:color w:val="auto"/>
                      <w:szCs w:val="21"/>
                    </w:rPr>
                    <w:t>/</w:t>
                  </w:r>
                </w:p>
              </w:tc>
              <w:tc>
                <w:tcPr>
                  <w:tcW w:w="949" w:type="pct"/>
                  <w:tcBorders>
                    <w:tl2br w:val="nil"/>
                    <w:tr2bl w:val="nil"/>
                  </w:tcBorders>
                  <w:tcMar>
                    <w:left w:w="28" w:type="dxa"/>
                    <w:right w:w="28" w:type="dxa"/>
                  </w:tcMar>
                  <w:vAlign w:val="center"/>
                </w:tcPr>
                <w:p>
                  <w:pPr>
                    <w:widowControl w:val="0"/>
                    <w:spacing w:line="260" w:lineRule="exact"/>
                    <w:jc w:val="center"/>
                    <w:rPr>
                      <w:rFonts w:ascii="Times New Roman" w:hAnsi="Times New Roman"/>
                      <w:color w:val="auto"/>
                      <w:szCs w:val="21"/>
                    </w:rPr>
                  </w:pPr>
                  <w:r>
                    <w:rPr>
                      <w:rFonts w:ascii="Times New Roman" w:hAnsi="Times New Roman"/>
                      <w:color w:val="auto"/>
                      <w:szCs w:val="21"/>
                    </w:rPr>
                    <w:t>不外排</w:t>
                  </w:r>
                </w:p>
              </w:tc>
              <w:tc>
                <w:tcPr>
                  <w:tcW w:w="1697" w:type="pct"/>
                  <w:tcBorders>
                    <w:tl2br w:val="nil"/>
                    <w:tr2bl w:val="nil"/>
                  </w:tcBorders>
                  <w:tcMar>
                    <w:left w:w="28" w:type="dxa"/>
                    <w:right w:w="28" w:type="dxa"/>
                  </w:tcMar>
                  <w:vAlign w:val="center"/>
                </w:tcPr>
                <w:p>
                  <w:pPr>
                    <w:widowControl w:val="0"/>
                    <w:spacing w:line="260" w:lineRule="exact"/>
                    <w:jc w:val="center"/>
                    <w:rPr>
                      <w:color w:val="auto"/>
                      <w:szCs w:val="21"/>
                      <w:lang w:val="zh-CN"/>
                    </w:rPr>
                  </w:pPr>
                  <w:r>
                    <w:rPr>
                      <w:rFonts w:hint="eastAsia"/>
                      <w:color w:val="auto"/>
                    </w:rPr>
                    <w:t>落地油</w:t>
                  </w:r>
                  <w:r>
                    <w:rPr>
                      <w:rFonts w:hint="eastAsia" w:ascii="Times New Roman" w:hAnsi="Times New Roman" w:eastAsia="Times New Roman"/>
                      <w:color w:val="auto"/>
                    </w:rPr>
                    <w:t>100%</w:t>
                  </w:r>
                  <w:r>
                    <w:rPr>
                      <w:rFonts w:hint="eastAsia"/>
                      <w:color w:val="auto"/>
                    </w:rPr>
                    <w:t>回收</w:t>
                  </w:r>
                </w:p>
              </w:tc>
            </w:tr>
          </w:tbl>
          <w:p>
            <w:pPr>
              <w:pStyle w:val="48"/>
              <w:spacing w:line="360" w:lineRule="auto"/>
              <w:ind w:firstLine="482"/>
              <w:jc w:val="both"/>
              <w:rPr>
                <w:rFonts w:ascii="Times New Roman" w:hAnsi="Times New Roman"/>
                <w:b/>
                <w:bCs/>
                <w:color w:val="auto"/>
                <w:lang w:bidi="ar"/>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239" w:type="pct"/>
            <w:shd w:val="clear" w:color="auto" w:fill="auto"/>
            <w:vAlign w:val="center"/>
          </w:tcPr>
          <w:p>
            <w:pPr>
              <w:pStyle w:val="33"/>
              <w:adjustRightInd w:val="0"/>
              <w:snapToGrid w:val="0"/>
              <w:spacing w:before="0" w:beforeAutospacing="0" w:after="0" w:afterAutospacing="0"/>
              <w:jc w:val="center"/>
              <w:rPr>
                <w:rFonts w:ascii="Times New Roman" w:hAnsi="Times New Roman"/>
                <w:bCs/>
                <w:color w:val="auto"/>
                <w:kern w:val="2"/>
              </w:rPr>
            </w:pPr>
            <w:r>
              <w:rPr>
                <w:rFonts w:ascii="Times New Roman" w:hAnsi="Times New Roman"/>
                <w:bCs/>
                <w:color w:val="auto"/>
                <w:spacing w:val="10"/>
                <w:kern w:val="2"/>
              </w:rPr>
              <w:t>运营期生态环境影响分析</w:t>
            </w:r>
          </w:p>
        </w:tc>
        <w:tc>
          <w:tcPr>
            <w:tcW w:w="4761" w:type="pct"/>
            <w:tcBorders>
              <w:top w:val="single" w:color="auto" w:sz="6" w:space="0"/>
            </w:tcBorders>
            <w:shd w:val="clear" w:color="auto" w:fill="auto"/>
            <w:vAlign w:val="center"/>
          </w:tcPr>
          <w:p>
            <w:pPr>
              <w:tabs>
                <w:tab w:val="left" w:pos="3924"/>
              </w:tabs>
              <w:spacing w:line="360" w:lineRule="auto"/>
              <w:ind w:firstLine="482" w:firstLineChars="200"/>
              <w:jc w:val="both"/>
              <w:rPr>
                <w:rFonts w:ascii="Times New Roman" w:hAnsi="Times New Roman"/>
                <w:b/>
                <w:bCs/>
                <w:color w:val="auto"/>
                <w:kern w:val="1"/>
                <w:sz w:val="24"/>
              </w:rPr>
            </w:pPr>
            <w:r>
              <w:rPr>
                <w:rFonts w:hint="eastAsia" w:ascii="Times New Roman" w:hAnsi="Times New Roman"/>
                <w:b/>
                <w:bCs/>
                <w:color w:val="auto"/>
                <w:kern w:val="1"/>
                <w:sz w:val="24"/>
              </w:rPr>
              <w:t>1．运营期工艺流程</w:t>
            </w:r>
          </w:p>
          <w:p>
            <w:pPr>
              <w:tabs>
                <w:tab w:val="left" w:pos="3924"/>
              </w:tabs>
              <w:spacing w:line="360" w:lineRule="auto"/>
              <w:ind w:firstLine="480" w:firstLineChars="200"/>
              <w:jc w:val="both"/>
              <w:rPr>
                <w:rFonts w:ascii="Times New Roman" w:hAnsi="Times New Roman"/>
                <w:color w:val="auto"/>
                <w:kern w:val="1"/>
                <w:sz w:val="24"/>
              </w:rPr>
            </w:pPr>
            <w:r>
              <w:rPr>
                <w:rFonts w:ascii="Times New Roman" w:hAnsi="Times New Roman"/>
                <w:color w:val="auto"/>
                <w:kern w:val="1"/>
                <w:sz w:val="24"/>
              </w:rPr>
              <w:t>本项目部署15口新井采用常采方式开采，结合井区已建井和邻区油井生产情况，按春光油田标准化井场工艺设计。单井计量采用示功图法在线计量技术，地面集输系统按单管加热集输工艺，考虑井口出油温度较低及新疆地区冬季寒冷气温低的环境因素，为满足集输管道流动性，降低井口回压，油井集输管道、井口装置采用电伴热带伴热维温。采油井集输近期采用“单井拉油”方式，</w:t>
            </w:r>
            <w:r>
              <w:rPr>
                <w:rFonts w:hint="eastAsia" w:ascii="Times New Roman" w:hAnsi="Times New Roman"/>
                <w:color w:val="auto"/>
                <w:kern w:val="1"/>
                <w:sz w:val="24"/>
              </w:rPr>
              <w:t>即</w:t>
            </w:r>
            <w:r>
              <w:rPr>
                <w:rFonts w:ascii="Times New Roman" w:hAnsi="Times New Roman"/>
                <w:color w:val="auto"/>
                <w:kern w:val="1"/>
                <w:sz w:val="24"/>
              </w:rPr>
              <w:t>“采油单井→高架罐→罐车→春光联合站”，井场主要设备为高架罐。油田</w:t>
            </w:r>
            <w:r>
              <w:rPr>
                <w:rFonts w:hint="eastAsia" w:ascii="Times New Roman" w:hAnsi="Times New Roman"/>
                <w:color w:val="auto"/>
                <w:kern w:val="1"/>
                <w:sz w:val="24"/>
              </w:rPr>
              <w:t>采油</w:t>
            </w:r>
            <w:r>
              <w:rPr>
                <w:rFonts w:ascii="Times New Roman" w:hAnsi="Times New Roman"/>
                <w:color w:val="auto"/>
                <w:kern w:val="1"/>
                <w:sz w:val="24"/>
              </w:rPr>
              <w:t>工艺和产</w:t>
            </w:r>
            <w:r>
              <w:rPr>
                <w:rFonts w:hint="eastAsia" w:ascii="Times New Roman" w:hAnsi="Times New Roman"/>
                <w:color w:val="auto"/>
                <w:kern w:val="1"/>
                <w:sz w:val="24"/>
              </w:rPr>
              <w:t>污节</w:t>
            </w:r>
            <w:r>
              <w:rPr>
                <w:rFonts w:ascii="Times New Roman" w:hAnsi="Times New Roman"/>
                <w:color w:val="auto"/>
                <w:kern w:val="1"/>
                <w:sz w:val="24"/>
              </w:rPr>
              <w:t>点见图4-1。</w:t>
            </w:r>
          </w:p>
          <w:p>
            <w:pPr>
              <w:tabs>
                <w:tab w:val="left" w:pos="3924"/>
              </w:tabs>
              <w:spacing w:line="360" w:lineRule="auto"/>
              <w:jc w:val="center"/>
              <w:rPr>
                <w:rFonts w:ascii="Times New Roman" w:hAnsi="Times New Roman"/>
                <w:color w:val="auto"/>
              </w:rPr>
            </w:pPr>
            <w:r>
              <w:rPr>
                <w:rFonts w:hint="eastAsia" w:ascii="Times New Roman" w:hAnsi="Times New Roman"/>
                <w:color w:val="auto"/>
              </w:rPr>
              <w:drawing>
                <wp:inline distT="0" distB="0" distL="114300" distR="114300">
                  <wp:extent cx="4460875" cy="2684780"/>
                  <wp:effectExtent l="9525" t="9525" r="25400" b="10795"/>
                  <wp:docPr id="6" name="图片 6" descr="采油工艺流程及产污节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采油工艺流程及产污节点"/>
                          <pic:cNvPicPr>
                            <a:picLocks noChangeAspect="1"/>
                          </pic:cNvPicPr>
                        </pic:nvPicPr>
                        <pic:blipFill>
                          <a:blip r:embed="rId24"/>
                          <a:stretch>
                            <a:fillRect/>
                          </a:stretch>
                        </pic:blipFill>
                        <pic:spPr>
                          <a:xfrm>
                            <a:off x="0" y="0"/>
                            <a:ext cx="4460875" cy="2684780"/>
                          </a:xfrm>
                          <a:prstGeom prst="rect">
                            <a:avLst/>
                          </a:prstGeom>
                          <a:ln>
                            <a:solidFill>
                              <a:schemeClr val="tx1"/>
                            </a:solidFill>
                          </a:ln>
                        </pic:spPr>
                      </pic:pic>
                    </a:graphicData>
                  </a:graphic>
                </wp:inline>
              </w:drawing>
            </w:r>
          </w:p>
          <w:p>
            <w:pPr>
              <w:tabs>
                <w:tab w:val="left" w:pos="3924"/>
              </w:tabs>
              <w:spacing w:line="520" w:lineRule="exact"/>
              <w:ind w:firstLine="482" w:firstLineChars="200"/>
              <w:jc w:val="center"/>
              <w:rPr>
                <w:rFonts w:ascii="Times New Roman" w:hAnsi="Times New Roman"/>
                <w:b/>
                <w:color w:val="auto"/>
                <w:kern w:val="1"/>
                <w:sz w:val="24"/>
              </w:rPr>
            </w:pPr>
            <w:r>
              <w:rPr>
                <w:rFonts w:ascii="Times New Roman" w:hAnsi="Times New Roman"/>
                <w:b/>
                <w:color w:val="auto"/>
                <w:kern w:val="1"/>
                <w:sz w:val="24"/>
              </w:rPr>
              <w:t xml:space="preserve"> </w:t>
            </w:r>
            <w:r>
              <w:rPr>
                <w:rStyle w:val="42"/>
                <w:rFonts w:ascii="Times New Roman" w:hAnsi="Times New Roman"/>
                <w:b/>
                <w:bCs/>
                <w:color w:val="auto"/>
                <w:kern w:val="0"/>
                <w:sz w:val="24"/>
              </w:rPr>
              <w:t>图4</w:t>
            </w:r>
            <w:r>
              <w:rPr>
                <w:rStyle w:val="42"/>
                <w:rFonts w:ascii="Times New Roman" w:hAnsi="Times New Roman"/>
                <w:b/>
                <w:bCs/>
                <w:color w:val="auto"/>
                <w:sz w:val="24"/>
              </w:rPr>
              <w:t>-1</w:t>
            </w:r>
            <w:r>
              <w:rPr>
                <w:rStyle w:val="42"/>
                <w:rFonts w:ascii="Times New Roman" w:hAnsi="Times New Roman"/>
                <w:b/>
                <w:bCs/>
                <w:color w:val="auto"/>
                <w:kern w:val="0"/>
                <w:sz w:val="24"/>
              </w:rPr>
              <w:t xml:space="preserve">  </w:t>
            </w:r>
            <w:r>
              <w:rPr>
                <w:rFonts w:ascii="Times New Roman" w:hAnsi="Times New Roman"/>
                <w:b/>
                <w:color w:val="auto"/>
                <w:kern w:val="1"/>
                <w:sz w:val="24"/>
              </w:rPr>
              <w:t>油田</w:t>
            </w:r>
            <w:r>
              <w:rPr>
                <w:rFonts w:hint="eastAsia" w:ascii="Times New Roman" w:hAnsi="Times New Roman"/>
                <w:b/>
                <w:color w:val="auto"/>
                <w:kern w:val="1"/>
                <w:sz w:val="24"/>
              </w:rPr>
              <w:t>采油</w:t>
            </w:r>
            <w:r>
              <w:rPr>
                <w:rFonts w:ascii="Times New Roman" w:hAnsi="Times New Roman"/>
                <w:b/>
                <w:color w:val="auto"/>
                <w:kern w:val="1"/>
                <w:sz w:val="24"/>
              </w:rPr>
              <w:t>工艺及产污</w:t>
            </w:r>
            <w:r>
              <w:rPr>
                <w:rFonts w:hint="eastAsia" w:ascii="Times New Roman" w:hAnsi="Times New Roman"/>
                <w:b/>
                <w:color w:val="auto"/>
                <w:kern w:val="1"/>
                <w:sz w:val="24"/>
              </w:rPr>
              <w:t>节点图</w:t>
            </w:r>
          </w:p>
          <w:p>
            <w:pPr>
              <w:autoSpaceDE w:val="0"/>
              <w:autoSpaceDN w:val="0"/>
              <w:adjustRightInd w:val="0"/>
              <w:snapToGrid w:val="0"/>
              <w:spacing w:line="360" w:lineRule="auto"/>
              <w:ind w:firstLine="482" w:firstLineChars="200"/>
              <w:jc w:val="both"/>
              <w:rPr>
                <w:rFonts w:ascii="Times New Roman" w:hAnsi="Times New Roman"/>
                <w:b/>
                <w:color w:val="auto"/>
                <w:sz w:val="24"/>
              </w:rPr>
            </w:pPr>
            <w:r>
              <w:rPr>
                <w:rFonts w:ascii="Times New Roman" w:hAnsi="Times New Roman"/>
                <w:b/>
                <w:color w:val="auto"/>
                <w:sz w:val="24"/>
              </w:rPr>
              <w:t>2．生态环境影响分析</w:t>
            </w:r>
          </w:p>
          <w:p>
            <w:pPr>
              <w:tabs>
                <w:tab w:val="left" w:pos="3924"/>
              </w:tabs>
              <w:spacing w:line="360" w:lineRule="auto"/>
              <w:ind w:firstLine="480" w:firstLineChars="200"/>
              <w:jc w:val="both"/>
              <w:rPr>
                <w:rFonts w:ascii="Times New Roman" w:hAnsi="Times New Roman"/>
                <w:color w:val="auto"/>
                <w:sz w:val="24"/>
              </w:rPr>
            </w:pPr>
            <w:r>
              <w:rPr>
                <w:rFonts w:ascii="Times New Roman" w:hAnsi="Times New Roman"/>
                <w:color w:val="auto"/>
                <w:sz w:val="24"/>
              </w:rPr>
              <w:t>油田生产期对植被影响较大的意外事故是井喷和集输管线破裂。事故状态下，油污污染土壤，烃类污染物覆盖到植物叶片上，使其呼吸受阻，影响植物的正常生理活动，严重的会造成棉花、玉米等农作物的大面积死亡。若事故时发生火灾，将使燃烧范围内的植被全部死亡，根据现场调查，此事故发生的概率很低。</w:t>
            </w:r>
          </w:p>
          <w:p>
            <w:pPr>
              <w:tabs>
                <w:tab w:val="left" w:pos="3924"/>
              </w:tabs>
              <w:spacing w:line="360" w:lineRule="auto"/>
              <w:ind w:firstLine="480" w:firstLineChars="200"/>
              <w:jc w:val="both"/>
              <w:rPr>
                <w:rFonts w:ascii="Times New Roman" w:hAnsi="Times New Roman"/>
                <w:color w:val="auto"/>
                <w:sz w:val="24"/>
              </w:rPr>
            </w:pPr>
            <w:r>
              <w:rPr>
                <w:rFonts w:ascii="Times New Roman" w:hAnsi="Times New Roman"/>
                <w:color w:val="auto"/>
                <w:sz w:val="24"/>
              </w:rPr>
              <w:t>正常生产期间对野生动物的影响不大。项目区域的野生动物组成以鸟类为主，本区域人类开发活动频繁，许多鸟类可能受到人类或机械的干扰而飞离工程区，同样一些体形较大的兽类也会远离项目区。但是由于本区的动物适应能力强，同时，本项目在运行过程中所产生的声音和人为活动频率减少，所以对其种群生存不会造成影响。根据油田管理制度，只要加强管理可以杜绝油田职工对野生动物的猎杀，所以，正常生产期间对野生动物影响不大。</w:t>
            </w:r>
          </w:p>
          <w:p>
            <w:pPr>
              <w:autoSpaceDE w:val="0"/>
              <w:autoSpaceDN w:val="0"/>
              <w:adjustRightInd w:val="0"/>
              <w:snapToGrid w:val="0"/>
              <w:spacing w:line="360" w:lineRule="auto"/>
              <w:ind w:firstLine="482" w:firstLineChars="200"/>
              <w:jc w:val="both"/>
              <w:rPr>
                <w:rFonts w:ascii="Times New Roman" w:hAnsi="Times New Roman"/>
                <w:b/>
                <w:color w:val="auto"/>
                <w:sz w:val="24"/>
              </w:rPr>
            </w:pPr>
            <w:r>
              <w:rPr>
                <w:rFonts w:ascii="Times New Roman" w:hAnsi="Times New Roman"/>
                <w:b/>
                <w:color w:val="auto"/>
                <w:sz w:val="24"/>
              </w:rPr>
              <w:t>3．大气环境影响分析</w:t>
            </w:r>
          </w:p>
          <w:p>
            <w:pPr>
              <w:pStyle w:val="48"/>
              <w:spacing w:line="360" w:lineRule="auto"/>
              <w:ind w:firstLine="480"/>
              <w:jc w:val="both"/>
              <w:rPr>
                <w:rFonts w:ascii="Times New Roman" w:hAnsi="Times New Roman"/>
                <w:color w:val="auto"/>
              </w:rPr>
            </w:pPr>
            <w:bookmarkStart w:id="18" w:name="_Hlk36629845"/>
            <w:r>
              <w:rPr>
                <w:rFonts w:ascii="Times New Roman" w:hAnsi="Times New Roman"/>
                <w:color w:val="auto"/>
              </w:rPr>
              <w:t>运营期废气主要为</w:t>
            </w:r>
            <w:r>
              <w:rPr>
                <w:rFonts w:hint="eastAsia" w:ascii="Times New Roman" w:hAnsi="Times New Roman"/>
                <w:color w:val="auto"/>
              </w:rPr>
              <w:t>原油</w:t>
            </w:r>
            <w:r>
              <w:rPr>
                <w:rFonts w:ascii="Times New Roman" w:hAnsi="Times New Roman"/>
                <w:color w:val="auto"/>
              </w:rPr>
              <w:t>集输过程中产生的无组织挥发性有机物。</w:t>
            </w:r>
          </w:p>
          <w:bookmarkEnd w:id="18"/>
          <w:p>
            <w:pPr>
              <w:pStyle w:val="48"/>
              <w:spacing w:line="360" w:lineRule="auto"/>
              <w:ind w:firstLine="480"/>
              <w:jc w:val="both"/>
              <w:rPr>
                <w:rFonts w:ascii="Times New Roman" w:hAnsi="Times New Roman"/>
                <w:color w:val="auto"/>
              </w:rPr>
            </w:pPr>
            <w:r>
              <w:rPr>
                <w:rFonts w:hint="eastAsia" w:ascii="Times New Roman" w:hAnsi="Times New Roman"/>
                <w:color w:val="auto"/>
              </w:rPr>
              <w:t>本项目</w:t>
            </w:r>
            <w:r>
              <w:rPr>
                <w:rFonts w:ascii="Times New Roman" w:hAnsi="Times New Roman"/>
                <w:color w:val="auto"/>
              </w:rPr>
              <w:t>井口密封并设紧急截断阀，可有效减少烃类气体的挥发量；采出液采用管线输送至井场内的高架罐存储后由油罐车定期拉运至春光联合站，在暂存和拉运过程会产生少量的烃类气体。《环境影响评价实用技术指南（第二版）》（机械工业出版社）中计算无组织排放源强的估算系数为：原料年用量或产品年产量的0.1‰～0.4‰，本项目</w:t>
            </w:r>
            <w:r>
              <w:rPr>
                <w:rFonts w:hint="eastAsia" w:ascii="Times New Roman" w:hAnsi="Times New Roman"/>
                <w:color w:val="auto"/>
              </w:rPr>
              <w:t>原油</w:t>
            </w:r>
            <w:r>
              <w:rPr>
                <w:rFonts w:ascii="Times New Roman" w:hAnsi="Times New Roman"/>
                <w:color w:val="auto"/>
              </w:rPr>
              <w:t>集输全程密闭，故产污系数取0.1‰。根据产能预测指标，本项目15口井最大年产油量3.15×10</w:t>
            </w:r>
            <w:r>
              <w:rPr>
                <w:rFonts w:ascii="Times New Roman" w:hAnsi="Times New Roman"/>
                <w:color w:val="auto"/>
                <w:vertAlign w:val="superscript"/>
              </w:rPr>
              <w:t>4</w:t>
            </w:r>
            <w:r>
              <w:rPr>
                <w:rFonts w:ascii="Times New Roman" w:hAnsi="Times New Roman"/>
                <w:color w:val="auto"/>
              </w:rPr>
              <w:t>t/a，由此计算烃类气体无组织排放量最大为3.15t/a。</w:t>
            </w:r>
          </w:p>
          <w:p>
            <w:pPr>
              <w:pStyle w:val="48"/>
              <w:spacing w:line="360" w:lineRule="auto"/>
              <w:ind w:firstLine="480"/>
              <w:jc w:val="both"/>
              <w:rPr>
                <w:rFonts w:ascii="Times New Roman" w:hAnsi="Times New Roman"/>
                <w:color w:val="auto"/>
              </w:rPr>
            </w:pPr>
            <w:r>
              <w:rPr>
                <w:rFonts w:ascii="Times New Roman" w:hAnsi="Times New Roman"/>
                <w:color w:val="auto"/>
              </w:rPr>
              <w:t>根据《关于印发&lt;挥发性有机物排污收费试点办法&gt;的通知》（财税[2015]71号），VOCs是指特定条件下具有挥发性的有机化合物的统称。具有挥发性的有机化合物主要包括非甲烷总烃（烷烃、烯烃、炔烃、芳香烃）、含氧有机化合物（醛、酮、醇、醚等）、卤代烃、含氮化合物、含硫化合物等。对于本项目而言，其排放的VOCs基本可以等同为非甲烷总烃，故其VOCs排放量估算为3.15t/a。</w:t>
            </w:r>
          </w:p>
          <w:p>
            <w:pPr>
              <w:pStyle w:val="48"/>
              <w:spacing w:line="360" w:lineRule="auto"/>
              <w:ind w:firstLine="480"/>
              <w:jc w:val="both"/>
              <w:rPr>
                <w:rFonts w:ascii="Times New Roman" w:hAnsi="Times New Roman"/>
                <w:color w:val="auto"/>
              </w:rPr>
            </w:pPr>
            <w:r>
              <w:rPr>
                <w:rFonts w:ascii="Times New Roman" w:hAnsi="Times New Roman"/>
                <w:color w:val="auto"/>
              </w:rPr>
              <w:t>本项目无组织排放非甲烷总烃总量约3.15t/a。且项目所在地为环境空气质量达标区，项目无组织排放非甲烷总烃量较少，对大气环境影响较小。NMHC的浓度可满足《大气污染物综合排放标准》（GB16297-1996）中</w:t>
            </w:r>
            <w:r>
              <w:rPr>
                <w:rFonts w:hint="eastAsia" w:ascii="Times New Roman" w:hAnsi="Times New Roman"/>
                <w:color w:val="auto"/>
              </w:rPr>
              <w:t>新污染源无组织排放监控点4.0mg/m</w:t>
            </w:r>
            <w:r>
              <w:rPr>
                <w:rFonts w:hint="eastAsia" w:ascii="Times New Roman" w:hAnsi="Times New Roman"/>
                <w:color w:val="auto"/>
                <w:vertAlign w:val="superscript"/>
              </w:rPr>
              <w:t>3</w:t>
            </w:r>
            <w:r>
              <w:rPr>
                <w:rFonts w:hint="eastAsia" w:ascii="Times New Roman" w:hAnsi="Times New Roman"/>
                <w:color w:val="auto"/>
              </w:rPr>
              <w:t>浓度限值要求</w:t>
            </w:r>
            <w:r>
              <w:rPr>
                <w:rFonts w:ascii="Times New Roman" w:hAnsi="Times New Roman"/>
                <w:color w:val="auto"/>
              </w:rPr>
              <w:t>，井场厂界NMHC的浓度可以满足《陆上石油天然气开采工业大气污染物排放标准》（GB 39728-2020）中企业边界污染物控制要求。</w:t>
            </w:r>
            <w:r>
              <w:rPr>
                <w:rFonts w:hint="eastAsia" w:ascii="Times New Roman" w:hAnsi="Times New Roman"/>
                <w:color w:val="auto"/>
              </w:rPr>
              <w:t xml:space="preserve">因此，本项目的实施对大气环境质量影响很小。 </w:t>
            </w:r>
          </w:p>
          <w:p>
            <w:pPr>
              <w:pStyle w:val="48"/>
              <w:spacing w:line="360" w:lineRule="auto"/>
              <w:ind w:firstLine="482"/>
              <w:jc w:val="both"/>
              <w:rPr>
                <w:rFonts w:ascii="Times New Roman" w:hAnsi="Times New Roman"/>
                <w:b/>
                <w:color w:val="auto"/>
              </w:rPr>
            </w:pPr>
            <w:r>
              <w:rPr>
                <w:rFonts w:ascii="Times New Roman" w:hAnsi="Times New Roman"/>
                <w:b/>
                <w:color w:val="auto"/>
              </w:rPr>
              <w:t>4．水环境影响分析</w:t>
            </w:r>
          </w:p>
          <w:p>
            <w:pPr>
              <w:pStyle w:val="48"/>
              <w:spacing w:line="360" w:lineRule="auto"/>
              <w:ind w:firstLine="480"/>
              <w:jc w:val="both"/>
              <w:rPr>
                <w:rFonts w:ascii="Times New Roman" w:hAnsi="Times New Roman"/>
                <w:color w:val="auto"/>
              </w:rPr>
            </w:pPr>
            <w:bookmarkStart w:id="19" w:name="OLE_LINK82"/>
            <w:bookmarkStart w:id="20" w:name="OLE_LINK81"/>
            <w:r>
              <w:rPr>
                <w:rFonts w:ascii="Times New Roman" w:hAnsi="Times New Roman"/>
                <w:color w:val="auto"/>
              </w:rPr>
              <w:t>运营期废水主要为采出水和井下作业废水。</w:t>
            </w:r>
          </w:p>
          <w:p>
            <w:pPr>
              <w:pStyle w:val="48"/>
              <w:spacing w:line="360" w:lineRule="auto"/>
              <w:ind w:firstLine="480"/>
              <w:jc w:val="both"/>
              <w:rPr>
                <w:rFonts w:ascii="Times New Roman" w:hAnsi="Times New Roman"/>
                <w:color w:val="auto"/>
              </w:rPr>
            </w:pPr>
            <w:r>
              <w:rPr>
                <w:rFonts w:hint="eastAsia" w:ascii="Times New Roman" w:hAnsi="Times New Roman"/>
                <w:color w:val="auto"/>
              </w:rPr>
              <w:t>（1）井</w:t>
            </w:r>
            <w:r>
              <w:rPr>
                <w:rFonts w:ascii="Times New Roman" w:hAnsi="Times New Roman"/>
                <w:color w:val="auto"/>
              </w:rPr>
              <w:t>下作业废水</w:t>
            </w:r>
          </w:p>
          <w:p>
            <w:pPr>
              <w:pStyle w:val="48"/>
              <w:spacing w:line="360" w:lineRule="auto"/>
              <w:ind w:firstLine="480"/>
              <w:jc w:val="both"/>
              <w:rPr>
                <w:rFonts w:ascii="Times New Roman" w:hAnsi="Times New Roman"/>
                <w:color w:val="auto"/>
              </w:rPr>
            </w:pPr>
            <w:r>
              <w:rPr>
                <w:rFonts w:ascii="Times New Roman" w:hAnsi="Times New Roman"/>
                <w:color w:val="auto"/>
              </w:rPr>
              <w:t>井下作业主要包括油井维修、大修、酸化、压裂等，井下作业废水的主要来源为修井过程产生的压井水和压井液、修井时的循环水及洗井时产生的洗井废水，</w:t>
            </w:r>
            <w:bookmarkStart w:id="21" w:name="_Hlk40715418"/>
            <w:r>
              <w:rPr>
                <w:rFonts w:ascii="Times New Roman" w:hAnsi="Times New Roman"/>
                <w:color w:val="auto"/>
                <w:lang w:bidi="ar"/>
              </w:rPr>
              <w:t>其产生量按照</w:t>
            </w:r>
            <w:r>
              <w:rPr>
                <w:rFonts w:ascii="Times New Roman" w:hAnsi="Times New Roman"/>
                <w:color w:val="auto"/>
              </w:rPr>
              <w:t>《排放源统计调查产排污核算方法和系数手册》中1120石油和天然气开采专业及辅助性活动行业系数手册中的产排污系数进行核算。具体产生量见</w:t>
            </w:r>
            <w:r>
              <w:rPr>
                <w:rFonts w:hint="eastAsia" w:ascii="Times New Roman" w:hAnsi="Times New Roman"/>
                <w:color w:val="auto"/>
              </w:rPr>
              <w:t>表4</w:t>
            </w:r>
            <w:r>
              <w:rPr>
                <w:rFonts w:ascii="Times New Roman" w:hAnsi="Times New Roman"/>
                <w:color w:val="auto"/>
              </w:rPr>
              <w:t>-</w:t>
            </w:r>
            <w:r>
              <w:rPr>
                <w:rFonts w:hint="eastAsia" w:ascii="Times New Roman" w:hAnsi="Times New Roman"/>
                <w:color w:val="auto"/>
              </w:rPr>
              <w:t>6</w:t>
            </w:r>
            <w:r>
              <w:rPr>
                <w:rFonts w:ascii="Times New Roman" w:hAnsi="Times New Roman"/>
                <w:color w:val="auto"/>
              </w:rPr>
              <w:t>。</w:t>
            </w:r>
          </w:p>
          <w:bookmarkEnd w:id="19"/>
          <w:bookmarkEnd w:id="20"/>
          <w:bookmarkEnd w:id="21"/>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表4-</w:t>
            </w:r>
            <w:r>
              <w:rPr>
                <w:rFonts w:hint="eastAsia" w:ascii="Times New Roman" w:hAnsi="Times New Roman"/>
                <w:b/>
                <w:color w:val="auto"/>
                <w:kern w:val="0"/>
                <w:szCs w:val="21"/>
              </w:rPr>
              <w:t>6</w:t>
            </w:r>
            <w:r>
              <w:rPr>
                <w:rFonts w:ascii="Times New Roman" w:hAnsi="Times New Roman"/>
                <w:b/>
                <w:color w:val="auto"/>
                <w:kern w:val="0"/>
                <w:szCs w:val="21"/>
              </w:rPr>
              <w:t xml:space="preserve">  石油和天然气开采专业及辅助性活动行业系数表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85"/>
              <w:gridCol w:w="898"/>
              <w:gridCol w:w="971"/>
              <w:gridCol w:w="896"/>
              <w:gridCol w:w="896"/>
              <w:gridCol w:w="759"/>
              <w:gridCol w:w="1050"/>
              <w:gridCol w:w="1328"/>
              <w:gridCol w:w="89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7"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bookmarkStart w:id="22" w:name="_Hlk36741739"/>
                  <w:r>
                    <w:rPr>
                      <w:rFonts w:ascii="Times New Roman" w:hAnsi="Times New Roman"/>
                      <w:color w:val="auto"/>
                      <w:kern w:val="2"/>
                      <w:sz w:val="21"/>
                      <w:szCs w:val="21"/>
                      <w:lang w:bidi="ar"/>
                    </w:rPr>
                    <w:t>名称</w:t>
                  </w:r>
                </w:p>
              </w:tc>
              <w:tc>
                <w:tcPr>
                  <w:tcW w:w="549"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原料</w:t>
                  </w:r>
                </w:p>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名称</w:t>
                  </w:r>
                </w:p>
              </w:tc>
              <w:tc>
                <w:tcPr>
                  <w:tcW w:w="594"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工艺</w:t>
                  </w:r>
                </w:p>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名称</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规模</w:t>
                  </w:r>
                </w:p>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等级</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污染物指标</w:t>
                  </w:r>
                </w:p>
              </w:tc>
              <w:tc>
                <w:tcPr>
                  <w:tcW w:w="464"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单位</w:t>
                  </w:r>
                </w:p>
              </w:tc>
              <w:tc>
                <w:tcPr>
                  <w:tcW w:w="64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产污系数</w:t>
                  </w:r>
                </w:p>
              </w:tc>
              <w:tc>
                <w:tcPr>
                  <w:tcW w:w="81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末端治理技术</w:t>
                  </w:r>
                </w:p>
              </w:tc>
              <w:tc>
                <w:tcPr>
                  <w:tcW w:w="547"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末端治理技术平均去除效率（%）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7"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井下作业</w:t>
                  </w:r>
                </w:p>
              </w:tc>
              <w:tc>
                <w:tcPr>
                  <w:tcW w:w="549"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洗井液(水)</w:t>
                  </w:r>
                </w:p>
              </w:tc>
              <w:tc>
                <w:tcPr>
                  <w:tcW w:w="594"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spacing w:val="11"/>
                      <w:kern w:val="2"/>
                      <w:sz w:val="21"/>
                      <w:szCs w:val="21"/>
                      <w:lang w:bidi="ar"/>
                    </w:rPr>
                  </w:pPr>
                  <w:r>
                    <w:rPr>
                      <w:rFonts w:ascii="Times New Roman" w:hAnsi="Times New Roman"/>
                      <w:color w:val="auto"/>
                      <w:spacing w:val="11"/>
                      <w:kern w:val="2"/>
                      <w:sz w:val="21"/>
                      <w:szCs w:val="21"/>
                      <w:lang w:bidi="ar"/>
                    </w:rPr>
                    <w:t>非低渗透油井洗井作业</w:t>
                  </w:r>
                </w:p>
              </w:tc>
              <w:tc>
                <w:tcPr>
                  <w:tcW w:w="548"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所有</w:t>
                  </w:r>
                </w:p>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规模</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工业废水量</w:t>
                  </w:r>
                </w:p>
              </w:tc>
              <w:tc>
                <w:tcPr>
                  <w:tcW w:w="464"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吨/井</w:t>
                  </w:r>
                </w:p>
              </w:tc>
              <w:tc>
                <w:tcPr>
                  <w:tcW w:w="64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76.0</w:t>
                  </w:r>
                </w:p>
              </w:tc>
              <w:tc>
                <w:tcPr>
                  <w:tcW w:w="81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w:t>
                  </w:r>
                </w:p>
              </w:tc>
              <w:tc>
                <w:tcPr>
                  <w:tcW w:w="547"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7"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9"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94"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化学需氧量</w:t>
                  </w:r>
                </w:p>
              </w:tc>
              <w:tc>
                <w:tcPr>
                  <w:tcW w:w="464"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克/井</w:t>
                  </w:r>
                </w:p>
              </w:tc>
              <w:tc>
                <w:tcPr>
                  <w:tcW w:w="64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104525</w:t>
                  </w:r>
                </w:p>
              </w:tc>
              <w:tc>
                <w:tcPr>
                  <w:tcW w:w="812" w:type="pct"/>
                  <w:shd w:val="clear" w:color="auto" w:fill="auto"/>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物理+化学+</w:t>
                  </w:r>
                </w:p>
                <w:p>
                  <w:pPr>
                    <w:adjustRightInd w:val="0"/>
                    <w:snapToGrid w:val="0"/>
                    <w:jc w:val="center"/>
                    <w:rPr>
                      <w:rFonts w:ascii="Times New Roman" w:hAnsi="Times New Roman"/>
                      <w:color w:val="auto"/>
                      <w:szCs w:val="21"/>
                      <w:lang w:bidi="ar"/>
                    </w:rPr>
                  </w:pPr>
                  <w:r>
                    <w:rPr>
                      <w:rFonts w:ascii="Times New Roman" w:hAnsi="Times New Roman"/>
                      <w:color w:val="auto"/>
                      <w:szCs w:val="21"/>
                      <w:lang w:bidi="ar"/>
                    </w:rPr>
                    <w:t>回注</w:t>
                  </w:r>
                </w:p>
              </w:tc>
              <w:tc>
                <w:tcPr>
                  <w:tcW w:w="547"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100</w:t>
                  </w:r>
                  <w:r>
                    <w:rPr>
                      <w:rFonts w:hint="eastAsia" w:ascii="Times New Roman" w:hAnsi="Times New Roman"/>
                      <w:color w:val="auto"/>
                      <w:kern w:val="2"/>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7"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9"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94"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石油类</w:t>
                  </w:r>
                </w:p>
              </w:tc>
              <w:tc>
                <w:tcPr>
                  <w:tcW w:w="464"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克/井</w:t>
                  </w:r>
                </w:p>
              </w:tc>
              <w:tc>
                <w:tcPr>
                  <w:tcW w:w="64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17645</w:t>
                  </w:r>
                </w:p>
              </w:tc>
              <w:tc>
                <w:tcPr>
                  <w:tcW w:w="812" w:type="pct"/>
                  <w:shd w:val="clear" w:color="auto" w:fill="auto"/>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物理+化学+</w:t>
                  </w:r>
                </w:p>
                <w:p>
                  <w:pPr>
                    <w:adjustRightInd w:val="0"/>
                    <w:snapToGrid w:val="0"/>
                    <w:jc w:val="center"/>
                    <w:rPr>
                      <w:rFonts w:ascii="Times New Roman" w:hAnsi="Times New Roman"/>
                      <w:color w:val="auto"/>
                      <w:szCs w:val="21"/>
                      <w:lang w:bidi="ar"/>
                    </w:rPr>
                  </w:pPr>
                  <w:r>
                    <w:rPr>
                      <w:rFonts w:ascii="Times New Roman" w:hAnsi="Times New Roman"/>
                      <w:color w:val="auto"/>
                      <w:szCs w:val="21"/>
                      <w:lang w:bidi="ar"/>
                    </w:rPr>
                    <w:t>回注</w:t>
                  </w:r>
                </w:p>
              </w:tc>
              <w:tc>
                <w:tcPr>
                  <w:tcW w:w="547"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100</w:t>
                  </w:r>
                  <w:r>
                    <w:rPr>
                      <w:rFonts w:hint="eastAsia" w:ascii="Times New Roman" w:hAnsi="Times New Roman"/>
                      <w:color w:val="auto"/>
                      <w:kern w:val="2"/>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7"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9"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94"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低渗透油井洗井作业</w:t>
                  </w:r>
                </w:p>
              </w:tc>
              <w:tc>
                <w:tcPr>
                  <w:tcW w:w="548" w:type="pct"/>
                  <w:vMerge w:val="restar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所有</w:t>
                  </w:r>
                </w:p>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规模</w:t>
                  </w: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工业废水量</w:t>
                  </w:r>
                </w:p>
              </w:tc>
              <w:tc>
                <w:tcPr>
                  <w:tcW w:w="464"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吨/井</w:t>
                  </w:r>
                </w:p>
              </w:tc>
              <w:tc>
                <w:tcPr>
                  <w:tcW w:w="64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27.13</w:t>
                  </w:r>
                </w:p>
              </w:tc>
              <w:tc>
                <w:tcPr>
                  <w:tcW w:w="812" w:type="pct"/>
                  <w:shd w:val="clear" w:color="auto" w:fill="auto"/>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w:t>
                  </w:r>
                </w:p>
              </w:tc>
              <w:tc>
                <w:tcPr>
                  <w:tcW w:w="547"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7"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9"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94"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化学需氧量</w:t>
                  </w:r>
                </w:p>
              </w:tc>
              <w:tc>
                <w:tcPr>
                  <w:tcW w:w="464"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克/井</w:t>
                  </w:r>
                </w:p>
              </w:tc>
              <w:tc>
                <w:tcPr>
                  <w:tcW w:w="64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34679</w:t>
                  </w:r>
                </w:p>
              </w:tc>
              <w:tc>
                <w:tcPr>
                  <w:tcW w:w="812" w:type="pct"/>
                  <w:shd w:val="clear" w:color="auto" w:fill="auto"/>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物理+化学+</w:t>
                  </w:r>
                </w:p>
                <w:p>
                  <w:pPr>
                    <w:adjustRightInd w:val="0"/>
                    <w:snapToGrid w:val="0"/>
                    <w:jc w:val="center"/>
                    <w:rPr>
                      <w:rFonts w:ascii="Times New Roman" w:hAnsi="Times New Roman"/>
                      <w:color w:val="auto"/>
                      <w:szCs w:val="21"/>
                      <w:lang w:bidi="ar"/>
                    </w:rPr>
                  </w:pPr>
                  <w:r>
                    <w:rPr>
                      <w:rFonts w:ascii="Times New Roman" w:hAnsi="Times New Roman"/>
                      <w:color w:val="auto"/>
                      <w:szCs w:val="21"/>
                      <w:lang w:bidi="ar"/>
                    </w:rPr>
                    <w:t>回注</w:t>
                  </w:r>
                </w:p>
              </w:tc>
              <w:tc>
                <w:tcPr>
                  <w:tcW w:w="547"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100</w:t>
                  </w:r>
                  <w:r>
                    <w:rPr>
                      <w:rFonts w:hint="eastAsia" w:ascii="Times New Roman" w:hAnsi="Times New Roman"/>
                      <w:color w:val="auto"/>
                      <w:kern w:val="2"/>
                      <w:sz w:val="21"/>
                      <w:szCs w:val="21"/>
                      <w:lang w:bidi="ar"/>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97"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9"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94"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vMerge w:val="continue"/>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p>
              </w:tc>
              <w:tc>
                <w:tcPr>
                  <w:tcW w:w="548"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石油类</w:t>
                  </w:r>
                </w:p>
              </w:tc>
              <w:tc>
                <w:tcPr>
                  <w:tcW w:w="464"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克/井</w:t>
                  </w:r>
                </w:p>
              </w:tc>
              <w:tc>
                <w:tcPr>
                  <w:tcW w:w="642"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6122</w:t>
                  </w:r>
                </w:p>
              </w:tc>
              <w:tc>
                <w:tcPr>
                  <w:tcW w:w="812" w:type="pct"/>
                  <w:shd w:val="clear" w:color="auto" w:fill="auto"/>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物理+化学+</w:t>
                  </w:r>
                </w:p>
                <w:p>
                  <w:pPr>
                    <w:adjustRightInd w:val="0"/>
                    <w:snapToGrid w:val="0"/>
                    <w:jc w:val="center"/>
                    <w:rPr>
                      <w:rFonts w:ascii="Times New Roman" w:hAnsi="Times New Roman"/>
                      <w:color w:val="auto"/>
                      <w:szCs w:val="21"/>
                      <w:lang w:bidi="ar"/>
                    </w:rPr>
                  </w:pPr>
                  <w:r>
                    <w:rPr>
                      <w:rFonts w:ascii="Times New Roman" w:hAnsi="Times New Roman"/>
                      <w:color w:val="auto"/>
                      <w:szCs w:val="21"/>
                      <w:lang w:bidi="ar"/>
                    </w:rPr>
                    <w:t>回注</w:t>
                  </w:r>
                </w:p>
              </w:tc>
              <w:tc>
                <w:tcPr>
                  <w:tcW w:w="547" w:type="pct"/>
                  <w:shd w:val="clear" w:color="auto" w:fill="auto"/>
                  <w:vAlign w:val="center"/>
                </w:tcPr>
                <w:p>
                  <w:pPr>
                    <w:pStyle w:val="33"/>
                    <w:widowControl w:val="0"/>
                    <w:adjustRightInd w:val="0"/>
                    <w:snapToGrid w:val="0"/>
                    <w:spacing w:before="0" w:beforeAutospacing="0" w:after="0" w:afterAutospacing="0"/>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100</w:t>
                  </w:r>
                  <w:r>
                    <w:rPr>
                      <w:rFonts w:hint="eastAsia" w:ascii="Times New Roman" w:hAnsi="Times New Roman"/>
                      <w:color w:val="auto"/>
                      <w:kern w:val="2"/>
                      <w:sz w:val="21"/>
                      <w:szCs w:val="21"/>
                      <w:lang w:bidi="ar"/>
                    </w:rPr>
                    <w:t>%</w:t>
                  </w:r>
                </w:p>
              </w:tc>
            </w:tr>
            <w:bookmarkEnd w:id="22"/>
          </w:tbl>
          <w:p>
            <w:pPr>
              <w:pStyle w:val="48"/>
              <w:spacing w:line="360" w:lineRule="auto"/>
              <w:ind w:firstLine="480"/>
              <w:jc w:val="both"/>
              <w:rPr>
                <w:rFonts w:ascii="Times New Roman" w:hAnsi="Times New Roman"/>
                <w:color w:val="auto"/>
              </w:rPr>
            </w:pPr>
            <w:r>
              <w:rPr>
                <w:rFonts w:ascii="Times New Roman" w:hAnsi="Times New Roman"/>
                <w:color w:val="auto"/>
              </w:rPr>
              <w:t>春光油田春2井区采油井为非低渗透油井，井下作业每2年1次。采用非低渗透油井洗井作业产污系数计算本项目运营期洗井废水及废水中各污染物的产生量，计算结果详见表</w:t>
            </w:r>
            <w:r>
              <w:rPr>
                <w:rFonts w:hint="eastAsia" w:ascii="Times New Roman" w:hAnsi="Times New Roman"/>
                <w:color w:val="auto"/>
              </w:rPr>
              <w:t>4-7</w:t>
            </w:r>
            <w:r>
              <w:rPr>
                <w:rFonts w:ascii="Times New Roman" w:hAnsi="Times New Roman"/>
                <w:color w:val="auto"/>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4-7</w:t>
            </w:r>
            <w:r>
              <w:rPr>
                <w:rFonts w:ascii="Times New Roman" w:hAnsi="Times New Roman"/>
                <w:b/>
                <w:color w:val="auto"/>
                <w:kern w:val="0"/>
                <w:szCs w:val="21"/>
              </w:rPr>
              <w:t xml:space="preserve">  洗井废水产生量</w:t>
            </w:r>
            <w:r>
              <w:rPr>
                <w:rFonts w:hint="eastAsia" w:ascii="Times New Roman" w:hAnsi="Times New Roman"/>
                <w:b/>
                <w:color w:val="auto"/>
                <w:kern w:val="0"/>
                <w:szCs w:val="21"/>
              </w:rPr>
              <w:t>和排放量</w:t>
            </w:r>
            <w:r>
              <w:rPr>
                <w:rFonts w:ascii="Times New Roman" w:hAnsi="Times New Roman"/>
                <w:b/>
                <w:color w:val="auto"/>
                <w:kern w:val="0"/>
                <w:szCs w:val="21"/>
              </w:rPr>
              <w:t>一览表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1440"/>
              <w:gridCol w:w="1915"/>
              <w:gridCol w:w="1608"/>
              <w:gridCol w:w="1608"/>
              <w:gridCol w:w="160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81" w:type="pct"/>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bookmarkStart w:id="23" w:name="_Hlk35868192"/>
                  <w:r>
                    <w:rPr>
                      <w:rFonts w:ascii="Times New Roman" w:hAnsi="Times New Roman"/>
                      <w:color w:val="auto"/>
                      <w:sz w:val="21"/>
                      <w:szCs w:val="21"/>
                    </w:rPr>
                    <w:t>污染物指标</w:t>
                  </w:r>
                </w:p>
              </w:tc>
              <w:tc>
                <w:tcPr>
                  <w:tcW w:w="1171" w:type="pct"/>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ascii="Times New Roman" w:hAnsi="Times New Roman"/>
                      <w:color w:val="auto"/>
                      <w:sz w:val="21"/>
                      <w:szCs w:val="21"/>
                    </w:rPr>
                    <w:t>产污系数</w:t>
                  </w:r>
                </w:p>
              </w:tc>
              <w:tc>
                <w:tcPr>
                  <w:tcW w:w="983" w:type="pct"/>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ascii="Times New Roman" w:hAnsi="Times New Roman"/>
                      <w:color w:val="auto"/>
                      <w:sz w:val="21"/>
                      <w:szCs w:val="21"/>
                    </w:rPr>
                    <w:t>产生量（t/a）</w:t>
                  </w:r>
                </w:p>
              </w:tc>
              <w:tc>
                <w:tcPr>
                  <w:tcW w:w="983" w:type="pct"/>
                  <w:vAlign w:val="center"/>
                </w:tcPr>
                <w:p>
                  <w:pPr>
                    <w:pStyle w:val="33"/>
                    <w:widowControl w:val="0"/>
                    <w:adjustRightInd w:val="0"/>
                    <w:snapToGrid w:val="0"/>
                    <w:spacing w:line="240" w:lineRule="exact"/>
                    <w:jc w:val="center"/>
                    <w:rPr>
                      <w:rFonts w:ascii="Times New Roman" w:hAnsi="Times New Roman"/>
                      <w:color w:val="auto"/>
                      <w:sz w:val="21"/>
                      <w:szCs w:val="21"/>
                    </w:rPr>
                  </w:pPr>
                  <w:r>
                    <w:rPr>
                      <w:rFonts w:hint="eastAsia" w:ascii="Times New Roman" w:hAnsi="Times New Roman"/>
                      <w:color w:val="auto"/>
                      <w:sz w:val="21"/>
                      <w:szCs w:val="21"/>
                    </w:rPr>
                    <w:t>末端治理和去向</w:t>
                  </w:r>
                </w:p>
              </w:tc>
              <w:tc>
                <w:tcPr>
                  <w:tcW w:w="981" w:type="pct"/>
                  <w:vAlign w:val="center"/>
                </w:tcPr>
                <w:p>
                  <w:pPr>
                    <w:pStyle w:val="33"/>
                    <w:widowControl w:val="0"/>
                    <w:adjustRightInd w:val="0"/>
                    <w:snapToGrid w:val="0"/>
                    <w:spacing w:line="240" w:lineRule="exact"/>
                    <w:jc w:val="center"/>
                    <w:rPr>
                      <w:rFonts w:ascii="Times New Roman" w:hAnsi="Times New Roman"/>
                      <w:color w:val="auto"/>
                      <w:sz w:val="21"/>
                      <w:szCs w:val="21"/>
                    </w:rPr>
                  </w:pPr>
                  <w:r>
                    <w:rPr>
                      <w:rFonts w:hint="eastAsia" w:ascii="Times New Roman" w:hAnsi="Times New Roman"/>
                      <w:color w:val="auto"/>
                      <w:sz w:val="21"/>
                      <w:szCs w:val="21"/>
                    </w:rPr>
                    <w:t>排放量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81" w:type="pct"/>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ascii="Times New Roman" w:hAnsi="Times New Roman"/>
                      <w:color w:val="auto"/>
                      <w:sz w:val="21"/>
                      <w:szCs w:val="21"/>
                    </w:rPr>
                    <w:t>工业废水量</w:t>
                  </w:r>
                </w:p>
              </w:tc>
              <w:tc>
                <w:tcPr>
                  <w:tcW w:w="1171" w:type="pct"/>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ascii="Times New Roman" w:hAnsi="Times New Roman"/>
                      <w:color w:val="auto"/>
                      <w:sz w:val="21"/>
                      <w:szCs w:val="21"/>
                    </w:rPr>
                    <w:t>76.0t/井</w:t>
                  </w:r>
                </w:p>
              </w:tc>
              <w:tc>
                <w:tcPr>
                  <w:tcW w:w="983" w:type="pct"/>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570</w:t>
                  </w:r>
                </w:p>
              </w:tc>
              <w:tc>
                <w:tcPr>
                  <w:tcW w:w="983" w:type="pct"/>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sz w:val="21"/>
                      <w:szCs w:val="21"/>
                    </w:rPr>
                    <w:t>物理+化学+</w:t>
                  </w:r>
                  <w:r>
                    <w:rPr>
                      <w:rFonts w:ascii="Times New Roman" w:hAnsi="Times New Roman"/>
                      <w:color w:val="auto"/>
                      <w:sz w:val="21"/>
                      <w:szCs w:val="21"/>
                    </w:rPr>
                    <w:t>回注</w:t>
                  </w:r>
                </w:p>
              </w:tc>
              <w:tc>
                <w:tcPr>
                  <w:tcW w:w="981" w:type="pct"/>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81" w:type="pct"/>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ascii="Times New Roman" w:hAnsi="Times New Roman"/>
                      <w:color w:val="auto"/>
                      <w:sz w:val="21"/>
                      <w:szCs w:val="21"/>
                    </w:rPr>
                    <w:t>化学需氧量</w:t>
                  </w:r>
                </w:p>
              </w:tc>
              <w:tc>
                <w:tcPr>
                  <w:tcW w:w="1171" w:type="pct"/>
                  <w:shd w:val="clear" w:color="auto" w:fill="auto"/>
                  <w:vAlign w:val="center"/>
                </w:tcPr>
                <w:p>
                  <w:pPr>
                    <w:pStyle w:val="33"/>
                    <w:widowControl w:val="0"/>
                    <w:adjustRightInd w:val="0"/>
                    <w:snapToGrid w:val="0"/>
                    <w:spacing w:line="240" w:lineRule="exact"/>
                    <w:jc w:val="center"/>
                    <w:rPr>
                      <w:rFonts w:ascii="Times New Roman" w:hAnsi="Times New Roman"/>
                      <w:color w:val="auto"/>
                      <w:sz w:val="21"/>
                      <w:szCs w:val="21"/>
                    </w:rPr>
                  </w:pPr>
                  <w:r>
                    <w:rPr>
                      <w:rFonts w:ascii="Times New Roman" w:hAnsi="Times New Roman"/>
                      <w:color w:val="auto"/>
                      <w:kern w:val="2"/>
                      <w:sz w:val="21"/>
                      <w:szCs w:val="21"/>
                      <w:lang w:bidi="ar"/>
                    </w:rPr>
                    <w:t>104525g</w:t>
                  </w:r>
                  <w:r>
                    <w:rPr>
                      <w:rFonts w:ascii="Times New Roman" w:hAnsi="Times New Roman"/>
                      <w:color w:val="auto"/>
                      <w:sz w:val="21"/>
                      <w:szCs w:val="21"/>
                    </w:rPr>
                    <w:t>/井</w:t>
                  </w:r>
                </w:p>
              </w:tc>
              <w:tc>
                <w:tcPr>
                  <w:tcW w:w="983" w:type="pct"/>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0.78</w:t>
                  </w:r>
                </w:p>
              </w:tc>
              <w:tc>
                <w:tcPr>
                  <w:tcW w:w="983" w:type="pct"/>
                  <w:vAlign w:val="center"/>
                </w:tcPr>
                <w:p>
                  <w:pPr>
                    <w:pStyle w:val="33"/>
                    <w:widowControl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物理+化学+</w:t>
                  </w:r>
                  <w:r>
                    <w:rPr>
                      <w:rFonts w:ascii="Times New Roman" w:hAnsi="Times New Roman"/>
                      <w:color w:val="auto"/>
                      <w:sz w:val="21"/>
                      <w:szCs w:val="21"/>
                    </w:rPr>
                    <w:t>回注</w:t>
                  </w:r>
                </w:p>
              </w:tc>
              <w:tc>
                <w:tcPr>
                  <w:tcW w:w="981" w:type="pct"/>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81" w:type="pct"/>
                  <w:shd w:val="clear" w:color="auto" w:fill="auto"/>
                  <w:vAlign w:val="center"/>
                </w:tcPr>
                <w:p>
                  <w:pPr>
                    <w:pStyle w:val="33"/>
                    <w:widowControl w:val="0"/>
                    <w:adjustRightInd w:val="0"/>
                    <w:snapToGrid w:val="0"/>
                    <w:spacing w:line="240" w:lineRule="exact"/>
                    <w:jc w:val="center"/>
                    <w:rPr>
                      <w:rFonts w:ascii="Times New Roman" w:hAnsi="Times New Roman"/>
                      <w:color w:val="auto"/>
                      <w:sz w:val="21"/>
                      <w:szCs w:val="21"/>
                    </w:rPr>
                  </w:pPr>
                  <w:r>
                    <w:rPr>
                      <w:rFonts w:ascii="Times New Roman" w:hAnsi="Times New Roman"/>
                      <w:color w:val="auto"/>
                      <w:sz w:val="21"/>
                      <w:szCs w:val="21"/>
                    </w:rPr>
                    <w:t>石油类</w:t>
                  </w:r>
                </w:p>
              </w:tc>
              <w:tc>
                <w:tcPr>
                  <w:tcW w:w="1171" w:type="pct"/>
                  <w:shd w:val="clear" w:color="auto" w:fill="auto"/>
                  <w:vAlign w:val="center"/>
                </w:tcPr>
                <w:p>
                  <w:pPr>
                    <w:pStyle w:val="33"/>
                    <w:widowControl w:val="0"/>
                    <w:adjustRightInd w:val="0"/>
                    <w:snapToGrid w:val="0"/>
                    <w:spacing w:line="240" w:lineRule="exact"/>
                    <w:jc w:val="center"/>
                    <w:rPr>
                      <w:rFonts w:ascii="Times New Roman" w:hAnsi="Times New Roman"/>
                      <w:color w:val="auto"/>
                      <w:sz w:val="21"/>
                      <w:szCs w:val="21"/>
                    </w:rPr>
                  </w:pPr>
                  <w:r>
                    <w:rPr>
                      <w:rFonts w:ascii="Times New Roman" w:hAnsi="Times New Roman"/>
                      <w:color w:val="auto"/>
                      <w:kern w:val="2"/>
                      <w:sz w:val="21"/>
                      <w:szCs w:val="21"/>
                      <w:lang w:bidi="ar"/>
                    </w:rPr>
                    <w:t>17645</w:t>
                  </w:r>
                  <w:r>
                    <w:rPr>
                      <w:rFonts w:ascii="Times New Roman" w:hAnsi="Times New Roman"/>
                      <w:color w:val="auto"/>
                      <w:sz w:val="21"/>
                      <w:szCs w:val="21"/>
                    </w:rPr>
                    <w:t>g/井</w:t>
                  </w:r>
                </w:p>
              </w:tc>
              <w:tc>
                <w:tcPr>
                  <w:tcW w:w="983" w:type="pct"/>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ascii="Times New Roman" w:hAnsi="Times New Roman"/>
                      <w:color w:val="auto"/>
                      <w:kern w:val="2"/>
                      <w:sz w:val="21"/>
                      <w:szCs w:val="21"/>
                      <w:lang w:bidi="ar"/>
                    </w:rPr>
                    <w:t>0.13</w:t>
                  </w:r>
                </w:p>
              </w:tc>
              <w:tc>
                <w:tcPr>
                  <w:tcW w:w="983" w:type="pct"/>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sz w:val="21"/>
                      <w:szCs w:val="21"/>
                    </w:rPr>
                    <w:t>物理+化学+</w:t>
                  </w:r>
                  <w:r>
                    <w:rPr>
                      <w:rFonts w:ascii="Times New Roman" w:hAnsi="Times New Roman"/>
                      <w:color w:val="auto"/>
                      <w:sz w:val="21"/>
                      <w:szCs w:val="21"/>
                    </w:rPr>
                    <w:t>回注</w:t>
                  </w:r>
                </w:p>
              </w:tc>
              <w:tc>
                <w:tcPr>
                  <w:tcW w:w="981" w:type="pct"/>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81" w:type="pct"/>
                  <w:shd w:val="clear" w:color="auto" w:fill="auto"/>
                  <w:vAlign w:val="center"/>
                </w:tcPr>
                <w:p>
                  <w:pPr>
                    <w:pStyle w:val="33"/>
                    <w:widowControl w:val="0"/>
                    <w:adjustRightInd w:val="0"/>
                    <w:snapToGrid w:val="0"/>
                    <w:spacing w:line="240" w:lineRule="exact"/>
                    <w:jc w:val="center"/>
                    <w:rPr>
                      <w:rFonts w:ascii="Times New Roman" w:hAnsi="Times New Roman"/>
                      <w:color w:val="auto"/>
                      <w:sz w:val="21"/>
                      <w:szCs w:val="21"/>
                    </w:rPr>
                  </w:pPr>
                  <w:r>
                    <w:rPr>
                      <w:rFonts w:hint="eastAsia" w:ascii="Times New Roman" w:hAnsi="Times New Roman"/>
                      <w:color w:val="auto"/>
                      <w:sz w:val="21"/>
                      <w:szCs w:val="21"/>
                    </w:rPr>
                    <w:t>合计</w:t>
                  </w:r>
                </w:p>
              </w:tc>
              <w:tc>
                <w:tcPr>
                  <w:tcW w:w="1171" w:type="pct"/>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w:t>
                  </w:r>
                </w:p>
              </w:tc>
              <w:tc>
                <w:tcPr>
                  <w:tcW w:w="983" w:type="pct"/>
                  <w:shd w:val="clear" w:color="auto" w:fill="auto"/>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5</w:t>
                  </w:r>
                  <w:r>
                    <w:rPr>
                      <w:rFonts w:ascii="Times New Roman" w:hAnsi="Times New Roman"/>
                      <w:color w:val="auto"/>
                      <w:kern w:val="2"/>
                      <w:sz w:val="21"/>
                      <w:szCs w:val="21"/>
                      <w:lang w:bidi="ar"/>
                    </w:rPr>
                    <w:t>70.91</w:t>
                  </w:r>
                </w:p>
              </w:tc>
              <w:tc>
                <w:tcPr>
                  <w:tcW w:w="983" w:type="pct"/>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w:t>
                  </w:r>
                </w:p>
              </w:tc>
              <w:tc>
                <w:tcPr>
                  <w:tcW w:w="981" w:type="pct"/>
                  <w:vAlign w:val="center"/>
                </w:tcPr>
                <w:p>
                  <w:pPr>
                    <w:pStyle w:val="33"/>
                    <w:widowControl w:val="0"/>
                    <w:adjustRightInd w:val="0"/>
                    <w:snapToGrid w:val="0"/>
                    <w:spacing w:line="240" w:lineRule="exact"/>
                    <w:jc w:val="center"/>
                    <w:rPr>
                      <w:rFonts w:ascii="Times New Roman" w:hAnsi="Times New Roman"/>
                      <w:color w:val="auto"/>
                      <w:kern w:val="2"/>
                      <w:sz w:val="21"/>
                      <w:szCs w:val="21"/>
                      <w:lang w:bidi="ar"/>
                    </w:rPr>
                  </w:pPr>
                  <w:r>
                    <w:rPr>
                      <w:rFonts w:hint="eastAsia" w:ascii="Times New Roman" w:hAnsi="Times New Roman"/>
                      <w:color w:val="auto"/>
                      <w:kern w:val="2"/>
                      <w:sz w:val="21"/>
                      <w:szCs w:val="21"/>
                      <w:lang w:bidi="ar"/>
                    </w:rPr>
                    <w:t>0</w:t>
                  </w:r>
                </w:p>
              </w:tc>
            </w:tr>
            <w:bookmarkEnd w:id="23"/>
          </w:tbl>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井下作业带罐作业，产生的井下作业废水集中收集至专用收集罐中，运营期产生的废水集中收集后送至春光联合站</w:t>
            </w:r>
            <w:r>
              <w:rPr>
                <w:rFonts w:hint="eastAsia" w:ascii="Times New Roman" w:hAnsi="Times New Roman"/>
                <w:color w:val="auto"/>
                <w:sz w:val="24"/>
              </w:rPr>
              <w:t>污</w:t>
            </w:r>
            <w:r>
              <w:rPr>
                <w:rFonts w:ascii="Times New Roman" w:hAnsi="Times New Roman"/>
                <w:color w:val="auto"/>
                <w:sz w:val="24"/>
              </w:rPr>
              <w:t>水处理系统处理，且正常情况下不会形成地表径流，不会对地下水产生不利影响。</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采出水</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根据可研提供的产能预测指标表中的最大产能年，本项目采出水最大产水量约92m³/d（2.76万t/a），依托春光联合站的污水系统处理，处理后水质达到《碎屑岩油藏注水水质指标及分析方法》（SY/T5329-2012）标准中指标后回注地层，不向外环境排放。根据春光油田相关资料，采出水中主要污染物为SS、COD、石油类、挥发酚、NH</w:t>
            </w:r>
            <w:r>
              <w:rPr>
                <w:rFonts w:ascii="Times New Roman" w:hAnsi="Times New Roman"/>
                <w:color w:val="auto"/>
                <w:sz w:val="24"/>
                <w:vertAlign w:val="subscript"/>
              </w:rPr>
              <w:t>3</w:t>
            </w:r>
            <w:r>
              <w:rPr>
                <w:rFonts w:ascii="Times New Roman" w:hAnsi="Times New Roman"/>
                <w:color w:val="auto"/>
                <w:sz w:val="24"/>
              </w:rPr>
              <w:t>-N，</w:t>
            </w:r>
            <w:r>
              <w:rPr>
                <w:rFonts w:hint="eastAsia" w:ascii="Times New Roman" w:hAnsi="Times New Roman"/>
                <w:color w:val="auto"/>
                <w:sz w:val="24"/>
              </w:rPr>
              <w:t>不含硫化氢，</w:t>
            </w:r>
            <w:r>
              <w:rPr>
                <w:rFonts w:ascii="Times New Roman" w:hAnsi="Times New Roman"/>
                <w:color w:val="auto"/>
                <w:sz w:val="24"/>
              </w:rPr>
              <w:t>其浓度分别为44mg/L，4500mg/L，70mg/L，0.15mg/L，60mg/L。由此可计算出：本项目 SS、COD、石油类、挥发酚和NH</w:t>
            </w:r>
            <w:r>
              <w:rPr>
                <w:rFonts w:ascii="Times New Roman" w:hAnsi="Times New Roman"/>
                <w:color w:val="auto"/>
                <w:sz w:val="24"/>
                <w:vertAlign w:val="subscript"/>
              </w:rPr>
              <w:t>3</w:t>
            </w:r>
            <w:r>
              <w:rPr>
                <w:rFonts w:ascii="Times New Roman" w:hAnsi="Times New Roman"/>
                <w:color w:val="auto"/>
                <w:sz w:val="24"/>
              </w:rPr>
              <w:t>-N 的年产生量分别为</w:t>
            </w:r>
            <w:r>
              <w:rPr>
                <w:rFonts w:hint="eastAsia" w:ascii="Times New Roman" w:hAnsi="Times New Roman"/>
                <w:color w:val="auto"/>
                <w:sz w:val="24"/>
              </w:rPr>
              <w:t>1.21</w:t>
            </w:r>
            <w:r>
              <w:rPr>
                <w:rFonts w:ascii="Times New Roman" w:hAnsi="Times New Roman"/>
                <w:color w:val="auto"/>
                <w:sz w:val="24"/>
              </w:rPr>
              <w:t>t、</w:t>
            </w:r>
            <w:r>
              <w:rPr>
                <w:rFonts w:hint="eastAsia" w:ascii="Times New Roman" w:hAnsi="Times New Roman"/>
                <w:color w:val="auto"/>
                <w:sz w:val="24"/>
              </w:rPr>
              <w:t>124.2</w:t>
            </w:r>
            <w:r>
              <w:rPr>
                <w:rFonts w:ascii="Times New Roman" w:hAnsi="Times New Roman"/>
                <w:color w:val="auto"/>
                <w:sz w:val="24"/>
              </w:rPr>
              <w:t>t、</w:t>
            </w:r>
            <w:r>
              <w:rPr>
                <w:rFonts w:hint="eastAsia" w:ascii="Times New Roman" w:hAnsi="Times New Roman"/>
                <w:color w:val="auto"/>
                <w:sz w:val="24"/>
              </w:rPr>
              <w:t>1.93</w:t>
            </w:r>
            <w:r>
              <w:rPr>
                <w:rFonts w:ascii="Times New Roman" w:hAnsi="Times New Roman"/>
                <w:color w:val="auto"/>
                <w:sz w:val="24"/>
              </w:rPr>
              <w:t>t、0.0</w:t>
            </w:r>
            <w:r>
              <w:rPr>
                <w:rFonts w:hint="eastAsia" w:ascii="Times New Roman" w:hAnsi="Times New Roman"/>
                <w:color w:val="auto"/>
                <w:sz w:val="24"/>
              </w:rPr>
              <w:t>04</w:t>
            </w:r>
            <w:r>
              <w:rPr>
                <w:rFonts w:ascii="Times New Roman" w:hAnsi="Times New Roman"/>
                <w:color w:val="auto"/>
                <w:sz w:val="24"/>
              </w:rPr>
              <w:t>t 和</w:t>
            </w:r>
            <w:r>
              <w:rPr>
                <w:rFonts w:hint="eastAsia" w:ascii="Times New Roman" w:hAnsi="Times New Roman"/>
                <w:color w:val="auto"/>
                <w:sz w:val="24"/>
              </w:rPr>
              <w:t>1.66</w:t>
            </w:r>
            <w:r>
              <w:rPr>
                <w:rFonts w:ascii="Times New Roman" w:hAnsi="Times New Roman"/>
                <w:color w:val="auto"/>
                <w:sz w:val="24"/>
              </w:rPr>
              <w:t>t。</w:t>
            </w:r>
          </w:p>
          <w:p>
            <w:pPr>
              <w:overflowPunct w:val="0"/>
              <w:adjustRightInd w:val="0"/>
              <w:snapToGrid w:val="0"/>
              <w:spacing w:line="360" w:lineRule="auto"/>
              <w:ind w:firstLine="480" w:firstLineChars="200"/>
              <w:jc w:val="both"/>
              <w:rPr>
                <w:color w:val="auto"/>
                <w:sz w:val="24"/>
              </w:rPr>
            </w:pPr>
            <w:r>
              <w:rPr>
                <w:rFonts w:hint="eastAsia"/>
                <w:color w:val="auto"/>
                <w:sz w:val="24"/>
              </w:rPr>
              <w:t>本项目运营期产生的废水均得到妥善处置，正常情况下不会形成地表径流，不会对地下水产生不利影响。发生井喷、井漏、油水窜层、管线等事故时，立即采取相应的应急措施并启动突发环境风险应急预案，对水环境的影响较小，详见地下水环境影响专项评价报告。</w:t>
            </w:r>
          </w:p>
          <w:p>
            <w:pPr>
              <w:pStyle w:val="48"/>
              <w:spacing w:line="360" w:lineRule="auto"/>
              <w:ind w:firstLine="482"/>
              <w:jc w:val="both"/>
              <w:rPr>
                <w:rFonts w:ascii="Times New Roman" w:hAnsi="Times New Roman"/>
                <w:b/>
                <w:color w:val="auto"/>
              </w:rPr>
            </w:pPr>
            <w:r>
              <w:rPr>
                <w:rFonts w:ascii="Times New Roman" w:hAnsi="Times New Roman"/>
                <w:b/>
                <w:color w:val="auto"/>
              </w:rPr>
              <w:t>5．声环境影响分析</w:t>
            </w:r>
          </w:p>
          <w:p>
            <w:pPr>
              <w:pStyle w:val="48"/>
              <w:spacing w:line="360" w:lineRule="auto"/>
              <w:ind w:firstLine="480"/>
              <w:jc w:val="both"/>
              <w:rPr>
                <w:rFonts w:ascii="Times New Roman" w:hAnsi="Times New Roman"/>
                <w:color w:val="auto"/>
              </w:rPr>
            </w:pPr>
            <w:bookmarkStart w:id="24" w:name="_Hlk68551551"/>
            <w:r>
              <w:rPr>
                <w:rFonts w:ascii="Times New Roman" w:hAnsi="Times New Roman"/>
                <w:color w:val="auto"/>
              </w:rPr>
              <w:t>（1）噪声预测</w:t>
            </w:r>
          </w:p>
          <w:p>
            <w:pPr>
              <w:pStyle w:val="48"/>
              <w:spacing w:line="360" w:lineRule="auto"/>
              <w:ind w:firstLine="480"/>
              <w:jc w:val="both"/>
              <w:rPr>
                <w:rFonts w:ascii="Times New Roman" w:hAnsi="Times New Roman"/>
                <w:color w:val="auto"/>
              </w:rPr>
            </w:pPr>
            <w:r>
              <w:rPr>
                <w:rFonts w:ascii="Times New Roman" w:hAnsi="Times New Roman"/>
                <w:color w:val="auto"/>
              </w:rPr>
              <w:t>本项目噪声源主要为井场中的各类机泵以及</w:t>
            </w:r>
            <w:r>
              <w:rPr>
                <w:rFonts w:hint="eastAsia" w:ascii="Times New Roman" w:hAnsi="Times New Roman"/>
                <w:color w:val="auto"/>
              </w:rPr>
              <w:t>井</w:t>
            </w:r>
            <w:r>
              <w:rPr>
                <w:rFonts w:ascii="Times New Roman" w:hAnsi="Times New Roman"/>
                <w:color w:val="auto"/>
              </w:rPr>
              <w:t>场内增设机泵。考虑传播距离引起的衰减，鉴于声源到厂界预测点的传播距离远大于声源长度，各噪声源均按点源计。计算模式采用《环境影响评价技术导则</w:t>
            </w:r>
            <w:r>
              <w:rPr>
                <w:rFonts w:hint="eastAsia" w:ascii="Times New Roman" w:hAnsi="Times New Roman"/>
                <w:color w:val="auto"/>
              </w:rPr>
              <w:t xml:space="preserve"> </w:t>
            </w:r>
            <w:r>
              <w:rPr>
                <w:rFonts w:ascii="Times New Roman" w:hAnsi="Times New Roman"/>
                <w:color w:val="auto"/>
              </w:rPr>
              <w:t>声环境》（HJ2.4-2009）中所推荐的预测模式，计算式如下：</w:t>
            </w:r>
          </w:p>
          <w:p>
            <w:pPr>
              <w:pStyle w:val="48"/>
              <w:spacing w:line="360" w:lineRule="auto"/>
              <w:ind w:firstLine="1200" w:firstLineChars="500"/>
              <w:rPr>
                <w:rFonts w:ascii="Times New Roman" w:hAnsi="Times New Roman"/>
                <w:color w:val="auto"/>
              </w:rPr>
            </w:pPr>
            <w:r>
              <w:rPr>
                <w:rFonts w:ascii="Times New Roman" w:hAnsi="Times New Roman"/>
                <w:color w:val="auto"/>
              </w:rPr>
              <w:t>LA（r）=LA（r</w:t>
            </w:r>
            <w:r>
              <w:rPr>
                <w:rFonts w:ascii="Times New Roman" w:hAnsi="Times New Roman"/>
                <w:color w:val="auto"/>
                <w:vertAlign w:val="subscript"/>
              </w:rPr>
              <w:t>0</w:t>
            </w:r>
            <w:r>
              <w:rPr>
                <w:rFonts w:ascii="Times New Roman" w:hAnsi="Times New Roman"/>
                <w:color w:val="auto"/>
              </w:rPr>
              <w:t>）-20lg（r/r</w:t>
            </w:r>
            <w:r>
              <w:rPr>
                <w:rFonts w:ascii="Times New Roman" w:hAnsi="Times New Roman"/>
                <w:color w:val="auto"/>
                <w:vertAlign w:val="subscript"/>
              </w:rPr>
              <w:t>0</w:t>
            </w:r>
            <w:r>
              <w:rPr>
                <w:rFonts w:ascii="Times New Roman" w:hAnsi="Times New Roman"/>
                <w:color w:val="auto"/>
              </w:rPr>
              <w:t>）</w:t>
            </w:r>
          </w:p>
          <w:p>
            <w:pPr>
              <w:pStyle w:val="48"/>
              <w:spacing w:line="360" w:lineRule="auto"/>
              <w:ind w:firstLine="480"/>
              <w:rPr>
                <w:rFonts w:ascii="Times New Roman" w:hAnsi="Times New Roman"/>
                <w:color w:val="auto"/>
              </w:rPr>
            </w:pPr>
            <w:r>
              <w:rPr>
                <w:rFonts w:ascii="Times New Roman" w:hAnsi="Times New Roman"/>
                <w:color w:val="auto"/>
              </w:rPr>
              <w:t>式中：LA（r）—距声源r处的A声级；</w:t>
            </w:r>
          </w:p>
          <w:p>
            <w:pPr>
              <w:pStyle w:val="48"/>
              <w:spacing w:line="360" w:lineRule="auto"/>
              <w:ind w:firstLine="1159" w:firstLineChars="483"/>
              <w:rPr>
                <w:rFonts w:ascii="Times New Roman" w:hAnsi="Times New Roman"/>
                <w:color w:val="auto"/>
              </w:rPr>
            </w:pPr>
            <w:r>
              <w:rPr>
                <w:rFonts w:ascii="Times New Roman" w:hAnsi="Times New Roman"/>
                <w:color w:val="auto"/>
              </w:rPr>
              <w:t>LA（r</w:t>
            </w:r>
            <w:r>
              <w:rPr>
                <w:rFonts w:ascii="Times New Roman" w:hAnsi="Times New Roman"/>
                <w:color w:val="auto"/>
                <w:vertAlign w:val="subscript"/>
              </w:rPr>
              <w:t>0</w:t>
            </w:r>
            <w:r>
              <w:rPr>
                <w:rFonts w:ascii="Times New Roman" w:hAnsi="Times New Roman"/>
                <w:color w:val="auto"/>
              </w:rPr>
              <w:t>）—参考位置r</w:t>
            </w:r>
            <w:r>
              <w:rPr>
                <w:rFonts w:ascii="Times New Roman" w:hAnsi="Times New Roman"/>
                <w:color w:val="auto"/>
                <w:vertAlign w:val="subscript"/>
              </w:rPr>
              <w:t>0</w:t>
            </w:r>
            <w:r>
              <w:rPr>
                <w:rFonts w:ascii="Times New Roman" w:hAnsi="Times New Roman"/>
                <w:color w:val="auto"/>
              </w:rPr>
              <w:t>处的A声级；</w:t>
            </w:r>
          </w:p>
          <w:p>
            <w:pPr>
              <w:pStyle w:val="48"/>
              <w:spacing w:line="360" w:lineRule="auto"/>
              <w:ind w:firstLine="1159" w:firstLineChars="483"/>
              <w:rPr>
                <w:rFonts w:ascii="Times New Roman" w:hAnsi="Times New Roman"/>
                <w:color w:val="auto"/>
              </w:rPr>
            </w:pPr>
            <w:r>
              <w:rPr>
                <w:rFonts w:ascii="Times New Roman" w:hAnsi="Times New Roman"/>
                <w:color w:val="auto"/>
              </w:rPr>
              <w:t>r—预测点距声源距离，m；</w:t>
            </w:r>
          </w:p>
          <w:p>
            <w:pPr>
              <w:pStyle w:val="48"/>
              <w:spacing w:line="360" w:lineRule="auto"/>
              <w:ind w:firstLine="1159" w:firstLineChars="483"/>
              <w:rPr>
                <w:rFonts w:ascii="Times New Roman" w:hAnsi="Times New Roman"/>
                <w:color w:val="auto"/>
              </w:rPr>
            </w:pPr>
            <w:r>
              <w:rPr>
                <w:rFonts w:ascii="Times New Roman" w:hAnsi="Times New Roman"/>
                <w:color w:val="auto"/>
              </w:rPr>
              <w:t>r</w:t>
            </w:r>
            <w:r>
              <w:rPr>
                <w:rFonts w:ascii="Times New Roman" w:hAnsi="Times New Roman"/>
                <w:color w:val="auto"/>
                <w:vertAlign w:val="subscript"/>
              </w:rPr>
              <w:t>0</w:t>
            </w:r>
            <w:r>
              <w:rPr>
                <w:rFonts w:ascii="Times New Roman" w:hAnsi="Times New Roman"/>
                <w:color w:val="auto"/>
              </w:rPr>
              <w:t>—参考位置距离声源距离，m</w:t>
            </w:r>
            <w:r>
              <w:rPr>
                <w:rFonts w:hint="eastAsia" w:ascii="Times New Roman" w:hAnsi="Times New Roman"/>
                <w:color w:val="auto"/>
              </w:rPr>
              <w:t>。</w:t>
            </w:r>
          </w:p>
          <w:p>
            <w:pPr>
              <w:pStyle w:val="48"/>
              <w:spacing w:line="360" w:lineRule="auto"/>
              <w:ind w:firstLine="480"/>
              <w:jc w:val="both"/>
              <w:rPr>
                <w:rFonts w:ascii="Times New Roman" w:hAnsi="Times New Roman"/>
                <w:color w:val="auto"/>
              </w:rPr>
            </w:pPr>
            <w:r>
              <w:rPr>
                <w:rFonts w:ascii="Times New Roman" w:hAnsi="Times New Roman"/>
                <w:color w:val="auto"/>
              </w:rPr>
              <w:t>（2）噪声源源强及分布</w:t>
            </w:r>
          </w:p>
          <w:p>
            <w:pPr>
              <w:pStyle w:val="48"/>
              <w:spacing w:line="360" w:lineRule="auto"/>
              <w:ind w:firstLine="480"/>
              <w:jc w:val="both"/>
              <w:rPr>
                <w:rFonts w:ascii="Times New Roman" w:hAnsi="Times New Roman"/>
                <w:color w:val="auto"/>
              </w:rPr>
            </w:pPr>
            <w:r>
              <w:rPr>
                <w:rFonts w:ascii="Times New Roman" w:hAnsi="Times New Roman"/>
                <w:color w:val="auto"/>
              </w:rPr>
              <w:t>项目井场噪声源为各类机泵等，噪声源强为</w:t>
            </w:r>
            <w:r>
              <w:rPr>
                <w:rFonts w:hint="eastAsia" w:ascii="Times New Roman" w:hAnsi="Times New Roman"/>
                <w:color w:val="auto"/>
              </w:rPr>
              <w:t>85</w:t>
            </w:r>
            <w:r>
              <w:rPr>
                <w:rFonts w:ascii="Times New Roman" w:hAnsi="Times New Roman"/>
                <w:color w:val="auto"/>
              </w:rPr>
              <w:t>dB（A），设备选用低噪设备，并采取基础减</w:t>
            </w:r>
            <w:r>
              <w:rPr>
                <w:rFonts w:hint="eastAsia" w:ascii="Times New Roman" w:hAnsi="Times New Roman"/>
                <w:color w:val="auto"/>
              </w:rPr>
              <w:t>振</w:t>
            </w:r>
            <w:r>
              <w:rPr>
                <w:rFonts w:ascii="Times New Roman" w:hAnsi="Times New Roman"/>
                <w:color w:val="auto"/>
              </w:rPr>
              <w:t>等措施，衰减量按20dB（A）计，其运行噪声</w:t>
            </w:r>
            <w:r>
              <w:rPr>
                <w:rFonts w:hint="eastAsia" w:ascii="Times New Roman" w:hAnsi="Times New Roman"/>
                <w:color w:val="auto"/>
              </w:rPr>
              <w:t>65</w:t>
            </w:r>
            <w:r>
              <w:rPr>
                <w:rFonts w:ascii="Times New Roman" w:hAnsi="Times New Roman"/>
                <w:color w:val="auto"/>
              </w:rPr>
              <w:t>dB（A）。本次主要噪声源强距厂界距离见表 4-</w:t>
            </w:r>
            <w:r>
              <w:rPr>
                <w:rFonts w:hint="eastAsia" w:ascii="Times New Roman" w:hAnsi="Times New Roman"/>
                <w:color w:val="auto"/>
              </w:rPr>
              <w:t>8</w:t>
            </w:r>
            <w:r>
              <w:rPr>
                <w:rFonts w:ascii="Times New Roman" w:hAnsi="Times New Roman"/>
                <w:color w:val="auto"/>
              </w:rPr>
              <w:t>。</w:t>
            </w:r>
          </w:p>
          <w:p>
            <w:pPr>
              <w:pStyle w:val="48"/>
              <w:spacing w:before="120" w:beforeLines="50" w:line="240" w:lineRule="auto"/>
              <w:ind w:firstLine="422"/>
              <w:jc w:val="center"/>
              <w:rPr>
                <w:rFonts w:ascii="Times New Roman" w:hAnsi="Times New Roman"/>
                <w:b/>
                <w:bCs/>
                <w:color w:val="auto"/>
                <w:sz w:val="21"/>
                <w:szCs w:val="21"/>
              </w:rPr>
            </w:pPr>
            <w:r>
              <w:rPr>
                <w:rFonts w:ascii="Times New Roman" w:hAnsi="Times New Roman"/>
                <w:b/>
                <w:bCs/>
                <w:color w:val="auto"/>
                <w:sz w:val="21"/>
                <w:szCs w:val="21"/>
              </w:rPr>
              <w:t>表 4-</w:t>
            </w:r>
            <w:r>
              <w:rPr>
                <w:rFonts w:hint="eastAsia" w:ascii="Times New Roman" w:hAnsi="Times New Roman"/>
                <w:b/>
                <w:bCs/>
                <w:color w:val="auto"/>
                <w:sz w:val="21"/>
                <w:szCs w:val="21"/>
              </w:rPr>
              <w:t>8</w:t>
            </w:r>
            <w:r>
              <w:rPr>
                <w:rFonts w:ascii="Times New Roman" w:hAnsi="Times New Roman"/>
                <w:b/>
                <w:bCs/>
                <w:color w:val="auto"/>
                <w:sz w:val="21"/>
                <w:szCs w:val="21"/>
              </w:rPr>
              <w:t xml:space="preserve"> 项目主要噪声源强至厂界距离</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49"/>
              <w:gridCol w:w="903"/>
              <w:gridCol w:w="1499"/>
              <w:gridCol w:w="1405"/>
              <w:gridCol w:w="1298"/>
              <w:gridCol w:w="222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071" w:type="pct"/>
                  <w:gridSpan w:val="2"/>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噪声源</w:t>
                  </w:r>
                </w:p>
              </w:tc>
              <w:tc>
                <w:tcPr>
                  <w:tcW w:w="917"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各源强叠加后噪声值</w:t>
                  </w:r>
                </w:p>
              </w:tc>
              <w:tc>
                <w:tcPr>
                  <w:tcW w:w="859"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基础减</w:t>
                  </w:r>
                  <w:r>
                    <w:rPr>
                      <w:rFonts w:hint="eastAsia" w:ascii="Times New Roman" w:hAnsi="Times New Roman"/>
                      <w:color w:val="auto"/>
                      <w:kern w:val="0"/>
                      <w:szCs w:val="21"/>
                    </w:rPr>
                    <w:t>振</w:t>
                  </w:r>
                  <w:r>
                    <w:rPr>
                      <w:rFonts w:ascii="Times New Roman" w:hAnsi="Times New Roman"/>
                      <w:color w:val="auto"/>
                      <w:kern w:val="0"/>
                      <w:szCs w:val="21"/>
                    </w:rPr>
                    <w:t>后噪声值</w:t>
                  </w:r>
                </w:p>
              </w:tc>
              <w:tc>
                <w:tcPr>
                  <w:tcW w:w="794"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厂界方位</w:t>
                  </w:r>
                </w:p>
              </w:tc>
              <w:tc>
                <w:tcPr>
                  <w:tcW w:w="1359"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噪声源至厂界距离(m)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19" w:type="pct"/>
                  <w:vMerge w:val="restar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井场</w:t>
                  </w:r>
                </w:p>
              </w:tc>
              <w:tc>
                <w:tcPr>
                  <w:tcW w:w="552" w:type="pct"/>
                  <w:vMerge w:val="restar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机泵</w:t>
                  </w:r>
                </w:p>
              </w:tc>
              <w:tc>
                <w:tcPr>
                  <w:tcW w:w="917" w:type="pct"/>
                  <w:vMerge w:val="restar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85</w:t>
                  </w:r>
                </w:p>
              </w:tc>
              <w:tc>
                <w:tcPr>
                  <w:tcW w:w="859" w:type="pct"/>
                  <w:vMerge w:val="restart"/>
                  <w:shd w:val="clear" w:color="auto" w:fill="auto"/>
                  <w:vAlign w:val="center"/>
                </w:tcPr>
                <w:p>
                  <w:pPr>
                    <w:jc w:val="center"/>
                    <w:rPr>
                      <w:rFonts w:ascii="Times New Roman" w:hAnsi="Times New Roman"/>
                      <w:color w:val="auto"/>
                      <w:kern w:val="0"/>
                      <w:szCs w:val="21"/>
                    </w:rPr>
                  </w:pPr>
                  <w:r>
                    <w:rPr>
                      <w:rFonts w:hint="eastAsia" w:ascii="Times New Roman" w:hAnsi="Times New Roman"/>
                      <w:color w:val="auto"/>
                      <w:kern w:val="0"/>
                      <w:szCs w:val="21"/>
                    </w:rPr>
                    <w:t>65</w:t>
                  </w:r>
                </w:p>
              </w:tc>
              <w:tc>
                <w:tcPr>
                  <w:tcW w:w="794"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东厂界</w:t>
                  </w:r>
                </w:p>
              </w:tc>
              <w:tc>
                <w:tcPr>
                  <w:tcW w:w="1359"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19" w:type="pct"/>
                  <w:vMerge w:val="continue"/>
                  <w:shd w:val="clear" w:color="auto" w:fill="auto"/>
                  <w:vAlign w:val="center"/>
                </w:tcPr>
                <w:p>
                  <w:pPr>
                    <w:jc w:val="center"/>
                    <w:rPr>
                      <w:rFonts w:ascii="Times New Roman" w:hAnsi="Times New Roman"/>
                      <w:color w:val="auto"/>
                      <w:kern w:val="0"/>
                      <w:szCs w:val="21"/>
                    </w:rPr>
                  </w:pPr>
                </w:p>
              </w:tc>
              <w:tc>
                <w:tcPr>
                  <w:tcW w:w="552" w:type="pct"/>
                  <w:vMerge w:val="continue"/>
                  <w:shd w:val="clear" w:color="auto" w:fill="auto"/>
                  <w:vAlign w:val="center"/>
                </w:tcPr>
                <w:p>
                  <w:pPr>
                    <w:jc w:val="center"/>
                    <w:rPr>
                      <w:rFonts w:ascii="Times New Roman" w:hAnsi="Times New Roman"/>
                      <w:color w:val="auto"/>
                      <w:kern w:val="0"/>
                      <w:szCs w:val="21"/>
                    </w:rPr>
                  </w:pPr>
                </w:p>
              </w:tc>
              <w:tc>
                <w:tcPr>
                  <w:tcW w:w="917" w:type="pct"/>
                  <w:vMerge w:val="continue"/>
                  <w:shd w:val="clear" w:color="auto" w:fill="auto"/>
                  <w:vAlign w:val="center"/>
                </w:tcPr>
                <w:p>
                  <w:pPr>
                    <w:jc w:val="center"/>
                    <w:rPr>
                      <w:rFonts w:ascii="Times New Roman" w:hAnsi="Times New Roman"/>
                      <w:color w:val="auto"/>
                      <w:kern w:val="0"/>
                      <w:szCs w:val="21"/>
                    </w:rPr>
                  </w:pPr>
                </w:p>
              </w:tc>
              <w:tc>
                <w:tcPr>
                  <w:tcW w:w="859" w:type="pct"/>
                  <w:vMerge w:val="continue"/>
                  <w:shd w:val="clear" w:color="auto" w:fill="auto"/>
                  <w:vAlign w:val="center"/>
                </w:tcPr>
                <w:p>
                  <w:pPr>
                    <w:jc w:val="center"/>
                    <w:rPr>
                      <w:rFonts w:ascii="Times New Roman" w:hAnsi="Times New Roman"/>
                      <w:color w:val="auto"/>
                      <w:kern w:val="0"/>
                      <w:szCs w:val="21"/>
                    </w:rPr>
                  </w:pPr>
                </w:p>
              </w:tc>
              <w:tc>
                <w:tcPr>
                  <w:tcW w:w="794"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南厂界</w:t>
                  </w:r>
                </w:p>
              </w:tc>
              <w:tc>
                <w:tcPr>
                  <w:tcW w:w="1359"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19" w:type="pct"/>
                  <w:vMerge w:val="continue"/>
                  <w:shd w:val="clear" w:color="auto" w:fill="auto"/>
                  <w:vAlign w:val="center"/>
                </w:tcPr>
                <w:p>
                  <w:pPr>
                    <w:jc w:val="center"/>
                    <w:rPr>
                      <w:rFonts w:ascii="Times New Roman" w:hAnsi="Times New Roman"/>
                      <w:color w:val="auto"/>
                      <w:kern w:val="0"/>
                      <w:szCs w:val="21"/>
                    </w:rPr>
                  </w:pPr>
                </w:p>
              </w:tc>
              <w:tc>
                <w:tcPr>
                  <w:tcW w:w="552" w:type="pct"/>
                  <w:vMerge w:val="continue"/>
                  <w:shd w:val="clear" w:color="auto" w:fill="auto"/>
                  <w:vAlign w:val="center"/>
                </w:tcPr>
                <w:p>
                  <w:pPr>
                    <w:jc w:val="center"/>
                    <w:rPr>
                      <w:rFonts w:ascii="Times New Roman" w:hAnsi="Times New Roman"/>
                      <w:color w:val="auto"/>
                      <w:kern w:val="0"/>
                      <w:szCs w:val="21"/>
                    </w:rPr>
                  </w:pPr>
                </w:p>
              </w:tc>
              <w:tc>
                <w:tcPr>
                  <w:tcW w:w="917" w:type="pct"/>
                  <w:vMerge w:val="continue"/>
                  <w:shd w:val="clear" w:color="auto" w:fill="auto"/>
                  <w:vAlign w:val="center"/>
                </w:tcPr>
                <w:p>
                  <w:pPr>
                    <w:jc w:val="center"/>
                    <w:rPr>
                      <w:rFonts w:ascii="Times New Roman" w:hAnsi="Times New Roman"/>
                      <w:color w:val="auto"/>
                      <w:kern w:val="0"/>
                      <w:szCs w:val="21"/>
                    </w:rPr>
                  </w:pPr>
                </w:p>
              </w:tc>
              <w:tc>
                <w:tcPr>
                  <w:tcW w:w="859" w:type="pct"/>
                  <w:vMerge w:val="continue"/>
                  <w:shd w:val="clear" w:color="auto" w:fill="auto"/>
                  <w:vAlign w:val="center"/>
                </w:tcPr>
                <w:p>
                  <w:pPr>
                    <w:jc w:val="center"/>
                    <w:rPr>
                      <w:rFonts w:ascii="Times New Roman" w:hAnsi="Times New Roman"/>
                      <w:color w:val="auto"/>
                      <w:kern w:val="0"/>
                      <w:szCs w:val="21"/>
                    </w:rPr>
                  </w:pPr>
                </w:p>
              </w:tc>
              <w:tc>
                <w:tcPr>
                  <w:tcW w:w="794"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西厂界</w:t>
                  </w:r>
                </w:p>
              </w:tc>
              <w:tc>
                <w:tcPr>
                  <w:tcW w:w="1359"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19" w:type="pct"/>
                  <w:vMerge w:val="continue"/>
                  <w:shd w:val="clear" w:color="auto" w:fill="auto"/>
                  <w:vAlign w:val="center"/>
                </w:tcPr>
                <w:p>
                  <w:pPr>
                    <w:jc w:val="center"/>
                    <w:rPr>
                      <w:rFonts w:ascii="Times New Roman" w:hAnsi="Times New Roman"/>
                      <w:color w:val="auto"/>
                      <w:kern w:val="0"/>
                      <w:szCs w:val="21"/>
                    </w:rPr>
                  </w:pPr>
                </w:p>
              </w:tc>
              <w:tc>
                <w:tcPr>
                  <w:tcW w:w="552" w:type="pct"/>
                  <w:vMerge w:val="continue"/>
                  <w:shd w:val="clear" w:color="auto" w:fill="auto"/>
                  <w:vAlign w:val="center"/>
                </w:tcPr>
                <w:p>
                  <w:pPr>
                    <w:jc w:val="center"/>
                    <w:rPr>
                      <w:rFonts w:ascii="Times New Roman" w:hAnsi="Times New Roman"/>
                      <w:color w:val="auto"/>
                      <w:kern w:val="0"/>
                      <w:szCs w:val="21"/>
                    </w:rPr>
                  </w:pPr>
                </w:p>
              </w:tc>
              <w:tc>
                <w:tcPr>
                  <w:tcW w:w="917" w:type="pct"/>
                  <w:vMerge w:val="continue"/>
                  <w:shd w:val="clear" w:color="auto" w:fill="auto"/>
                  <w:vAlign w:val="center"/>
                </w:tcPr>
                <w:p>
                  <w:pPr>
                    <w:jc w:val="center"/>
                    <w:rPr>
                      <w:rFonts w:ascii="Times New Roman" w:hAnsi="Times New Roman"/>
                      <w:color w:val="auto"/>
                      <w:kern w:val="0"/>
                      <w:szCs w:val="21"/>
                    </w:rPr>
                  </w:pPr>
                </w:p>
              </w:tc>
              <w:tc>
                <w:tcPr>
                  <w:tcW w:w="859" w:type="pct"/>
                  <w:vMerge w:val="continue"/>
                  <w:shd w:val="clear" w:color="auto" w:fill="auto"/>
                  <w:vAlign w:val="center"/>
                </w:tcPr>
                <w:p>
                  <w:pPr>
                    <w:jc w:val="center"/>
                    <w:rPr>
                      <w:rFonts w:ascii="Times New Roman" w:hAnsi="Times New Roman"/>
                      <w:color w:val="auto"/>
                      <w:kern w:val="0"/>
                      <w:szCs w:val="21"/>
                    </w:rPr>
                  </w:pPr>
                </w:p>
              </w:tc>
              <w:tc>
                <w:tcPr>
                  <w:tcW w:w="794"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北厂界</w:t>
                  </w:r>
                </w:p>
              </w:tc>
              <w:tc>
                <w:tcPr>
                  <w:tcW w:w="1359" w:type="pct"/>
                  <w:shd w:val="clear" w:color="auto" w:fill="auto"/>
                  <w:vAlign w:val="center"/>
                </w:tcPr>
                <w:p>
                  <w:pPr>
                    <w:jc w:val="center"/>
                    <w:rPr>
                      <w:rFonts w:ascii="Times New Roman" w:hAnsi="Times New Roman"/>
                      <w:color w:val="auto"/>
                      <w:kern w:val="0"/>
                      <w:szCs w:val="21"/>
                    </w:rPr>
                  </w:pPr>
                  <w:r>
                    <w:rPr>
                      <w:rFonts w:ascii="Times New Roman" w:hAnsi="Times New Roman"/>
                      <w:color w:val="auto"/>
                      <w:kern w:val="0"/>
                      <w:szCs w:val="21"/>
                    </w:rPr>
                    <w:t>20</w:t>
                  </w:r>
                </w:p>
              </w:tc>
            </w:tr>
          </w:tbl>
          <w:p>
            <w:pPr>
              <w:pStyle w:val="48"/>
              <w:spacing w:line="360" w:lineRule="auto"/>
              <w:ind w:firstLine="480"/>
              <w:jc w:val="both"/>
              <w:rPr>
                <w:rFonts w:ascii="Times New Roman" w:hAnsi="Times New Roman"/>
                <w:color w:val="auto"/>
              </w:rPr>
            </w:pPr>
            <w:r>
              <w:rPr>
                <w:rFonts w:ascii="Times New Roman" w:hAnsi="Times New Roman"/>
                <w:color w:val="auto"/>
              </w:rPr>
              <w:t>（3）预测结果</w:t>
            </w:r>
          </w:p>
          <w:p>
            <w:pPr>
              <w:spacing w:line="360" w:lineRule="auto"/>
              <w:ind w:firstLine="480"/>
              <w:rPr>
                <w:color w:val="auto"/>
                <w:sz w:val="24"/>
              </w:rPr>
            </w:pPr>
            <w:r>
              <w:rPr>
                <w:rFonts w:hint="eastAsia"/>
                <w:color w:val="auto"/>
                <w:sz w:val="24"/>
              </w:rPr>
              <w:t>根据井场总平面布置中所确定的各个高噪声源及其与各个场界的相对位置，利用上述预测模式和确定的各噪声源的声级值，对各场界和声环境敏感点的噪声级进行预测计算。</w:t>
            </w:r>
          </w:p>
          <w:p>
            <w:pPr>
              <w:spacing w:line="360" w:lineRule="auto"/>
              <w:ind w:firstLine="480"/>
              <w:rPr>
                <w:color w:val="auto"/>
                <w:sz w:val="24"/>
              </w:rPr>
            </w:pPr>
            <w:r>
              <w:rPr>
                <w:rFonts w:ascii="Times New Roman" w:hAnsi="Times New Roman"/>
                <w:color w:val="auto"/>
                <w:sz w:val="24"/>
              </w:rPr>
              <w:t>本项目运营期采油井以最大噪声源单口采油井</w:t>
            </w:r>
            <w:r>
              <w:rPr>
                <w:rFonts w:hint="eastAsia" w:ascii="Times New Roman" w:hAnsi="Times New Roman"/>
                <w:color w:val="auto"/>
                <w:sz w:val="24"/>
              </w:rPr>
              <w:t>和周围噪声敏感点</w:t>
            </w:r>
            <w:r>
              <w:rPr>
                <w:rFonts w:ascii="Times New Roman" w:hAnsi="Times New Roman"/>
                <w:color w:val="auto"/>
                <w:sz w:val="24"/>
              </w:rPr>
              <w:t>进行预测，预测单井井场厂界噪声</w:t>
            </w:r>
            <w:r>
              <w:rPr>
                <w:rFonts w:hint="eastAsia" w:ascii="Times New Roman" w:hAnsi="Times New Roman"/>
                <w:color w:val="auto"/>
                <w:sz w:val="24"/>
              </w:rPr>
              <w:t>和噪声敏感点处</w:t>
            </w:r>
            <w:r>
              <w:rPr>
                <w:rFonts w:ascii="Times New Roman" w:hAnsi="Times New Roman"/>
                <w:color w:val="auto"/>
                <w:sz w:val="24"/>
              </w:rPr>
              <w:t>预测</w:t>
            </w:r>
            <w:r>
              <w:rPr>
                <w:rFonts w:hint="eastAsia" w:ascii="Times New Roman" w:hAnsi="Times New Roman"/>
                <w:color w:val="auto"/>
                <w:sz w:val="24"/>
              </w:rPr>
              <w:t>结果表</w:t>
            </w:r>
            <w:r>
              <w:rPr>
                <w:rFonts w:ascii="Times New Roman" w:hAnsi="Times New Roman"/>
                <w:color w:val="auto"/>
                <w:sz w:val="24"/>
              </w:rPr>
              <w:t>见表 4-</w:t>
            </w:r>
            <w:bookmarkStart w:id="25" w:name="_Hlk35619817"/>
            <w:r>
              <w:rPr>
                <w:rFonts w:hint="eastAsia" w:ascii="Times New Roman" w:hAnsi="Times New Roman"/>
                <w:color w:val="auto"/>
                <w:sz w:val="24"/>
              </w:rPr>
              <w:t>9。</w:t>
            </w:r>
          </w:p>
          <w:bookmarkEnd w:id="25"/>
          <w:p>
            <w:pPr>
              <w:pStyle w:val="48"/>
              <w:spacing w:line="240" w:lineRule="auto"/>
              <w:ind w:firstLine="422"/>
              <w:jc w:val="center"/>
              <w:rPr>
                <w:rFonts w:ascii="Times New Roman" w:hAnsi="Times New Roman"/>
                <w:color w:val="auto"/>
              </w:rPr>
            </w:pPr>
            <w:r>
              <w:rPr>
                <w:rFonts w:ascii="Times New Roman" w:hAnsi="Times New Roman"/>
                <w:b/>
                <w:bCs/>
                <w:color w:val="auto"/>
                <w:sz w:val="21"/>
                <w:szCs w:val="21"/>
              </w:rPr>
              <w:t>表 4-</w:t>
            </w:r>
            <w:r>
              <w:rPr>
                <w:rFonts w:hint="eastAsia" w:ascii="Times New Roman" w:hAnsi="Times New Roman"/>
                <w:b/>
                <w:bCs/>
                <w:color w:val="auto"/>
                <w:sz w:val="21"/>
                <w:szCs w:val="21"/>
              </w:rPr>
              <w:t>9</w:t>
            </w:r>
            <w:r>
              <w:rPr>
                <w:rFonts w:ascii="Times New Roman" w:hAnsi="Times New Roman"/>
                <w:b/>
                <w:bCs/>
                <w:color w:val="auto"/>
                <w:sz w:val="21"/>
                <w:szCs w:val="21"/>
              </w:rPr>
              <w:t xml:space="preserve"> </w:t>
            </w:r>
            <w:r>
              <w:rPr>
                <w:rFonts w:hint="eastAsia" w:ascii="Times New Roman" w:hAnsi="Times New Roman"/>
                <w:b/>
                <w:bCs/>
                <w:color w:val="auto"/>
                <w:sz w:val="21"/>
                <w:szCs w:val="21"/>
              </w:rPr>
              <w:t xml:space="preserve">   厂界噪声和噪声敏感点</w:t>
            </w:r>
            <w:r>
              <w:rPr>
                <w:rFonts w:ascii="Times New Roman" w:hAnsi="Times New Roman"/>
                <w:b/>
                <w:bCs/>
                <w:color w:val="auto"/>
                <w:sz w:val="21"/>
                <w:szCs w:val="21"/>
              </w:rPr>
              <w:t>预测结果</w:t>
            </w:r>
            <w:r>
              <w:rPr>
                <w:rFonts w:hint="eastAsia" w:ascii="Times New Roman" w:hAnsi="Times New Roman"/>
                <w:b/>
                <w:bCs/>
                <w:color w:val="auto"/>
                <w:sz w:val="21"/>
                <w:szCs w:val="21"/>
              </w:rPr>
              <w:t xml:space="preserve">   </w:t>
            </w:r>
            <w:r>
              <w:rPr>
                <w:rFonts w:ascii="Times New Roman" w:hAnsi="Times New Roman"/>
                <w:b/>
                <w:bCs/>
                <w:color w:val="auto"/>
                <w:sz w:val="21"/>
                <w:szCs w:val="21"/>
              </w:rPr>
              <w:t>单位：dB（A）</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726"/>
              <w:gridCol w:w="903"/>
              <w:gridCol w:w="821"/>
              <w:gridCol w:w="757"/>
              <w:gridCol w:w="971"/>
              <w:gridCol w:w="703"/>
              <w:gridCol w:w="798"/>
              <w:gridCol w:w="863"/>
              <w:gridCol w:w="163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996" w:type="pct"/>
                  <w:gridSpan w:val="2"/>
                  <w:vMerge w:val="restart"/>
                  <w:vAlign w:val="center"/>
                </w:tcPr>
                <w:p>
                  <w:pPr>
                    <w:jc w:val="center"/>
                    <w:rPr>
                      <w:color w:val="auto"/>
                      <w:szCs w:val="21"/>
                    </w:rPr>
                  </w:pPr>
                  <w:r>
                    <w:rPr>
                      <w:rFonts w:hint="eastAsia"/>
                      <w:color w:val="auto"/>
                      <w:szCs w:val="21"/>
                    </w:rPr>
                    <w:t>预测点</w:t>
                  </w:r>
                </w:p>
              </w:tc>
              <w:tc>
                <w:tcPr>
                  <w:tcW w:w="1559" w:type="pct"/>
                  <w:gridSpan w:val="3"/>
                  <w:vAlign w:val="center"/>
                </w:tcPr>
                <w:p>
                  <w:pPr>
                    <w:jc w:val="center"/>
                    <w:rPr>
                      <w:color w:val="auto"/>
                      <w:szCs w:val="21"/>
                    </w:rPr>
                  </w:pPr>
                  <w:r>
                    <w:rPr>
                      <w:rFonts w:hint="eastAsia"/>
                      <w:color w:val="auto"/>
                      <w:szCs w:val="21"/>
                    </w:rPr>
                    <w:t>昼间（</w:t>
                  </w:r>
                  <w:r>
                    <w:rPr>
                      <w:color w:val="auto"/>
                      <w:szCs w:val="21"/>
                    </w:rPr>
                    <w:t>dB(A)</w:t>
                  </w:r>
                  <w:r>
                    <w:rPr>
                      <w:rFonts w:hint="eastAsia"/>
                      <w:color w:val="auto"/>
                      <w:szCs w:val="21"/>
                    </w:rPr>
                    <w:t>）</w:t>
                  </w:r>
                </w:p>
              </w:tc>
              <w:tc>
                <w:tcPr>
                  <w:tcW w:w="1446" w:type="pct"/>
                  <w:gridSpan w:val="3"/>
                  <w:vAlign w:val="center"/>
                </w:tcPr>
                <w:p>
                  <w:pPr>
                    <w:jc w:val="center"/>
                    <w:rPr>
                      <w:color w:val="auto"/>
                      <w:szCs w:val="21"/>
                    </w:rPr>
                  </w:pPr>
                  <w:r>
                    <w:rPr>
                      <w:rFonts w:hint="eastAsia"/>
                      <w:color w:val="auto"/>
                      <w:szCs w:val="21"/>
                    </w:rPr>
                    <w:t>夜间（</w:t>
                  </w:r>
                  <w:r>
                    <w:rPr>
                      <w:color w:val="auto"/>
                      <w:szCs w:val="21"/>
                    </w:rPr>
                    <w:t>dB(A)</w:t>
                  </w:r>
                  <w:r>
                    <w:rPr>
                      <w:rFonts w:hint="eastAsia"/>
                      <w:color w:val="auto"/>
                      <w:szCs w:val="21"/>
                    </w:rPr>
                    <w:t>）</w:t>
                  </w:r>
                </w:p>
              </w:tc>
              <w:tc>
                <w:tcPr>
                  <w:tcW w:w="997" w:type="pct"/>
                  <w:vAlign w:val="center"/>
                </w:tcPr>
                <w:p>
                  <w:pPr>
                    <w:jc w:val="center"/>
                    <w:rPr>
                      <w:color w:val="auto"/>
                      <w:szCs w:val="21"/>
                    </w:rPr>
                  </w:pPr>
                  <w:r>
                    <w:rPr>
                      <w:rFonts w:hint="eastAsia"/>
                      <w:color w:val="auto"/>
                      <w:szCs w:val="21"/>
                    </w:rPr>
                    <w:t>评价标准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996" w:type="pct"/>
                  <w:gridSpan w:val="2"/>
                  <w:vMerge w:val="continue"/>
                  <w:vAlign w:val="center"/>
                </w:tcPr>
                <w:p>
                  <w:pPr>
                    <w:jc w:val="center"/>
                    <w:rPr>
                      <w:color w:val="auto"/>
                      <w:szCs w:val="21"/>
                    </w:rPr>
                  </w:pPr>
                </w:p>
              </w:tc>
              <w:tc>
                <w:tcPr>
                  <w:tcW w:w="1559" w:type="pct"/>
                  <w:gridSpan w:val="3"/>
                  <w:vAlign w:val="center"/>
                </w:tcPr>
                <w:p>
                  <w:pPr>
                    <w:jc w:val="center"/>
                    <w:rPr>
                      <w:color w:val="auto"/>
                      <w:szCs w:val="21"/>
                    </w:rPr>
                  </w:pPr>
                  <w:r>
                    <w:rPr>
                      <w:rFonts w:hint="eastAsia"/>
                      <w:color w:val="auto"/>
                      <w:szCs w:val="21"/>
                    </w:rPr>
                    <w:t>贡献值</w:t>
                  </w:r>
                </w:p>
              </w:tc>
              <w:tc>
                <w:tcPr>
                  <w:tcW w:w="1446" w:type="pct"/>
                  <w:gridSpan w:val="3"/>
                  <w:vAlign w:val="center"/>
                </w:tcPr>
                <w:p>
                  <w:pPr>
                    <w:jc w:val="center"/>
                    <w:rPr>
                      <w:color w:val="auto"/>
                      <w:szCs w:val="21"/>
                    </w:rPr>
                  </w:pPr>
                  <w:r>
                    <w:rPr>
                      <w:rFonts w:hint="eastAsia"/>
                      <w:color w:val="auto"/>
                      <w:szCs w:val="21"/>
                    </w:rPr>
                    <w:t>贡献值</w:t>
                  </w:r>
                </w:p>
              </w:tc>
              <w:tc>
                <w:tcPr>
                  <w:tcW w:w="997" w:type="pct"/>
                  <w:vMerge w:val="restart"/>
                  <w:vAlign w:val="center"/>
                </w:tcPr>
                <w:p>
                  <w:pPr>
                    <w:jc w:val="center"/>
                    <w:rPr>
                      <w:color w:val="auto"/>
                      <w:szCs w:val="21"/>
                    </w:rPr>
                  </w:pPr>
                  <w:r>
                    <w:rPr>
                      <w:rFonts w:ascii="Times New Roman" w:hAnsi="Times New Roman"/>
                      <w:color w:val="auto"/>
                      <w:kern w:val="0"/>
                      <w:szCs w:val="21"/>
                    </w:rPr>
                    <w:t>昼间60，夜间50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44" w:type="pct"/>
                  <w:vMerge w:val="restart"/>
                  <w:vAlign w:val="center"/>
                </w:tcPr>
                <w:p>
                  <w:pPr>
                    <w:jc w:val="center"/>
                    <w:rPr>
                      <w:color w:val="auto"/>
                      <w:szCs w:val="21"/>
                    </w:rPr>
                  </w:pPr>
                  <w:r>
                    <w:rPr>
                      <w:rFonts w:ascii="Times New Roman" w:hAnsi="Times New Roman"/>
                      <w:color w:val="auto"/>
                      <w:kern w:val="0"/>
                      <w:szCs w:val="21"/>
                    </w:rPr>
                    <w:t>单井采油井井场</w:t>
                  </w:r>
                </w:p>
              </w:tc>
              <w:tc>
                <w:tcPr>
                  <w:tcW w:w="552" w:type="pct"/>
                  <w:vAlign w:val="center"/>
                </w:tcPr>
                <w:p>
                  <w:pPr>
                    <w:jc w:val="center"/>
                    <w:rPr>
                      <w:rFonts w:ascii="Times New Roman" w:hAnsi="Times New Roman"/>
                      <w:color w:val="auto"/>
                      <w:kern w:val="0"/>
                      <w:szCs w:val="21"/>
                    </w:rPr>
                  </w:pPr>
                  <w:r>
                    <w:rPr>
                      <w:rFonts w:ascii="Times New Roman" w:hAnsi="Times New Roman"/>
                      <w:color w:val="auto"/>
                      <w:kern w:val="0"/>
                      <w:szCs w:val="21"/>
                    </w:rPr>
                    <w:t>东厂界</w:t>
                  </w:r>
                </w:p>
              </w:tc>
              <w:tc>
                <w:tcPr>
                  <w:tcW w:w="1559" w:type="pct"/>
                  <w:gridSpan w:val="3"/>
                  <w:vAlign w:val="center"/>
                </w:tcPr>
                <w:p>
                  <w:pPr>
                    <w:jc w:val="center"/>
                    <w:rPr>
                      <w:rFonts w:ascii="Times New Roman" w:hAnsi="Times New Roman"/>
                      <w:color w:val="auto"/>
                      <w:kern w:val="0"/>
                      <w:szCs w:val="21"/>
                    </w:rPr>
                  </w:pPr>
                  <w:r>
                    <w:rPr>
                      <w:rFonts w:ascii="Times New Roman" w:hAnsi="Times New Roman"/>
                      <w:color w:val="auto"/>
                      <w:kern w:val="0"/>
                      <w:szCs w:val="21"/>
                    </w:rPr>
                    <w:t>40.3</w:t>
                  </w:r>
                </w:p>
              </w:tc>
              <w:tc>
                <w:tcPr>
                  <w:tcW w:w="1446" w:type="pct"/>
                  <w:gridSpan w:val="3"/>
                  <w:vAlign w:val="center"/>
                </w:tcPr>
                <w:p>
                  <w:pPr>
                    <w:jc w:val="center"/>
                    <w:rPr>
                      <w:rFonts w:ascii="Times New Roman" w:hAnsi="Times New Roman"/>
                      <w:color w:val="auto"/>
                      <w:kern w:val="0"/>
                      <w:szCs w:val="21"/>
                    </w:rPr>
                  </w:pPr>
                  <w:r>
                    <w:rPr>
                      <w:rFonts w:ascii="Times New Roman" w:hAnsi="Times New Roman"/>
                      <w:color w:val="auto"/>
                      <w:kern w:val="0"/>
                      <w:szCs w:val="21"/>
                    </w:rPr>
                    <w:t>40.3</w:t>
                  </w:r>
                </w:p>
              </w:tc>
              <w:tc>
                <w:tcPr>
                  <w:tcW w:w="997" w:type="pct"/>
                  <w:vMerge w:val="continue"/>
                  <w:vAlign w:val="center"/>
                </w:tcPr>
                <w:p>
                  <w:pPr>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44" w:type="pct"/>
                  <w:vMerge w:val="continue"/>
                  <w:vAlign w:val="center"/>
                </w:tcPr>
                <w:p>
                  <w:pPr>
                    <w:jc w:val="center"/>
                    <w:rPr>
                      <w:color w:val="auto"/>
                      <w:szCs w:val="21"/>
                    </w:rPr>
                  </w:pPr>
                </w:p>
              </w:tc>
              <w:tc>
                <w:tcPr>
                  <w:tcW w:w="552" w:type="pct"/>
                  <w:vAlign w:val="center"/>
                </w:tcPr>
                <w:p>
                  <w:pPr>
                    <w:jc w:val="center"/>
                    <w:rPr>
                      <w:rFonts w:ascii="Times New Roman" w:hAnsi="Times New Roman"/>
                      <w:color w:val="auto"/>
                      <w:kern w:val="0"/>
                      <w:szCs w:val="21"/>
                    </w:rPr>
                  </w:pPr>
                  <w:r>
                    <w:rPr>
                      <w:rFonts w:ascii="Times New Roman" w:hAnsi="Times New Roman"/>
                      <w:color w:val="auto"/>
                      <w:kern w:val="0"/>
                      <w:szCs w:val="21"/>
                    </w:rPr>
                    <w:t>南厂界</w:t>
                  </w:r>
                </w:p>
              </w:tc>
              <w:tc>
                <w:tcPr>
                  <w:tcW w:w="1559" w:type="pct"/>
                  <w:gridSpan w:val="3"/>
                  <w:vAlign w:val="center"/>
                </w:tcPr>
                <w:p>
                  <w:pPr>
                    <w:jc w:val="center"/>
                    <w:rPr>
                      <w:rFonts w:ascii="Times New Roman" w:hAnsi="Times New Roman"/>
                      <w:color w:val="auto"/>
                      <w:kern w:val="0"/>
                      <w:szCs w:val="21"/>
                    </w:rPr>
                  </w:pPr>
                  <w:r>
                    <w:rPr>
                      <w:rFonts w:ascii="Times New Roman" w:hAnsi="Times New Roman"/>
                      <w:color w:val="auto"/>
                      <w:kern w:val="0"/>
                      <w:szCs w:val="21"/>
                    </w:rPr>
                    <w:t>37.0</w:t>
                  </w:r>
                </w:p>
              </w:tc>
              <w:tc>
                <w:tcPr>
                  <w:tcW w:w="1446" w:type="pct"/>
                  <w:gridSpan w:val="3"/>
                  <w:vAlign w:val="center"/>
                </w:tcPr>
                <w:p>
                  <w:pPr>
                    <w:jc w:val="center"/>
                    <w:rPr>
                      <w:rFonts w:ascii="Times New Roman" w:hAnsi="Times New Roman"/>
                      <w:color w:val="auto"/>
                      <w:kern w:val="0"/>
                      <w:szCs w:val="21"/>
                    </w:rPr>
                  </w:pPr>
                  <w:r>
                    <w:rPr>
                      <w:rFonts w:ascii="Times New Roman" w:hAnsi="Times New Roman"/>
                      <w:color w:val="auto"/>
                      <w:kern w:val="0"/>
                      <w:szCs w:val="21"/>
                    </w:rPr>
                    <w:t>37.0</w:t>
                  </w:r>
                </w:p>
              </w:tc>
              <w:tc>
                <w:tcPr>
                  <w:tcW w:w="997" w:type="pct"/>
                  <w:vMerge w:val="continue"/>
                  <w:vAlign w:val="center"/>
                </w:tcPr>
                <w:p>
                  <w:pPr>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44" w:type="pct"/>
                  <w:vMerge w:val="continue"/>
                  <w:vAlign w:val="center"/>
                </w:tcPr>
                <w:p>
                  <w:pPr>
                    <w:jc w:val="center"/>
                    <w:rPr>
                      <w:color w:val="auto"/>
                      <w:szCs w:val="21"/>
                    </w:rPr>
                  </w:pPr>
                </w:p>
              </w:tc>
              <w:tc>
                <w:tcPr>
                  <w:tcW w:w="552" w:type="pct"/>
                  <w:vAlign w:val="center"/>
                </w:tcPr>
                <w:p>
                  <w:pPr>
                    <w:jc w:val="center"/>
                    <w:rPr>
                      <w:rFonts w:ascii="Times New Roman" w:hAnsi="Times New Roman"/>
                      <w:color w:val="auto"/>
                      <w:kern w:val="0"/>
                      <w:szCs w:val="21"/>
                    </w:rPr>
                  </w:pPr>
                  <w:r>
                    <w:rPr>
                      <w:rFonts w:ascii="Times New Roman" w:hAnsi="Times New Roman"/>
                      <w:color w:val="auto"/>
                      <w:kern w:val="0"/>
                      <w:szCs w:val="21"/>
                    </w:rPr>
                    <w:t>西厂界</w:t>
                  </w:r>
                </w:p>
              </w:tc>
              <w:tc>
                <w:tcPr>
                  <w:tcW w:w="1559" w:type="pct"/>
                  <w:gridSpan w:val="3"/>
                  <w:vAlign w:val="center"/>
                </w:tcPr>
                <w:p>
                  <w:pPr>
                    <w:jc w:val="center"/>
                    <w:rPr>
                      <w:rFonts w:ascii="Times New Roman" w:hAnsi="Times New Roman"/>
                      <w:color w:val="auto"/>
                      <w:kern w:val="0"/>
                      <w:szCs w:val="21"/>
                    </w:rPr>
                  </w:pPr>
                  <w:r>
                    <w:rPr>
                      <w:rFonts w:ascii="Times New Roman" w:hAnsi="Times New Roman"/>
                      <w:color w:val="auto"/>
                      <w:kern w:val="0"/>
                      <w:szCs w:val="21"/>
                    </w:rPr>
                    <w:t>42.7</w:t>
                  </w:r>
                </w:p>
              </w:tc>
              <w:tc>
                <w:tcPr>
                  <w:tcW w:w="1446" w:type="pct"/>
                  <w:gridSpan w:val="3"/>
                  <w:vAlign w:val="center"/>
                </w:tcPr>
                <w:p>
                  <w:pPr>
                    <w:jc w:val="center"/>
                    <w:rPr>
                      <w:rFonts w:ascii="Times New Roman" w:hAnsi="Times New Roman"/>
                      <w:color w:val="auto"/>
                      <w:kern w:val="0"/>
                      <w:szCs w:val="21"/>
                    </w:rPr>
                  </w:pPr>
                  <w:r>
                    <w:rPr>
                      <w:rFonts w:ascii="Times New Roman" w:hAnsi="Times New Roman"/>
                      <w:color w:val="auto"/>
                      <w:kern w:val="0"/>
                      <w:szCs w:val="21"/>
                    </w:rPr>
                    <w:t>42.7</w:t>
                  </w:r>
                </w:p>
              </w:tc>
              <w:tc>
                <w:tcPr>
                  <w:tcW w:w="997" w:type="pct"/>
                  <w:vMerge w:val="continue"/>
                  <w:vAlign w:val="center"/>
                </w:tcPr>
                <w:p>
                  <w:pPr>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44" w:type="pct"/>
                  <w:vMerge w:val="continue"/>
                  <w:vAlign w:val="center"/>
                </w:tcPr>
                <w:p>
                  <w:pPr>
                    <w:jc w:val="center"/>
                    <w:rPr>
                      <w:color w:val="auto"/>
                      <w:szCs w:val="21"/>
                    </w:rPr>
                  </w:pPr>
                </w:p>
              </w:tc>
              <w:tc>
                <w:tcPr>
                  <w:tcW w:w="552" w:type="pct"/>
                  <w:vAlign w:val="center"/>
                </w:tcPr>
                <w:p>
                  <w:pPr>
                    <w:jc w:val="center"/>
                    <w:rPr>
                      <w:rFonts w:ascii="Times New Roman" w:hAnsi="Times New Roman"/>
                      <w:color w:val="auto"/>
                      <w:kern w:val="0"/>
                      <w:szCs w:val="21"/>
                    </w:rPr>
                  </w:pPr>
                  <w:r>
                    <w:rPr>
                      <w:rFonts w:ascii="Times New Roman" w:hAnsi="Times New Roman"/>
                      <w:color w:val="auto"/>
                      <w:kern w:val="0"/>
                      <w:szCs w:val="21"/>
                    </w:rPr>
                    <w:t>北厂界</w:t>
                  </w:r>
                </w:p>
              </w:tc>
              <w:tc>
                <w:tcPr>
                  <w:tcW w:w="1559" w:type="pct"/>
                  <w:gridSpan w:val="3"/>
                  <w:vAlign w:val="center"/>
                </w:tcPr>
                <w:p>
                  <w:pPr>
                    <w:jc w:val="center"/>
                    <w:rPr>
                      <w:rFonts w:ascii="Times New Roman" w:hAnsi="Times New Roman"/>
                      <w:color w:val="auto"/>
                      <w:kern w:val="0"/>
                      <w:szCs w:val="21"/>
                    </w:rPr>
                  </w:pPr>
                  <w:r>
                    <w:rPr>
                      <w:rFonts w:ascii="Times New Roman" w:hAnsi="Times New Roman"/>
                      <w:color w:val="auto"/>
                      <w:kern w:val="0"/>
                      <w:szCs w:val="21"/>
                    </w:rPr>
                    <w:t>39.0</w:t>
                  </w:r>
                </w:p>
              </w:tc>
              <w:tc>
                <w:tcPr>
                  <w:tcW w:w="1446" w:type="pct"/>
                  <w:gridSpan w:val="3"/>
                  <w:vAlign w:val="center"/>
                </w:tcPr>
                <w:p>
                  <w:pPr>
                    <w:jc w:val="center"/>
                    <w:rPr>
                      <w:rFonts w:ascii="Times New Roman" w:hAnsi="Times New Roman"/>
                      <w:color w:val="auto"/>
                      <w:kern w:val="0"/>
                      <w:szCs w:val="21"/>
                    </w:rPr>
                  </w:pPr>
                  <w:r>
                    <w:rPr>
                      <w:rFonts w:ascii="Times New Roman" w:hAnsi="Times New Roman"/>
                      <w:color w:val="auto"/>
                      <w:kern w:val="0"/>
                      <w:szCs w:val="21"/>
                    </w:rPr>
                    <w:t>39.0</w:t>
                  </w:r>
                </w:p>
              </w:tc>
              <w:tc>
                <w:tcPr>
                  <w:tcW w:w="997" w:type="pct"/>
                  <w:vMerge w:val="continue"/>
                  <w:vAlign w:val="center"/>
                </w:tcPr>
                <w:p>
                  <w:pPr>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996" w:type="pct"/>
                  <w:gridSpan w:val="2"/>
                  <w:vAlign w:val="center"/>
                </w:tcPr>
                <w:p>
                  <w:pPr>
                    <w:jc w:val="center"/>
                    <w:rPr>
                      <w:color w:val="auto"/>
                      <w:szCs w:val="21"/>
                    </w:rPr>
                  </w:pPr>
                  <w:r>
                    <w:rPr>
                      <w:rFonts w:hint="eastAsia"/>
                      <w:color w:val="auto"/>
                      <w:szCs w:val="21"/>
                    </w:rPr>
                    <w:t>预测点</w:t>
                  </w:r>
                </w:p>
              </w:tc>
              <w:tc>
                <w:tcPr>
                  <w:tcW w:w="502" w:type="pct"/>
                  <w:vAlign w:val="center"/>
                </w:tcPr>
                <w:p>
                  <w:pPr>
                    <w:jc w:val="center"/>
                    <w:rPr>
                      <w:color w:val="auto"/>
                      <w:szCs w:val="21"/>
                    </w:rPr>
                  </w:pPr>
                  <w:r>
                    <w:rPr>
                      <w:rFonts w:hint="eastAsia"/>
                      <w:color w:val="auto"/>
                      <w:szCs w:val="21"/>
                    </w:rPr>
                    <w:t>背景值</w:t>
                  </w:r>
                </w:p>
              </w:tc>
              <w:tc>
                <w:tcPr>
                  <w:tcW w:w="463" w:type="pct"/>
                  <w:vAlign w:val="center"/>
                </w:tcPr>
                <w:p>
                  <w:pPr>
                    <w:jc w:val="center"/>
                    <w:rPr>
                      <w:color w:val="auto"/>
                      <w:szCs w:val="21"/>
                    </w:rPr>
                  </w:pPr>
                  <w:r>
                    <w:rPr>
                      <w:rFonts w:hint="eastAsia"/>
                      <w:color w:val="auto"/>
                      <w:szCs w:val="21"/>
                    </w:rPr>
                    <w:t>贡献值</w:t>
                  </w:r>
                </w:p>
              </w:tc>
              <w:tc>
                <w:tcPr>
                  <w:tcW w:w="592" w:type="pct"/>
                  <w:vAlign w:val="center"/>
                </w:tcPr>
                <w:p>
                  <w:pPr>
                    <w:jc w:val="center"/>
                    <w:rPr>
                      <w:color w:val="auto"/>
                      <w:szCs w:val="21"/>
                    </w:rPr>
                  </w:pPr>
                  <w:r>
                    <w:rPr>
                      <w:rFonts w:hint="eastAsia"/>
                      <w:color w:val="auto"/>
                      <w:szCs w:val="21"/>
                    </w:rPr>
                    <w:t>预测值</w:t>
                  </w:r>
                </w:p>
              </w:tc>
              <w:tc>
                <w:tcPr>
                  <w:tcW w:w="430" w:type="pct"/>
                  <w:vAlign w:val="center"/>
                </w:tcPr>
                <w:p>
                  <w:pPr>
                    <w:jc w:val="center"/>
                    <w:rPr>
                      <w:color w:val="auto"/>
                      <w:szCs w:val="21"/>
                    </w:rPr>
                  </w:pPr>
                  <w:r>
                    <w:rPr>
                      <w:rFonts w:hint="eastAsia"/>
                      <w:color w:val="auto"/>
                      <w:spacing w:val="-20"/>
                      <w:szCs w:val="21"/>
                    </w:rPr>
                    <w:t>背景值</w:t>
                  </w:r>
                </w:p>
              </w:tc>
              <w:tc>
                <w:tcPr>
                  <w:tcW w:w="488" w:type="pct"/>
                  <w:vAlign w:val="center"/>
                </w:tcPr>
                <w:p>
                  <w:pPr>
                    <w:jc w:val="center"/>
                    <w:rPr>
                      <w:color w:val="auto"/>
                      <w:szCs w:val="21"/>
                    </w:rPr>
                  </w:pPr>
                  <w:r>
                    <w:rPr>
                      <w:rFonts w:hint="eastAsia"/>
                      <w:color w:val="auto"/>
                      <w:szCs w:val="21"/>
                    </w:rPr>
                    <w:t>贡献值</w:t>
                  </w:r>
                </w:p>
              </w:tc>
              <w:tc>
                <w:tcPr>
                  <w:tcW w:w="526" w:type="pct"/>
                  <w:vAlign w:val="center"/>
                </w:tcPr>
                <w:p>
                  <w:pPr>
                    <w:jc w:val="center"/>
                    <w:rPr>
                      <w:color w:val="auto"/>
                      <w:szCs w:val="21"/>
                    </w:rPr>
                  </w:pPr>
                  <w:r>
                    <w:rPr>
                      <w:rFonts w:hint="eastAsia"/>
                      <w:color w:val="auto"/>
                      <w:szCs w:val="21"/>
                    </w:rPr>
                    <w:t>预测值</w:t>
                  </w:r>
                </w:p>
              </w:tc>
              <w:tc>
                <w:tcPr>
                  <w:tcW w:w="997" w:type="pct"/>
                  <w:vAlign w:val="center"/>
                </w:tcPr>
                <w:p>
                  <w:pPr>
                    <w:jc w:val="center"/>
                    <w:rPr>
                      <w:color w:val="auto"/>
                      <w:szCs w:val="21"/>
                    </w:rPr>
                  </w:pPr>
                  <w:r>
                    <w:rPr>
                      <w:rFonts w:hint="eastAsia"/>
                      <w:color w:val="auto"/>
                      <w:szCs w:val="21"/>
                    </w:rPr>
                    <w:t>评价标准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996" w:type="pct"/>
                  <w:gridSpan w:val="2"/>
                  <w:vAlign w:val="center"/>
                </w:tcPr>
                <w:p>
                  <w:pPr>
                    <w:jc w:val="center"/>
                    <w:rPr>
                      <w:rFonts w:ascii="Times New Roman" w:hAnsi="Times New Roman"/>
                      <w:color w:val="auto"/>
                      <w:szCs w:val="21"/>
                    </w:rPr>
                  </w:pPr>
                  <w:r>
                    <w:rPr>
                      <w:rFonts w:ascii="Times New Roman" w:hAnsi="Times New Roman"/>
                      <w:color w:val="auto"/>
                      <w:szCs w:val="21"/>
                    </w:rPr>
                    <w:t>123团</w:t>
                  </w:r>
                  <w:r>
                    <w:rPr>
                      <w:rFonts w:hint="eastAsia" w:ascii="Times New Roman" w:hAnsi="Times New Roman"/>
                      <w:color w:val="auto"/>
                      <w:szCs w:val="21"/>
                    </w:rPr>
                    <w:t>场</w:t>
                  </w:r>
                </w:p>
                <w:p>
                  <w:pPr>
                    <w:jc w:val="center"/>
                    <w:rPr>
                      <w:color w:val="auto"/>
                      <w:szCs w:val="21"/>
                    </w:rPr>
                  </w:pPr>
                  <w:r>
                    <w:rPr>
                      <w:rFonts w:hint="eastAsia" w:ascii="Times New Roman" w:hAnsi="Times New Roman"/>
                      <w:color w:val="auto"/>
                      <w:szCs w:val="21"/>
                    </w:rPr>
                    <w:t>居民点</w:t>
                  </w:r>
                </w:p>
              </w:tc>
              <w:tc>
                <w:tcPr>
                  <w:tcW w:w="502" w:type="pct"/>
                  <w:vAlign w:val="center"/>
                </w:tcPr>
                <w:p>
                  <w:pPr>
                    <w:jc w:val="center"/>
                    <w:rPr>
                      <w:rFonts w:ascii="Times New Roman" w:hAnsi="Times New Roman"/>
                      <w:color w:val="auto"/>
                      <w:szCs w:val="21"/>
                    </w:rPr>
                  </w:pPr>
                  <w:r>
                    <w:rPr>
                      <w:rFonts w:ascii="Times New Roman" w:hAnsi="Times New Roman"/>
                      <w:color w:val="auto"/>
                      <w:szCs w:val="21"/>
                    </w:rPr>
                    <w:t>43</w:t>
                  </w:r>
                  <w:r>
                    <w:rPr>
                      <w:rFonts w:hint="eastAsia" w:ascii="Times New Roman" w:hAnsi="Times New Roman"/>
                      <w:color w:val="auto"/>
                      <w:szCs w:val="21"/>
                    </w:rPr>
                    <w:t>.0</w:t>
                  </w:r>
                </w:p>
              </w:tc>
              <w:tc>
                <w:tcPr>
                  <w:tcW w:w="463" w:type="pct"/>
                  <w:vAlign w:val="center"/>
                </w:tcPr>
                <w:p>
                  <w:pPr>
                    <w:jc w:val="center"/>
                    <w:rPr>
                      <w:rFonts w:ascii="Times New Roman" w:hAnsi="Times New Roman"/>
                      <w:color w:val="auto"/>
                      <w:szCs w:val="21"/>
                    </w:rPr>
                  </w:pPr>
                  <w:r>
                    <w:rPr>
                      <w:rFonts w:ascii="Times New Roman" w:hAnsi="Times New Roman"/>
                      <w:color w:val="auto"/>
                      <w:szCs w:val="21"/>
                    </w:rPr>
                    <w:t>31.0</w:t>
                  </w:r>
                </w:p>
              </w:tc>
              <w:tc>
                <w:tcPr>
                  <w:tcW w:w="592" w:type="pct"/>
                  <w:vAlign w:val="center"/>
                </w:tcPr>
                <w:p>
                  <w:pPr>
                    <w:jc w:val="center"/>
                    <w:rPr>
                      <w:rFonts w:ascii="Times New Roman" w:hAnsi="Times New Roman"/>
                      <w:color w:val="auto"/>
                      <w:szCs w:val="21"/>
                    </w:rPr>
                  </w:pPr>
                  <w:r>
                    <w:rPr>
                      <w:rFonts w:ascii="Times New Roman" w:hAnsi="Times New Roman"/>
                      <w:color w:val="auto"/>
                      <w:szCs w:val="21"/>
                    </w:rPr>
                    <w:t>43.3</w:t>
                  </w:r>
                </w:p>
              </w:tc>
              <w:tc>
                <w:tcPr>
                  <w:tcW w:w="430" w:type="pct"/>
                  <w:vAlign w:val="center"/>
                </w:tcPr>
                <w:p>
                  <w:pPr>
                    <w:jc w:val="center"/>
                    <w:rPr>
                      <w:rFonts w:ascii="Times New Roman" w:hAnsi="Times New Roman"/>
                      <w:color w:val="auto"/>
                      <w:szCs w:val="21"/>
                    </w:rPr>
                  </w:pPr>
                  <w:r>
                    <w:rPr>
                      <w:rFonts w:ascii="Times New Roman" w:hAnsi="Times New Roman"/>
                      <w:color w:val="auto"/>
                      <w:szCs w:val="21"/>
                    </w:rPr>
                    <w:t>39</w:t>
                  </w:r>
                  <w:r>
                    <w:rPr>
                      <w:rFonts w:hint="eastAsia" w:ascii="Times New Roman" w:hAnsi="Times New Roman"/>
                      <w:color w:val="auto"/>
                      <w:szCs w:val="21"/>
                    </w:rPr>
                    <w:t>.0</w:t>
                  </w:r>
                </w:p>
              </w:tc>
              <w:tc>
                <w:tcPr>
                  <w:tcW w:w="488" w:type="pct"/>
                  <w:vAlign w:val="center"/>
                </w:tcPr>
                <w:p>
                  <w:pPr>
                    <w:jc w:val="center"/>
                    <w:rPr>
                      <w:rFonts w:ascii="Times New Roman" w:hAnsi="Times New Roman"/>
                      <w:color w:val="auto"/>
                      <w:szCs w:val="21"/>
                    </w:rPr>
                  </w:pPr>
                  <w:r>
                    <w:rPr>
                      <w:rFonts w:ascii="Times New Roman" w:hAnsi="Times New Roman"/>
                      <w:color w:val="auto"/>
                      <w:szCs w:val="21"/>
                    </w:rPr>
                    <w:t>31.0</w:t>
                  </w:r>
                </w:p>
              </w:tc>
              <w:tc>
                <w:tcPr>
                  <w:tcW w:w="526" w:type="pct"/>
                  <w:vAlign w:val="center"/>
                </w:tcPr>
                <w:p>
                  <w:pPr>
                    <w:jc w:val="center"/>
                    <w:rPr>
                      <w:rFonts w:ascii="Times New Roman" w:hAnsi="Times New Roman"/>
                      <w:color w:val="auto"/>
                      <w:szCs w:val="21"/>
                    </w:rPr>
                  </w:pPr>
                  <w:r>
                    <w:rPr>
                      <w:rFonts w:ascii="Times New Roman" w:hAnsi="Times New Roman"/>
                      <w:color w:val="auto"/>
                      <w:szCs w:val="21"/>
                    </w:rPr>
                    <w:t>39.6</w:t>
                  </w:r>
                </w:p>
              </w:tc>
              <w:tc>
                <w:tcPr>
                  <w:tcW w:w="997" w:type="pct"/>
                  <w:vAlign w:val="center"/>
                </w:tcPr>
                <w:p>
                  <w:pPr>
                    <w:jc w:val="center"/>
                    <w:rPr>
                      <w:color w:val="auto"/>
                      <w:szCs w:val="21"/>
                      <w:highlight w:val="yellow"/>
                    </w:rPr>
                  </w:pPr>
                  <w:r>
                    <w:rPr>
                      <w:rFonts w:ascii="Times New Roman" w:hAnsi="Times New Roman"/>
                      <w:color w:val="auto"/>
                      <w:kern w:val="0"/>
                      <w:szCs w:val="21"/>
                    </w:rPr>
                    <w:t>昼间60，夜间50</w:t>
                  </w:r>
                </w:p>
              </w:tc>
            </w:tr>
          </w:tbl>
          <w:p>
            <w:pPr>
              <w:pStyle w:val="48"/>
              <w:spacing w:line="360" w:lineRule="auto"/>
              <w:ind w:firstLine="480"/>
              <w:jc w:val="both"/>
              <w:rPr>
                <w:rFonts w:ascii="Times New Roman" w:hAnsi="Times New Roman"/>
                <w:color w:val="auto"/>
              </w:rPr>
            </w:pPr>
            <w:r>
              <w:rPr>
                <w:rFonts w:ascii="Times New Roman" w:hAnsi="Times New Roman"/>
                <w:color w:val="auto"/>
              </w:rPr>
              <w:t>经预测，本项目运营后拟建井场厂界四周噪声值满足《工业企业厂界环境噪声排放标准》（GB12348-2008）2类标准限值要求，</w:t>
            </w:r>
            <w:r>
              <w:rPr>
                <w:rFonts w:hint="eastAsia" w:ascii="Times New Roman" w:hAnsi="Times New Roman"/>
                <w:color w:val="auto"/>
              </w:rPr>
              <w:t>噪声敏感点处噪声值</w:t>
            </w:r>
            <w:r>
              <w:rPr>
                <w:rFonts w:ascii="Times New Roman" w:hAnsi="Times New Roman"/>
                <w:color w:val="auto"/>
                <w:kern w:val="0"/>
                <w:lang w:bidi="ar"/>
              </w:rPr>
              <w:t>满足《声环境质量标准》（GB3096-2008）中 2 类标准要求</w:t>
            </w:r>
            <w:r>
              <w:rPr>
                <w:rFonts w:hint="eastAsia" w:ascii="Times New Roman" w:hAnsi="Times New Roman"/>
                <w:color w:val="auto"/>
                <w:kern w:val="0"/>
                <w:lang w:bidi="ar"/>
              </w:rPr>
              <w:t>，</w:t>
            </w:r>
            <w:r>
              <w:rPr>
                <w:rFonts w:ascii="Times New Roman" w:hAnsi="Times New Roman"/>
                <w:color w:val="auto"/>
              </w:rPr>
              <w:t>因此工程实施后不会对周围声环境产生明显影响。</w:t>
            </w:r>
          </w:p>
          <w:bookmarkEnd w:id="24"/>
          <w:p>
            <w:pPr>
              <w:pStyle w:val="48"/>
              <w:tabs>
                <w:tab w:val="center" w:pos="4093"/>
              </w:tabs>
              <w:spacing w:line="360" w:lineRule="auto"/>
              <w:ind w:firstLine="482"/>
              <w:jc w:val="both"/>
              <w:rPr>
                <w:rFonts w:ascii="Times New Roman" w:hAnsi="Times New Roman"/>
                <w:b/>
                <w:bCs/>
                <w:color w:val="auto"/>
              </w:rPr>
            </w:pPr>
            <w:r>
              <w:rPr>
                <w:rFonts w:ascii="Times New Roman" w:hAnsi="Times New Roman"/>
                <w:b/>
                <w:bCs/>
                <w:color w:val="auto"/>
              </w:rPr>
              <w:t>6．固体废物环境影响分析</w:t>
            </w:r>
          </w:p>
          <w:p>
            <w:pPr>
              <w:pStyle w:val="48"/>
              <w:spacing w:line="360" w:lineRule="auto"/>
              <w:ind w:firstLine="480"/>
              <w:jc w:val="both"/>
              <w:rPr>
                <w:rFonts w:ascii="Times New Roman" w:hAnsi="Times New Roman"/>
                <w:color w:val="auto"/>
              </w:rPr>
            </w:pPr>
            <w:r>
              <w:rPr>
                <w:rFonts w:ascii="Times New Roman" w:hAnsi="Times New Roman"/>
                <w:color w:val="auto"/>
              </w:rPr>
              <w:t>井下作业时要求带罐作业，井口采用箱式清洁作业平台防止产生落地油，井口排出物全部进罐，做到原油100%回收，项目正常工况下无固体废物产生；项目事故状态下会产生一定量的落地油，落地油上层能收集，尽量收集，送春光联合站原油处理系统处理，不能收集的落地原油和受浸染的土壤为含油污泥</w:t>
            </w:r>
            <w:r>
              <w:rPr>
                <w:rFonts w:hint="eastAsia" w:ascii="Times New Roman" w:hAnsi="Times New Roman"/>
                <w:color w:val="auto"/>
              </w:rPr>
              <w:t>，</w:t>
            </w:r>
            <w:r>
              <w:rPr>
                <w:rFonts w:ascii="Times New Roman" w:hAnsi="Times New Roman"/>
                <w:color w:val="auto"/>
              </w:rPr>
              <w:t>含油污泥集中收集后交由具有相应危险废物处置资质的单位负责接收、转运和处置，不会对项目区环境造成不利影响。</w:t>
            </w:r>
          </w:p>
          <w:p>
            <w:pPr>
              <w:pStyle w:val="48"/>
              <w:spacing w:line="360" w:lineRule="auto"/>
              <w:ind w:firstLine="482"/>
              <w:jc w:val="both"/>
              <w:rPr>
                <w:rFonts w:ascii="Times New Roman" w:hAnsi="Times New Roman"/>
                <w:b/>
                <w:color w:val="auto"/>
              </w:rPr>
            </w:pPr>
            <w:r>
              <w:rPr>
                <w:rFonts w:ascii="Times New Roman" w:hAnsi="Times New Roman"/>
                <w:b/>
                <w:color w:val="auto"/>
              </w:rPr>
              <w:t>7．土壤环境影响分析</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正常工况下</w:t>
            </w:r>
            <w:r>
              <w:rPr>
                <w:rStyle w:val="42"/>
                <w:rFonts w:hint="eastAsia"/>
                <w:color w:val="auto"/>
                <w:kern w:val="0"/>
                <w:sz w:val="24"/>
              </w:rPr>
              <w:t>本项目</w:t>
            </w:r>
            <w:r>
              <w:rPr>
                <w:rFonts w:ascii="Times New Roman" w:hAnsi="Times New Roman"/>
                <w:color w:val="auto"/>
                <w:sz w:val="24"/>
              </w:rPr>
              <w:t>无废水及固废等污染物外排，不会造成土壤环境污染。如果发生井喷、管线泄漏等事故，泄漏的原油会对土壤环境产生一定的影响，泄漏的石油覆盖于地表可使土壤透气性下降、土壤理化性状发生变化。泄漏的油品如果进入土壤，从而使土壤质地、结构发生改变，影响到土地功能，进而影响地表植被的生长。管线破裂，采出液短期内大量排放，污染物经表土层下渗，可以通过管线压力的变化，实时监控，若发现压力数据异常变化，快速降低，则发生了管线泄漏事故，快速找到泄漏点，及时采取相应治理措施，泄漏的上层能收集的原油回收送至春光联合处理站处理，无法收集的原油和受侵染的土壤等含油污泥交由具有相应危险废物处置资质的单位进行回收、处置。根据环境风险分析可知，本项目发生泄漏事故的可能性很小，且发生事故后及时采取相应的治理措施，将受污染的土壤及时收集、处理，不会对土壤环境产生明显影响。根据新疆油田多年来实际运行情况，类比其他油田开发区块，</w:t>
            </w:r>
            <w:r>
              <w:rPr>
                <w:rFonts w:hint="eastAsia" w:ascii="Times New Roman" w:hAnsi="Times New Roman"/>
                <w:color w:val="auto"/>
                <w:sz w:val="24"/>
              </w:rPr>
              <w:t>原油</w:t>
            </w:r>
            <w:r>
              <w:rPr>
                <w:rFonts w:ascii="Times New Roman" w:hAnsi="Times New Roman"/>
                <w:color w:val="auto"/>
                <w:sz w:val="24"/>
              </w:rPr>
              <w:t>开采项目对土壤环境质量基本不会造成不良影响。</w:t>
            </w:r>
          </w:p>
          <w:p>
            <w:pPr>
              <w:spacing w:line="360" w:lineRule="auto"/>
              <w:ind w:firstLine="482" w:firstLineChars="200"/>
              <w:jc w:val="both"/>
              <w:rPr>
                <w:rFonts w:ascii="Times New Roman" w:hAnsi="Times New Roman"/>
                <w:b/>
                <w:color w:val="auto"/>
                <w:sz w:val="24"/>
              </w:rPr>
            </w:pPr>
            <w:r>
              <w:rPr>
                <w:rFonts w:ascii="Times New Roman" w:hAnsi="Times New Roman"/>
                <w:b/>
                <w:color w:val="auto"/>
                <w:sz w:val="24"/>
              </w:rPr>
              <w:t>8．环境风险分析</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bCs/>
                <w:color w:val="auto"/>
                <w:sz w:val="24"/>
              </w:rPr>
              <w:t>本项目运营期存在的环境风险有有</w:t>
            </w:r>
            <w:r>
              <w:rPr>
                <w:rFonts w:hint="eastAsia" w:ascii="Times New Roman" w:hAnsi="Times New Roman"/>
                <w:color w:val="auto"/>
                <w:sz w:val="24"/>
              </w:rPr>
              <w:t>油水窜层和</w:t>
            </w:r>
            <w:r>
              <w:rPr>
                <w:rFonts w:ascii="Times New Roman" w:hAnsi="Times New Roman"/>
                <w:color w:val="auto"/>
                <w:sz w:val="24"/>
              </w:rPr>
              <w:t>管线泄漏</w:t>
            </w:r>
            <w:r>
              <w:rPr>
                <w:rFonts w:ascii="Times New Roman" w:hAnsi="Times New Roman"/>
                <w:bCs/>
                <w:color w:val="auto"/>
                <w:sz w:val="24"/>
              </w:rPr>
              <w:t>。</w:t>
            </w:r>
            <w:r>
              <w:rPr>
                <w:rFonts w:ascii="Times New Roman" w:hAnsi="Times New Roman"/>
                <w:color w:val="auto"/>
                <w:sz w:val="24"/>
              </w:rPr>
              <w:t>原油泄漏事故发生后，在非渗透性的基岩及粘重土壤上污染（扩展）面积较大，而疏松土质上影响的扩展范围较小</w:t>
            </w:r>
            <w:r>
              <w:rPr>
                <w:rFonts w:hint="eastAsia" w:ascii="Times New Roman" w:hAnsi="Times New Roman"/>
                <w:color w:val="auto"/>
                <w:sz w:val="24"/>
              </w:rPr>
              <w:t>，</w:t>
            </w:r>
            <w:r>
              <w:rPr>
                <w:rFonts w:ascii="Times New Roman" w:hAnsi="Times New Roman"/>
                <w:color w:val="auto"/>
                <w:sz w:val="24"/>
              </w:rPr>
              <w:t>在泄漏事故发生的最初，原油在土壤中下渗至一定深度，随泄漏历时的延长，下渗深度增加不大（落地原油一般在土壤表层20cm以上深度内积聚）</w:t>
            </w:r>
            <w:r>
              <w:rPr>
                <w:rFonts w:hint="eastAsia" w:ascii="Times New Roman" w:hAnsi="Times New Roman"/>
                <w:color w:val="auto"/>
                <w:sz w:val="24"/>
              </w:rPr>
              <w:t>，受污染的土壤应集中收集后交由有相应处理资质的单位进行回收处置，</w:t>
            </w:r>
            <w:r>
              <w:rPr>
                <w:rFonts w:ascii="Times New Roman" w:hAnsi="Times New Roman"/>
                <w:color w:val="auto"/>
                <w:sz w:val="24"/>
              </w:rPr>
              <w:t>发生事故后，及时采取相应的措施，不会对周围</w:t>
            </w:r>
            <w:r>
              <w:rPr>
                <w:rFonts w:hint="eastAsia" w:ascii="Times New Roman" w:hAnsi="Times New Roman"/>
                <w:color w:val="auto"/>
                <w:sz w:val="24"/>
              </w:rPr>
              <w:t>土壤和</w:t>
            </w:r>
            <w:r>
              <w:rPr>
                <w:rFonts w:ascii="Times New Roman" w:hAnsi="Times New Roman"/>
                <w:color w:val="auto"/>
                <w:sz w:val="24"/>
              </w:rPr>
              <w:t>植被产生明显影响。</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油水窜层和管线泄漏的油品下渗可能导致地下水污染风险的发生。发生泄漏事故后，及时维修处理，即使有少量的污染物泄漏，也很难通过防渗层渗入包气带。井场及管线泄漏后，原油进入环境空气，若遇明火，可发生火灾、爆炸，火灾、爆炸产生的伴生/次生污染物可能对环境空气产生一定的影响。项目区春9</w:t>
            </w:r>
            <w:r>
              <w:rPr>
                <w:rFonts w:ascii="Times New Roman" w:hAnsi="Times New Roman"/>
                <w:color w:val="auto"/>
                <w:sz w:val="24"/>
              </w:rPr>
              <w:t>9</w:t>
            </w:r>
            <w:r>
              <w:rPr>
                <w:rFonts w:hint="eastAsia" w:ascii="Times New Roman" w:hAnsi="Times New Roman"/>
                <w:color w:val="auto"/>
                <w:sz w:val="24"/>
              </w:rPr>
              <w:t>区块周边100m范围内存在居民区，</w:t>
            </w:r>
            <w:r>
              <w:rPr>
                <w:rFonts w:ascii="Times New Roman" w:hAnsi="Times New Roman"/>
                <w:color w:val="auto"/>
                <w:kern w:val="0"/>
                <w:sz w:val="24"/>
                <w:shd w:val="clear" w:color="auto" w:fill="FFFFFF"/>
                <w:lang w:bidi="ar"/>
              </w:rPr>
              <w:t>一旦发生火灾事故</w:t>
            </w:r>
            <w:r>
              <w:rPr>
                <w:rFonts w:hint="eastAsia" w:ascii="Times New Roman" w:hAnsi="Times New Roman"/>
                <w:color w:val="auto"/>
                <w:kern w:val="0"/>
                <w:sz w:val="24"/>
                <w:shd w:val="clear" w:color="auto" w:fill="FFFFFF"/>
                <w:lang w:bidi="ar"/>
              </w:rPr>
              <w:t>需</w:t>
            </w:r>
            <w:r>
              <w:rPr>
                <w:rFonts w:ascii="Times New Roman" w:hAnsi="Times New Roman"/>
                <w:color w:val="auto"/>
                <w:kern w:val="0"/>
                <w:sz w:val="24"/>
                <w:shd w:val="clear" w:color="auto" w:fill="FFFFFF"/>
                <w:lang w:bidi="ar"/>
              </w:rPr>
              <w:t>及时启动救援，并疏散居住人群，对其影响较小。</w:t>
            </w:r>
            <w:r>
              <w:rPr>
                <w:rFonts w:hint="eastAsia" w:ascii="Times New Roman" w:hAnsi="Times New Roman"/>
                <w:color w:val="auto"/>
                <w:sz w:val="24"/>
              </w:rPr>
              <w:t>其他区块地域空旷，扩散条件较好，发生事故后，及时采取相应的措施，不会对周围环境空气产生明显影响。</w:t>
            </w:r>
          </w:p>
          <w:p>
            <w:pPr>
              <w:pStyle w:val="48"/>
              <w:spacing w:line="360" w:lineRule="auto"/>
              <w:ind w:firstLine="480"/>
              <w:jc w:val="both"/>
              <w:rPr>
                <w:rFonts w:ascii="Times New Roman" w:hAnsi="Times New Roman"/>
                <w:color w:val="auto"/>
              </w:rPr>
            </w:pPr>
            <w:r>
              <w:rPr>
                <w:rFonts w:ascii="Times New Roman" w:hAnsi="Times New Roman"/>
                <w:bCs/>
                <w:color w:val="auto"/>
              </w:rPr>
              <w:t>在制定严格的事故风险防范措施及应急计划后，可将事故发生概率减少到最低，减少事故造成的损失</w:t>
            </w:r>
            <w:r>
              <w:rPr>
                <w:rFonts w:ascii="Times New Roman" w:hAnsi="Times New Roman"/>
                <w:color w:val="auto"/>
              </w:rPr>
              <w:t>，具体分析见环境风险专项评价报告。</w:t>
            </w:r>
          </w:p>
          <w:p>
            <w:pPr>
              <w:pStyle w:val="48"/>
              <w:spacing w:line="360" w:lineRule="auto"/>
              <w:ind w:firstLine="482"/>
              <w:jc w:val="both"/>
              <w:rPr>
                <w:rFonts w:ascii="Times New Roman" w:hAnsi="Times New Roman"/>
                <w:b/>
                <w:bCs/>
                <w:color w:val="auto"/>
                <w:lang w:bidi="ar"/>
              </w:rPr>
            </w:pPr>
            <w:r>
              <w:rPr>
                <w:rFonts w:hint="eastAsia" w:ascii="Times New Roman" w:hAnsi="Times New Roman"/>
                <w:b/>
                <w:bCs/>
                <w:color w:val="auto"/>
                <w:lang w:bidi="ar"/>
              </w:rPr>
              <w:t>9. 运营期污染物排放汇总</w:t>
            </w:r>
          </w:p>
          <w:p>
            <w:pPr>
              <w:pStyle w:val="48"/>
              <w:spacing w:line="360" w:lineRule="auto"/>
              <w:ind w:firstLine="496"/>
              <w:jc w:val="both"/>
              <w:rPr>
                <w:color w:val="auto"/>
                <w:spacing w:val="4"/>
                <w:kern w:val="24"/>
              </w:rPr>
            </w:pPr>
            <w:r>
              <w:rPr>
                <w:rFonts w:hint="eastAsia"/>
                <w:color w:val="auto"/>
                <w:spacing w:val="4"/>
                <w:kern w:val="24"/>
              </w:rPr>
              <w:t>运营</w:t>
            </w:r>
            <w:r>
              <w:rPr>
                <w:color w:val="auto"/>
                <w:spacing w:val="4"/>
                <w:kern w:val="24"/>
              </w:rPr>
              <w:t>期污染物排放汇总</w:t>
            </w:r>
            <w:r>
              <w:rPr>
                <w:rFonts w:ascii="Times New Roman" w:hAnsi="Times New Roman"/>
                <w:color w:val="auto"/>
                <w:spacing w:val="4"/>
                <w:kern w:val="24"/>
              </w:rPr>
              <w:t>见表</w:t>
            </w:r>
            <w:r>
              <w:rPr>
                <w:rFonts w:hint="eastAsia" w:ascii="Times New Roman" w:hAnsi="Times New Roman"/>
                <w:color w:val="auto"/>
                <w:spacing w:val="4"/>
                <w:kern w:val="24"/>
              </w:rPr>
              <w:t>4-10</w:t>
            </w:r>
            <w:r>
              <w:rPr>
                <w:color w:val="auto"/>
                <w:spacing w:val="4"/>
                <w:kern w:val="24"/>
              </w:rPr>
              <w:t>。</w:t>
            </w:r>
          </w:p>
          <w:p>
            <w:pPr>
              <w:pStyle w:val="48"/>
              <w:spacing w:line="360" w:lineRule="auto"/>
              <w:ind w:firstLine="496"/>
              <w:jc w:val="both"/>
              <w:rPr>
                <w:color w:val="auto"/>
                <w:spacing w:val="4"/>
                <w:kern w:val="24"/>
              </w:rPr>
            </w:pPr>
          </w:p>
          <w:p>
            <w:pPr>
              <w:jc w:val="center"/>
              <w:rPr>
                <w:rFonts w:ascii="Times New Roman" w:hAnsi="Times New Roman"/>
                <w:b/>
                <w:color w:val="auto"/>
                <w:kern w:val="0"/>
                <w:szCs w:val="21"/>
              </w:rPr>
            </w:pPr>
          </w:p>
          <w:p>
            <w:pPr>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4</w:t>
            </w:r>
            <w:r>
              <w:rPr>
                <w:rFonts w:ascii="Times New Roman" w:hAnsi="Times New Roman"/>
                <w:b/>
                <w:color w:val="auto"/>
                <w:kern w:val="0"/>
                <w:szCs w:val="21"/>
              </w:rPr>
              <w:t>-10    运营期污染物排放汇总</w:t>
            </w:r>
          </w:p>
          <w:tbl>
            <w:tblPr>
              <w:tblStyle w:val="3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024"/>
              <w:gridCol w:w="1318"/>
              <w:gridCol w:w="932"/>
              <w:gridCol w:w="955"/>
              <w:gridCol w:w="33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工段</w:t>
                  </w:r>
                </w:p>
              </w:tc>
              <w:tc>
                <w:tcPr>
                  <w:tcW w:w="62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污染源</w:t>
                  </w:r>
                </w:p>
              </w:tc>
              <w:tc>
                <w:tcPr>
                  <w:tcW w:w="80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主要污染物</w:t>
                  </w:r>
                </w:p>
              </w:tc>
              <w:tc>
                <w:tcPr>
                  <w:tcW w:w="570"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产生量</w:t>
                  </w:r>
                </w:p>
              </w:tc>
              <w:tc>
                <w:tcPr>
                  <w:tcW w:w="58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排放量</w:t>
                  </w:r>
                </w:p>
              </w:tc>
              <w:tc>
                <w:tcPr>
                  <w:tcW w:w="202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排放去向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废气</w:t>
                  </w:r>
                </w:p>
              </w:tc>
              <w:tc>
                <w:tcPr>
                  <w:tcW w:w="626" w:type="pct"/>
                  <w:tcBorders>
                    <w:tl2br w:val="nil"/>
                    <w:tr2bl w:val="nil"/>
                  </w:tcBorders>
                  <w:vAlign w:val="center"/>
                </w:tcPr>
                <w:p>
                  <w:pPr>
                    <w:jc w:val="center"/>
                    <w:rPr>
                      <w:rFonts w:ascii="Times New Roman" w:hAnsi="Times New Roman"/>
                      <w:bCs/>
                      <w:snapToGrid w:val="0"/>
                      <w:color w:val="auto"/>
                      <w:szCs w:val="21"/>
                    </w:rPr>
                  </w:pPr>
                  <w:r>
                    <w:rPr>
                      <w:rFonts w:ascii="Times New Roman" w:hAnsi="Times New Roman"/>
                      <w:bCs/>
                      <w:snapToGrid w:val="0"/>
                      <w:color w:val="auto"/>
                      <w:szCs w:val="21"/>
                    </w:rPr>
                    <w:t>无组织</w:t>
                  </w:r>
                </w:p>
                <w:p>
                  <w:pPr>
                    <w:jc w:val="center"/>
                    <w:rPr>
                      <w:rFonts w:ascii="Times New Roman" w:hAnsi="Times New Roman"/>
                      <w:color w:val="auto"/>
                      <w:szCs w:val="21"/>
                    </w:rPr>
                  </w:pPr>
                  <w:r>
                    <w:rPr>
                      <w:rFonts w:ascii="Times New Roman" w:hAnsi="Times New Roman"/>
                      <w:bCs/>
                      <w:snapToGrid w:val="0"/>
                      <w:color w:val="auto"/>
                      <w:szCs w:val="21"/>
                    </w:rPr>
                    <w:t>排放</w:t>
                  </w:r>
                </w:p>
              </w:tc>
              <w:tc>
                <w:tcPr>
                  <w:tcW w:w="806"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18"/>
                    </w:rPr>
                    <w:t>非甲烷总烃</w:t>
                  </w:r>
                </w:p>
              </w:tc>
              <w:tc>
                <w:tcPr>
                  <w:tcW w:w="570"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3.15</w:t>
                  </w:r>
                  <w:r>
                    <w:rPr>
                      <w:rFonts w:ascii="Times New Roman" w:hAnsi="Times New Roman"/>
                      <w:bCs/>
                      <w:snapToGrid w:val="0"/>
                      <w:color w:val="auto"/>
                      <w:szCs w:val="21"/>
                    </w:rPr>
                    <w:t>t/a</w:t>
                  </w:r>
                </w:p>
              </w:tc>
              <w:tc>
                <w:tcPr>
                  <w:tcW w:w="584"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bCs/>
                      <w:snapToGrid w:val="0"/>
                      <w:color w:val="auto"/>
                      <w:szCs w:val="21"/>
                    </w:rPr>
                    <w:t>3.15</w:t>
                  </w:r>
                  <w:r>
                    <w:rPr>
                      <w:rFonts w:ascii="Times New Roman" w:hAnsi="Times New Roman"/>
                      <w:bCs/>
                      <w:snapToGrid w:val="0"/>
                      <w:color w:val="auto"/>
                      <w:szCs w:val="21"/>
                    </w:rPr>
                    <w:t>t/a</w:t>
                  </w:r>
                </w:p>
              </w:tc>
              <w:tc>
                <w:tcPr>
                  <w:tcW w:w="2024" w:type="pct"/>
                  <w:tcBorders>
                    <w:tl2br w:val="nil"/>
                    <w:tr2bl w:val="nil"/>
                  </w:tcBorders>
                  <w:vAlign w:val="center"/>
                </w:tcPr>
                <w:p>
                  <w:pPr>
                    <w:rPr>
                      <w:rFonts w:ascii="Times New Roman" w:hAnsi="Times New Roman"/>
                      <w:color w:val="auto"/>
                      <w:szCs w:val="22"/>
                    </w:rPr>
                  </w:pPr>
                  <w:r>
                    <w:rPr>
                      <w:rFonts w:ascii="Times New Roman" w:hAnsi="Times New Roman"/>
                      <w:color w:val="auto"/>
                      <w:szCs w:val="22"/>
                    </w:rPr>
                    <w:t>大气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87" w:type="pct"/>
                  <w:vMerge w:val="restar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废水</w:t>
                  </w:r>
                </w:p>
              </w:tc>
              <w:tc>
                <w:tcPr>
                  <w:tcW w:w="626" w:type="pct"/>
                  <w:vMerge w:val="restar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井下作业废水</w:t>
                  </w:r>
                </w:p>
              </w:tc>
              <w:tc>
                <w:tcPr>
                  <w:tcW w:w="80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井下作业废水</w:t>
                  </w:r>
                </w:p>
              </w:tc>
              <w:tc>
                <w:tcPr>
                  <w:tcW w:w="570"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rPr>
                    <w:t>570</w:t>
                  </w:r>
                  <w:r>
                    <w:rPr>
                      <w:rFonts w:ascii="Times New Roman" w:hAnsi="Times New Roman"/>
                      <w:color w:val="auto"/>
                    </w:rPr>
                    <w:t>t/a</w:t>
                  </w:r>
                </w:p>
              </w:tc>
              <w:tc>
                <w:tcPr>
                  <w:tcW w:w="58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0</w:t>
                  </w:r>
                </w:p>
              </w:tc>
              <w:tc>
                <w:tcPr>
                  <w:tcW w:w="2024" w:type="pct"/>
                  <w:vMerge w:val="restart"/>
                  <w:tcBorders>
                    <w:tl2br w:val="nil"/>
                    <w:tr2bl w:val="nil"/>
                  </w:tcBorders>
                  <w:vAlign w:val="center"/>
                </w:tcPr>
                <w:p>
                  <w:pPr>
                    <w:rPr>
                      <w:rFonts w:ascii="Times New Roman" w:hAnsi="Times New Roman"/>
                      <w:color w:val="auto"/>
                      <w:szCs w:val="21"/>
                    </w:rPr>
                  </w:pPr>
                  <w:r>
                    <w:rPr>
                      <w:rFonts w:ascii="Times New Roman" w:hAnsi="Times New Roman"/>
                      <w:color w:val="auto"/>
                      <w:szCs w:val="22"/>
                    </w:rPr>
                    <w:t>井下废水集中收集进入</w:t>
                  </w:r>
                  <w:r>
                    <w:rPr>
                      <w:rFonts w:hint="eastAsia" w:ascii="Times New Roman" w:hAnsi="Times New Roman"/>
                      <w:color w:val="auto"/>
                      <w:szCs w:val="22"/>
                    </w:rPr>
                    <w:t>春光</w:t>
                  </w:r>
                  <w:r>
                    <w:rPr>
                      <w:rFonts w:ascii="Times New Roman" w:hAnsi="Times New Roman"/>
                      <w:color w:val="auto"/>
                      <w:szCs w:val="22"/>
                    </w:rPr>
                    <w:t>联合站内</w:t>
                  </w:r>
                  <w:r>
                    <w:rPr>
                      <w:rFonts w:hint="eastAsia" w:ascii="Times New Roman" w:hAnsi="Times New Roman"/>
                      <w:color w:val="auto"/>
                      <w:szCs w:val="22"/>
                    </w:rPr>
                    <w:t>污</w:t>
                  </w:r>
                  <w:r>
                    <w:rPr>
                      <w:rFonts w:ascii="Times New Roman" w:hAnsi="Times New Roman"/>
                      <w:color w:val="auto"/>
                      <w:szCs w:val="22"/>
                    </w:rPr>
                    <w:t>水处理系统，处理达到《碎屑岩油藏注水水质指标及分析方法》（SY/T5329-2012）的有关标准后回注油层。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7" w:type="pct"/>
                  <w:vMerge w:val="continue"/>
                  <w:tcBorders>
                    <w:tl2br w:val="nil"/>
                    <w:tr2bl w:val="nil"/>
                  </w:tcBorders>
                  <w:vAlign w:val="center"/>
                </w:tcPr>
                <w:p>
                  <w:pPr>
                    <w:jc w:val="center"/>
                    <w:rPr>
                      <w:rFonts w:ascii="Times New Roman" w:hAnsi="Times New Roman"/>
                      <w:color w:val="auto"/>
                      <w:szCs w:val="21"/>
                    </w:rPr>
                  </w:pPr>
                </w:p>
              </w:tc>
              <w:tc>
                <w:tcPr>
                  <w:tcW w:w="626" w:type="pct"/>
                  <w:vMerge w:val="continue"/>
                  <w:tcBorders>
                    <w:tl2br w:val="nil"/>
                    <w:tr2bl w:val="nil"/>
                  </w:tcBorders>
                  <w:vAlign w:val="center"/>
                </w:tcPr>
                <w:p>
                  <w:pPr>
                    <w:jc w:val="center"/>
                    <w:rPr>
                      <w:rFonts w:ascii="Times New Roman" w:hAnsi="Times New Roman"/>
                      <w:color w:val="auto"/>
                      <w:szCs w:val="21"/>
                    </w:rPr>
                  </w:pPr>
                </w:p>
              </w:tc>
              <w:tc>
                <w:tcPr>
                  <w:tcW w:w="80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COD</w:t>
                  </w:r>
                </w:p>
              </w:tc>
              <w:tc>
                <w:tcPr>
                  <w:tcW w:w="570"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rPr>
                    <w:t>0.</w:t>
                  </w:r>
                  <w:r>
                    <w:rPr>
                      <w:rFonts w:hint="eastAsia" w:ascii="Times New Roman" w:hAnsi="Times New Roman"/>
                      <w:color w:val="auto"/>
                    </w:rPr>
                    <w:t>78</w:t>
                  </w:r>
                  <w:r>
                    <w:rPr>
                      <w:rFonts w:ascii="Times New Roman" w:hAnsi="Times New Roman"/>
                      <w:color w:val="auto"/>
                    </w:rPr>
                    <w:t>t/a</w:t>
                  </w:r>
                </w:p>
              </w:tc>
              <w:tc>
                <w:tcPr>
                  <w:tcW w:w="58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0</w:t>
                  </w:r>
                </w:p>
              </w:tc>
              <w:tc>
                <w:tcPr>
                  <w:tcW w:w="2024" w:type="pct"/>
                  <w:vMerge w:val="continue"/>
                  <w:tcBorders>
                    <w:tl2br w:val="nil"/>
                    <w:tr2bl w:val="nil"/>
                  </w:tcBorders>
                  <w:vAlign w:val="center"/>
                </w:tcPr>
                <w:p>
                  <w:pP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7" w:type="pct"/>
                  <w:vMerge w:val="continue"/>
                  <w:tcBorders>
                    <w:tl2br w:val="nil"/>
                    <w:tr2bl w:val="nil"/>
                  </w:tcBorders>
                  <w:vAlign w:val="center"/>
                </w:tcPr>
                <w:p>
                  <w:pPr>
                    <w:jc w:val="center"/>
                    <w:rPr>
                      <w:rFonts w:ascii="Times New Roman" w:hAnsi="Times New Roman"/>
                      <w:color w:val="auto"/>
                      <w:szCs w:val="21"/>
                    </w:rPr>
                  </w:pPr>
                </w:p>
              </w:tc>
              <w:tc>
                <w:tcPr>
                  <w:tcW w:w="626" w:type="pct"/>
                  <w:vMerge w:val="continue"/>
                  <w:tcBorders>
                    <w:tl2br w:val="nil"/>
                    <w:tr2bl w:val="nil"/>
                  </w:tcBorders>
                  <w:vAlign w:val="center"/>
                </w:tcPr>
                <w:p>
                  <w:pPr>
                    <w:jc w:val="center"/>
                    <w:rPr>
                      <w:rFonts w:ascii="Times New Roman" w:hAnsi="Times New Roman"/>
                      <w:color w:val="auto"/>
                      <w:szCs w:val="21"/>
                    </w:rPr>
                  </w:pPr>
                </w:p>
              </w:tc>
              <w:tc>
                <w:tcPr>
                  <w:tcW w:w="80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石油类</w:t>
                  </w:r>
                </w:p>
              </w:tc>
              <w:tc>
                <w:tcPr>
                  <w:tcW w:w="570"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rPr>
                    <w:t>0.</w:t>
                  </w:r>
                  <w:r>
                    <w:rPr>
                      <w:rFonts w:hint="eastAsia" w:ascii="Times New Roman" w:hAnsi="Times New Roman"/>
                      <w:color w:val="auto"/>
                    </w:rPr>
                    <w:t>13</w:t>
                  </w:r>
                  <w:r>
                    <w:rPr>
                      <w:rFonts w:ascii="Times New Roman" w:hAnsi="Times New Roman"/>
                      <w:color w:val="auto"/>
                    </w:rPr>
                    <w:t>t/a</w:t>
                  </w:r>
                </w:p>
              </w:tc>
              <w:tc>
                <w:tcPr>
                  <w:tcW w:w="58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0</w:t>
                  </w:r>
                </w:p>
              </w:tc>
              <w:tc>
                <w:tcPr>
                  <w:tcW w:w="2024" w:type="pct"/>
                  <w:vMerge w:val="continue"/>
                  <w:tcBorders>
                    <w:tl2br w:val="nil"/>
                    <w:tr2bl w:val="nil"/>
                  </w:tcBorders>
                  <w:vAlign w:val="center"/>
                </w:tcPr>
                <w:p>
                  <w:pPr>
                    <w:rPr>
                      <w:rFonts w:ascii="Times New Roman" w:hAnsi="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87" w:type="pct"/>
                  <w:vMerge w:val="continue"/>
                  <w:tcBorders>
                    <w:tl2br w:val="nil"/>
                    <w:tr2bl w:val="nil"/>
                  </w:tcBorders>
                  <w:vAlign w:val="center"/>
                </w:tcPr>
                <w:p>
                  <w:pPr>
                    <w:jc w:val="center"/>
                    <w:rPr>
                      <w:rFonts w:ascii="Times New Roman" w:hAnsi="Times New Roman"/>
                      <w:color w:val="auto"/>
                      <w:szCs w:val="21"/>
                    </w:rPr>
                  </w:pPr>
                </w:p>
              </w:tc>
              <w:tc>
                <w:tcPr>
                  <w:tcW w:w="626"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采出水</w:t>
                  </w:r>
                </w:p>
              </w:tc>
              <w:tc>
                <w:tcPr>
                  <w:tcW w:w="806"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SS、COD、石油类、挥发酚</w:t>
                  </w:r>
                  <w:r>
                    <w:rPr>
                      <w:rFonts w:hint="eastAsia" w:ascii="Times New Roman" w:hAnsi="Times New Roman"/>
                      <w:color w:val="auto"/>
                      <w:szCs w:val="21"/>
                    </w:rPr>
                    <w:t>、</w:t>
                  </w:r>
                  <w:r>
                    <w:rPr>
                      <w:rFonts w:ascii="Times New Roman" w:hAnsi="Times New Roman"/>
                      <w:color w:val="auto"/>
                      <w:szCs w:val="21"/>
                    </w:rPr>
                    <w:t>NH</w:t>
                  </w:r>
                  <w:r>
                    <w:rPr>
                      <w:rFonts w:ascii="Times New Roman" w:hAnsi="Times New Roman"/>
                      <w:color w:val="auto"/>
                      <w:szCs w:val="21"/>
                      <w:vertAlign w:val="subscript"/>
                    </w:rPr>
                    <w:t>3</w:t>
                  </w:r>
                  <w:r>
                    <w:rPr>
                      <w:rFonts w:ascii="Times New Roman" w:hAnsi="Times New Roman"/>
                      <w:color w:val="auto"/>
                      <w:szCs w:val="21"/>
                    </w:rPr>
                    <w:t>-N</w:t>
                  </w:r>
                </w:p>
              </w:tc>
              <w:tc>
                <w:tcPr>
                  <w:tcW w:w="570" w:type="pct"/>
                  <w:tcBorders>
                    <w:tl2br w:val="nil"/>
                    <w:tr2bl w:val="nil"/>
                  </w:tcBorders>
                  <w:vAlign w:val="center"/>
                </w:tcPr>
                <w:p>
                  <w:pPr>
                    <w:jc w:val="center"/>
                    <w:rPr>
                      <w:rFonts w:ascii="Times New Roman" w:hAnsi="Times New Roman"/>
                      <w:color w:val="auto"/>
                    </w:rPr>
                  </w:pPr>
                  <w:r>
                    <w:rPr>
                      <w:rFonts w:hint="eastAsia" w:ascii="Times New Roman" w:hAnsi="Times New Roman"/>
                      <w:color w:val="auto"/>
                    </w:rPr>
                    <w:t>2.76万t/a</w:t>
                  </w:r>
                </w:p>
              </w:tc>
              <w:tc>
                <w:tcPr>
                  <w:tcW w:w="584"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0</w:t>
                  </w:r>
                </w:p>
              </w:tc>
              <w:tc>
                <w:tcPr>
                  <w:tcW w:w="2024" w:type="pct"/>
                  <w:tcBorders>
                    <w:tl2br w:val="nil"/>
                    <w:tr2bl w:val="nil"/>
                  </w:tcBorders>
                  <w:vAlign w:val="center"/>
                </w:tcPr>
                <w:p>
                  <w:pPr>
                    <w:rPr>
                      <w:rFonts w:ascii="Times New Roman" w:hAnsi="Times New Roman"/>
                      <w:color w:val="auto"/>
                      <w:szCs w:val="21"/>
                    </w:rPr>
                  </w:pPr>
                  <w:r>
                    <w:rPr>
                      <w:rFonts w:ascii="Times New Roman" w:hAnsi="Times New Roman"/>
                      <w:color w:val="auto"/>
                      <w:szCs w:val="22"/>
                    </w:rPr>
                    <w:t>依托春光联合站的污水系统处理，处理后水质达到《碎屑岩油藏注水水质指标及分析方法》（SY/T5329-2012）标准中指标后回注地层</w:t>
                  </w:r>
                  <w:r>
                    <w:rPr>
                      <w:rFonts w:hint="eastAsia" w:ascii="Times New Roman" w:hAnsi="Times New Roman"/>
                      <w:color w:val="auto"/>
                      <w:szCs w:val="2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固体废物</w:t>
                  </w:r>
                </w:p>
              </w:tc>
              <w:tc>
                <w:tcPr>
                  <w:tcW w:w="626"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落地油</w:t>
                  </w:r>
                </w:p>
              </w:tc>
              <w:tc>
                <w:tcPr>
                  <w:tcW w:w="806"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废矿物油</w:t>
                  </w:r>
                </w:p>
              </w:tc>
              <w:tc>
                <w:tcPr>
                  <w:tcW w:w="570" w:type="pct"/>
                  <w:tcBorders>
                    <w:tl2br w:val="nil"/>
                    <w:tr2bl w:val="nil"/>
                  </w:tcBorders>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584" w:type="pct"/>
                  <w:tcBorders>
                    <w:tl2br w:val="nil"/>
                    <w:tr2bl w:val="nil"/>
                  </w:tcBorders>
                  <w:vAlign w:val="center"/>
                </w:tcPr>
                <w:p>
                  <w:pPr>
                    <w:jc w:val="center"/>
                    <w:rPr>
                      <w:rFonts w:ascii="Times New Roman" w:hAnsi="Times New Roman"/>
                      <w:color w:val="auto"/>
                      <w:szCs w:val="21"/>
                    </w:rPr>
                  </w:pPr>
                  <w:r>
                    <w:rPr>
                      <w:rFonts w:ascii="Times New Roman" w:hAnsi="Times New Roman"/>
                      <w:color w:val="auto"/>
                      <w:szCs w:val="21"/>
                    </w:rPr>
                    <w:t>0</w:t>
                  </w:r>
                </w:p>
              </w:tc>
              <w:tc>
                <w:tcPr>
                  <w:tcW w:w="2024" w:type="pct"/>
                  <w:tcBorders>
                    <w:tl2br w:val="nil"/>
                    <w:tr2bl w:val="nil"/>
                  </w:tcBorders>
                  <w:vAlign w:val="center"/>
                </w:tcPr>
                <w:p>
                  <w:pPr>
                    <w:rPr>
                      <w:rFonts w:ascii="Times New Roman" w:hAnsi="Times New Roman"/>
                      <w:color w:val="auto"/>
                      <w:szCs w:val="21"/>
                    </w:rPr>
                  </w:pPr>
                  <w:r>
                    <w:rPr>
                      <w:rFonts w:ascii="Times New Roman" w:hAnsi="Times New Roman"/>
                      <w:color w:val="auto"/>
                      <w:szCs w:val="22"/>
                    </w:rPr>
                    <w:t>原油100%回收</w:t>
                  </w:r>
                </w:p>
              </w:tc>
            </w:tr>
          </w:tbl>
          <w:p>
            <w:pPr>
              <w:pStyle w:val="48"/>
              <w:spacing w:line="360" w:lineRule="auto"/>
              <w:ind w:firstLine="482"/>
              <w:jc w:val="both"/>
              <w:rPr>
                <w:rFonts w:ascii="Times New Roman" w:hAnsi="Times New Roman"/>
                <w:b/>
                <w:bCs/>
                <w:color w:val="auto"/>
                <w:lang w:bidi="ar"/>
              </w:rPr>
            </w:pPr>
            <w:bookmarkStart w:id="26" w:name="_Toc331761882"/>
            <w:bookmarkStart w:id="27" w:name="_Toc339558014"/>
            <w:r>
              <w:rPr>
                <w:rFonts w:ascii="Times New Roman" w:hAnsi="Times New Roman"/>
                <w:b/>
                <w:bCs/>
                <w:color w:val="auto"/>
                <w:lang w:bidi="ar"/>
              </w:rPr>
              <w:t>10. 污染物排放“三本账”</w:t>
            </w:r>
            <w:bookmarkEnd w:id="26"/>
            <w:bookmarkEnd w:id="27"/>
          </w:p>
          <w:p>
            <w:pPr>
              <w:pStyle w:val="66"/>
              <w:spacing w:line="360" w:lineRule="auto"/>
              <w:rPr>
                <w:rFonts w:ascii="Times New Roman" w:hAnsi="Times New Roman"/>
                <w:color w:val="auto"/>
              </w:rPr>
            </w:pPr>
            <w:bookmarkStart w:id="28" w:name="_Hlk71734815"/>
            <w:r>
              <w:rPr>
                <w:rFonts w:ascii="Times New Roman" w:hAnsi="Times New Roman"/>
                <w:color w:val="auto"/>
              </w:rPr>
              <w:t>本项目建成后运行期污染物排放变化情况见表</w:t>
            </w:r>
            <w:r>
              <w:rPr>
                <w:rFonts w:hint="eastAsia" w:ascii="Times New Roman" w:hAnsi="Times New Roman"/>
                <w:color w:val="auto"/>
              </w:rPr>
              <w:t>4-11</w:t>
            </w:r>
            <w:r>
              <w:rPr>
                <w:rFonts w:ascii="Times New Roman" w:hAnsi="Times New Roman"/>
                <w:color w:val="auto"/>
              </w:rPr>
              <w:t>。</w:t>
            </w:r>
          </w:p>
          <w:bookmarkEnd w:id="28"/>
          <w:p>
            <w:pPr>
              <w:jc w:val="center"/>
              <w:rPr>
                <w:rFonts w:ascii="Times New Roman" w:hAnsi="Times New Roman"/>
                <w:b/>
                <w:color w:val="auto"/>
                <w:szCs w:val="21"/>
              </w:rPr>
            </w:pPr>
            <w:r>
              <w:rPr>
                <w:rFonts w:ascii="Times New Roman" w:hAnsi="Times New Roman"/>
                <w:b/>
                <w:color w:val="auto"/>
                <w:szCs w:val="21"/>
              </w:rPr>
              <w:t>表</w:t>
            </w:r>
            <w:r>
              <w:rPr>
                <w:rFonts w:hint="eastAsia" w:ascii="Times New Roman" w:hAnsi="Times New Roman"/>
                <w:b/>
                <w:color w:val="auto"/>
                <w:szCs w:val="21"/>
              </w:rPr>
              <w:t>4-11</w:t>
            </w:r>
            <w:r>
              <w:rPr>
                <w:rFonts w:ascii="Times New Roman" w:hAnsi="Times New Roman"/>
                <w:b/>
                <w:color w:val="auto"/>
                <w:szCs w:val="21"/>
              </w:rPr>
              <w:t xml:space="preserve">  主要污染物排放变化情况表</w:t>
            </w:r>
          </w:p>
          <w:tbl>
            <w:tblPr>
              <w:tblStyle w:val="37"/>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1035"/>
              <w:gridCol w:w="504"/>
              <w:gridCol w:w="661"/>
              <w:gridCol w:w="772"/>
              <w:gridCol w:w="770"/>
              <w:gridCol w:w="770"/>
              <w:gridCol w:w="1256"/>
              <w:gridCol w:w="1190"/>
              <w:gridCol w:w="7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03" w:type="pct"/>
                  <w:gridSpan w:val="2"/>
                  <w:vMerge w:val="restart"/>
                  <w:tcBorders>
                    <w:tl2br w:val="nil"/>
                    <w:tr2bl w:val="nil"/>
                  </w:tcBorders>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项目</w:t>
                  </w:r>
                </w:p>
                <w:p>
                  <w:pPr>
                    <w:spacing w:line="240" w:lineRule="exact"/>
                    <w:jc w:val="center"/>
                    <w:rPr>
                      <w:rFonts w:ascii="Times New Roman" w:hAnsi="Times New Roman"/>
                      <w:color w:val="auto"/>
                      <w:szCs w:val="21"/>
                    </w:rPr>
                  </w:pPr>
                  <w:r>
                    <w:rPr>
                      <w:rFonts w:ascii="Times New Roman" w:hAnsi="Times New Roman"/>
                      <w:color w:val="auto"/>
                      <w:szCs w:val="21"/>
                    </w:rPr>
                    <w:t>类别</w:t>
                  </w:r>
                </w:p>
              </w:tc>
              <w:tc>
                <w:tcPr>
                  <w:tcW w:w="308" w:type="pct"/>
                  <w:vMerge w:val="restar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单位</w:t>
                  </w:r>
                </w:p>
              </w:tc>
              <w:tc>
                <w:tcPr>
                  <w:tcW w:w="876" w:type="pct"/>
                  <w:gridSpan w:val="2"/>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现有工程</w:t>
                  </w:r>
                </w:p>
              </w:tc>
              <w:tc>
                <w:tcPr>
                  <w:tcW w:w="942" w:type="pct"/>
                  <w:gridSpan w:val="2"/>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本项目</w:t>
                  </w:r>
                </w:p>
              </w:tc>
              <w:tc>
                <w:tcPr>
                  <w:tcW w:w="1969" w:type="pct"/>
                  <w:gridSpan w:val="3"/>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总体工程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3" w:type="pct"/>
                  <w:gridSpan w:val="2"/>
                  <w:vMerge w:val="continue"/>
                  <w:tcBorders>
                    <w:tl2br w:val="nil"/>
                    <w:tr2bl w:val="nil"/>
                  </w:tcBorders>
                  <w:tcMar>
                    <w:left w:w="28" w:type="dxa"/>
                    <w:right w:w="28" w:type="dxa"/>
                  </w:tcMar>
                  <w:vAlign w:val="center"/>
                </w:tcPr>
                <w:p>
                  <w:pPr>
                    <w:spacing w:line="240" w:lineRule="exact"/>
                    <w:ind w:firstLine="1680" w:firstLineChars="800"/>
                    <w:jc w:val="center"/>
                    <w:rPr>
                      <w:rFonts w:ascii="Times New Roman" w:hAnsi="Times New Roman"/>
                      <w:color w:val="auto"/>
                      <w:szCs w:val="21"/>
                    </w:rPr>
                  </w:pPr>
                </w:p>
              </w:tc>
              <w:tc>
                <w:tcPr>
                  <w:tcW w:w="308" w:type="pct"/>
                  <w:vMerge w:val="continue"/>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p>
              </w:tc>
              <w:tc>
                <w:tcPr>
                  <w:tcW w:w="404"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产生量</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排放量</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产生量</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排放量</w:t>
                  </w:r>
                </w:p>
              </w:tc>
              <w:tc>
                <w:tcPr>
                  <w:tcW w:w="76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“以新带老”</w:t>
                  </w:r>
                  <w:r>
                    <w:rPr>
                      <w:rFonts w:hint="eastAsia" w:ascii="Times New Roman" w:hAnsi="Times New Roman"/>
                      <w:color w:val="auto"/>
                      <w:szCs w:val="21"/>
                    </w:rPr>
                    <w:t>削</w:t>
                  </w:r>
                  <w:r>
                    <w:rPr>
                      <w:rFonts w:ascii="Times New Roman" w:hAnsi="Times New Roman"/>
                      <w:color w:val="auto"/>
                      <w:szCs w:val="21"/>
                    </w:rPr>
                    <w:t>减量</w:t>
                  </w:r>
                </w:p>
              </w:tc>
              <w:tc>
                <w:tcPr>
                  <w:tcW w:w="72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最终排放</w:t>
                  </w:r>
                  <w:r>
                    <w:rPr>
                      <w:rFonts w:ascii="Times New Roman" w:hAnsi="Times New Roman"/>
                      <w:color w:val="auto"/>
                      <w:szCs w:val="21"/>
                    </w:rPr>
                    <w:t>量</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增减量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 w:type="pct"/>
                  <w:tcBorders>
                    <w:tl2br w:val="nil"/>
                    <w:tr2bl w:val="nil"/>
                  </w:tcBorders>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废气</w:t>
                  </w:r>
                </w:p>
              </w:tc>
              <w:tc>
                <w:tcPr>
                  <w:tcW w:w="633" w:type="pct"/>
                  <w:tcBorders>
                    <w:tl2br w:val="nil"/>
                    <w:tr2bl w:val="nil"/>
                  </w:tcBorders>
                  <w:tcMar>
                    <w:left w:w="28" w:type="dxa"/>
                    <w:right w:w="28" w:type="dxa"/>
                  </w:tcMar>
                  <w:vAlign w:val="center"/>
                </w:tcPr>
                <w:p>
                  <w:pPr>
                    <w:jc w:val="center"/>
                    <w:rPr>
                      <w:rFonts w:ascii="Times New Roman" w:hAnsi="Times New Roman"/>
                      <w:color w:val="auto"/>
                      <w:szCs w:val="21"/>
                    </w:rPr>
                  </w:pPr>
                  <w:r>
                    <w:rPr>
                      <w:rFonts w:ascii="Times New Roman" w:hAnsi="Times New Roman"/>
                      <w:color w:val="auto"/>
                      <w:spacing w:val="-10"/>
                      <w:szCs w:val="21"/>
                    </w:rPr>
                    <w:t>非</w:t>
                  </w:r>
                  <w:r>
                    <w:rPr>
                      <w:rFonts w:hint="eastAsia" w:ascii="Times New Roman" w:hAnsi="Times New Roman"/>
                      <w:color w:val="auto"/>
                      <w:spacing w:val="-10"/>
                      <w:szCs w:val="21"/>
                    </w:rPr>
                    <w:t>甲烷</w:t>
                  </w:r>
                  <w:r>
                    <w:rPr>
                      <w:rFonts w:ascii="Times New Roman" w:hAnsi="Times New Roman"/>
                      <w:color w:val="auto"/>
                      <w:spacing w:val="-10"/>
                      <w:szCs w:val="21"/>
                    </w:rPr>
                    <w:t>总烃</w:t>
                  </w:r>
                </w:p>
              </w:tc>
              <w:tc>
                <w:tcPr>
                  <w:tcW w:w="308" w:type="pct"/>
                  <w:tcBorders>
                    <w:tl2br w:val="nil"/>
                    <w:tr2bl w:val="nil"/>
                  </w:tcBorders>
                  <w:tcMar>
                    <w:left w:w="28" w:type="dxa"/>
                    <w:right w:w="28" w:type="dxa"/>
                  </w:tcMar>
                  <w:vAlign w:val="center"/>
                </w:tcPr>
                <w:p>
                  <w:pPr>
                    <w:jc w:val="center"/>
                    <w:rPr>
                      <w:rFonts w:ascii="Times New Roman" w:hAnsi="Times New Roman"/>
                      <w:color w:val="auto"/>
                      <w:spacing w:val="-6"/>
                      <w:w w:val="90"/>
                      <w:szCs w:val="21"/>
                    </w:rPr>
                  </w:pPr>
                  <w:r>
                    <w:rPr>
                      <w:rFonts w:ascii="Times New Roman" w:hAnsi="Times New Roman"/>
                      <w:color w:val="auto"/>
                      <w:spacing w:val="-6"/>
                      <w:w w:val="90"/>
                      <w:szCs w:val="21"/>
                    </w:rPr>
                    <w:t>t/a</w:t>
                  </w:r>
                </w:p>
              </w:tc>
              <w:tc>
                <w:tcPr>
                  <w:tcW w:w="404"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0.95</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0.95</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3.15</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3.15</w:t>
                  </w:r>
                </w:p>
              </w:tc>
              <w:tc>
                <w:tcPr>
                  <w:tcW w:w="76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0</w:t>
                  </w:r>
                </w:p>
              </w:tc>
              <w:tc>
                <w:tcPr>
                  <w:tcW w:w="728" w:type="pct"/>
                  <w:tcBorders>
                    <w:tl2br w:val="nil"/>
                    <w:tr2bl w:val="nil"/>
                  </w:tcBorders>
                  <w:tcMar>
                    <w:left w:w="28" w:type="dxa"/>
                    <w:right w:w="28" w:type="dxa"/>
                  </w:tcMar>
                  <w:vAlign w:val="center"/>
                </w:tcPr>
                <w:p>
                  <w:pPr>
                    <w:jc w:val="center"/>
                    <w:rPr>
                      <w:rFonts w:ascii="Times New Roman" w:hAnsi="Times New Roman"/>
                      <w:color w:val="auto"/>
                      <w:szCs w:val="21"/>
                    </w:rPr>
                  </w:pPr>
                  <w:r>
                    <w:rPr>
                      <w:rFonts w:hint="eastAsia" w:ascii="Times New Roman" w:hAnsi="Times New Roman"/>
                      <w:color w:val="auto"/>
                      <w:szCs w:val="21"/>
                    </w:rPr>
                    <w:t>4.1</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+3.15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 w:type="pct"/>
                  <w:vMerge w:val="restart"/>
                  <w:tcBorders>
                    <w:tl2br w:val="nil"/>
                    <w:tr2bl w:val="nil"/>
                  </w:tcBorders>
                  <w:tcMar>
                    <w:left w:w="28" w:type="dxa"/>
                    <w:right w:w="28" w:type="dxa"/>
                  </w:tcMar>
                  <w:vAlign w:val="center"/>
                </w:tcPr>
                <w:p>
                  <w:pPr>
                    <w:jc w:val="center"/>
                    <w:rPr>
                      <w:rFonts w:ascii="Times New Roman" w:hAnsi="Times New Roman"/>
                      <w:color w:val="auto"/>
                      <w:szCs w:val="21"/>
                    </w:rPr>
                  </w:pPr>
                  <w:r>
                    <w:rPr>
                      <w:rFonts w:ascii="Times New Roman" w:hAnsi="Times New Roman"/>
                      <w:color w:val="auto"/>
                      <w:szCs w:val="21"/>
                    </w:rPr>
                    <w:t>废水</w:t>
                  </w:r>
                </w:p>
              </w:tc>
              <w:tc>
                <w:tcPr>
                  <w:tcW w:w="633" w:type="pct"/>
                  <w:tcBorders>
                    <w:tl2br w:val="nil"/>
                    <w:tr2bl w:val="nil"/>
                  </w:tcBorders>
                  <w:tcMar>
                    <w:left w:w="28" w:type="dxa"/>
                    <w:right w:w="28" w:type="dxa"/>
                  </w:tcMar>
                  <w:vAlign w:val="center"/>
                </w:tcPr>
                <w:p>
                  <w:pPr>
                    <w:jc w:val="center"/>
                    <w:rPr>
                      <w:rFonts w:ascii="Times New Roman" w:hAnsi="Times New Roman"/>
                      <w:color w:val="auto"/>
                      <w:spacing w:val="-10"/>
                      <w:szCs w:val="21"/>
                    </w:rPr>
                  </w:pPr>
                  <w:r>
                    <w:rPr>
                      <w:rFonts w:ascii="Times New Roman" w:hAnsi="Times New Roman"/>
                      <w:color w:val="auto"/>
                      <w:spacing w:val="-10"/>
                      <w:szCs w:val="21"/>
                    </w:rPr>
                    <w:t>井下作业</w:t>
                  </w:r>
                </w:p>
                <w:p>
                  <w:pPr>
                    <w:jc w:val="center"/>
                    <w:rPr>
                      <w:rFonts w:ascii="Times New Roman" w:hAnsi="Times New Roman"/>
                      <w:color w:val="auto"/>
                      <w:szCs w:val="21"/>
                    </w:rPr>
                  </w:pPr>
                  <w:r>
                    <w:rPr>
                      <w:rFonts w:ascii="Times New Roman" w:hAnsi="Times New Roman"/>
                      <w:color w:val="auto"/>
                      <w:spacing w:val="-10"/>
                      <w:szCs w:val="21"/>
                    </w:rPr>
                    <w:t>废水</w:t>
                  </w:r>
                </w:p>
              </w:tc>
              <w:tc>
                <w:tcPr>
                  <w:tcW w:w="308" w:type="pct"/>
                  <w:tcBorders>
                    <w:tl2br w:val="nil"/>
                    <w:tr2bl w:val="nil"/>
                  </w:tcBorders>
                  <w:tcMar>
                    <w:left w:w="28" w:type="dxa"/>
                    <w:right w:w="28" w:type="dxa"/>
                  </w:tcMar>
                  <w:vAlign w:val="center"/>
                </w:tcPr>
                <w:p>
                  <w:pPr>
                    <w:jc w:val="center"/>
                    <w:rPr>
                      <w:rFonts w:ascii="Times New Roman" w:hAnsi="Times New Roman"/>
                      <w:color w:val="auto"/>
                      <w:spacing w:val="-6"/>
                      <w:w w:val="90"/>
                      <w:szCs w:val="21"/>
                    </w:rPr>
                  </w:pPr>
                  <w:r>
                    <w:rPr>
                      <w:rFonts w:ascii="Times New Roman" w:hAnsi="Times New Roman"/>
                      <w:color w:val="auto"/>
                      <w:spacing w:val="-6"/>
                      <w:w w:val="90"/>
                      <w:szCs w:val="21"/>
                    </w:rPr>
                    <w:t>t/a</w:t>
                  </w:r>
                </w:p>
              </w:tc>
              <w:tc>
                <w:tcPr>
                  <w:tcW w:w="404"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494.79</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0</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570.91</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76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ascii="Times New Roman" w:hAnsi="Times New Roman"/>
                      <w:color w:val="auto"/>
                      <w:szCs w:val="21"/>
                    </w:rPr>
                    <w:t>0</w:t>
                  </w:r>
                </w:p>
              </w:tc>
              <w:tc>
                <w:tcPr>
                  <w:tcW w:w="72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 w:type="pct"/>
                  <w:vMerge w:val="continue"/>
                  <w:tcBorders>
                    <w:tl2br w:val="nil"/>
                    <w:tr2bl w:val="nil"/>
                  </w:tcBorders>
                  <w:tcMar>
                    <w:left w:w="28" w:type="dxa"/>
                    <w:right w:w="28" w:type="dxa"/>
                  </w:tcMar>
                  <w:vAlign w:val="center"/>
                </w:tcPr>
                <w:p>
                  <w:pPr>
                    <w:jc w:val="center"/>
                    <w:rPr>
                      <w:rFonts w:ascii="Times New Roman" w:hAnsi="Times New Roman"/>
                      <w:color w:val="auto"/>
                      <w:szCs w:val="21"/>
                    </w:rPr>
                  </w:pPr>
                </w:p>
              </w:tc>
              <w:tc>
                <w:tcPr>
                  <w:tcW w:w="633" w:type="pct"/>
                  <w:tcBorders>
                    <w:tl2br w:val="nil"/>
                    <w:tr2bl w:val="nil"/>
                  </w:tcBorders>
                  <w:tcMar>
                    <w:left w:w="28" w:type="dxa"/>
                    <w:right w:w="28" w:type="dxa"/>
                  </w:tcMar>
                  <w:vAlign w:val="center"/>
                </w:tcPr>
                <w:p>
                  <w:pPr>
                    <w:jc w:val="center"/>
                    <w:rPr>
                      <w:rFonts w:ascii="Times New Roman" w:hAnsi="Times New Roman"/>
                      <w:color w:val="auto"/>
                      <w:szCs w:val="21"/>
                    </w:rPr>
                  </w:pPr>
                  <w:r>
                    <w:rPr>
                      <w:rFonts w:hint="eastAsia" w:ascii="Times New Roman" w:hAnsi="Times New Roman"/>
                      <w:color w:val="auto"/>
                      <w:szCs w:val="21"/>
                    </w:rPr>
                    <w:t>采出水</w:t>
                  </w:r>
                </w:p>
              </w:tc>
              <w:tc>
                <w:tcPr>
                  <w:tcW w:w="308" w:type="pct"/>
                  <w:tcBorders>
                    <w:tl2br w:val="nil"/>
                    <w:tr2bl w:val="nil"/>
                  </w:tcBorders>
                  <w:tcMar>
                    <w:left w:w="28" w:type="dxa"/>
                    <w:right w:w="28" w:type="dxa"/>
                  </w:tcMar>
                  <w:vAlign w:val="center"/>
                </w:tcPr>
                <w:p>
                  <w:pPr>
                    <w:jc w:val="center"/>
                    <w:rPr>
                      <w:rFonts w:ascii="Times New Roman" w:hAnsi="Times New Roman"/>
                      <w:color w:val="auto"/>
                      <w:spacing w:val="-6"/>
                      <w:w w:val="90"/>
                      <w:szCs w:val="21"/>
                    </w:rPr>
                  </w:pPr>
                  <w:r>
                    <w:rPr>
                      <w:rFonts w:ascii="Times New Roman" w:hAnsi="Times New Roman"/>
                      <w:color w:val="auto"/>
                      <w:spacing w:val="-6"/>
                      <w:w w:val="90"/>
                      <w:szCs w:val="21"/>
                    </w:rPr>
                    <w:t>万t/a</w:t>
                  </w:r>
                </w:p>
              </w:tc>
              <w:tc>
                <w:tcPr>
                  <w:tcW w:w="404"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3.24</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2.76</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76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72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0" w:type="pct"/>
                  <w:tcBorders>
                    <w:tl2br w:val="nil"/>
                    <w:tr2bl w:val="nil"/>
                  </w:tcBorders>
                  <w:tcMar>
                    <w:left w:w="28" w:type="dxa"/>
                    <w:right w:w="28" w:type="dxa"/>
                  </w:tcMar>
                  <w:vAlign w:val="center"/>
                </w:tcPr>
                <w:p>
                  <w:pPr>
                    <w:jc w:val="center"/>
                    <w:rPr>
                      <w:rFonts w:ascii="Times New Roman" w:hAnsi="Times New Roman"/>
                      <w:color w:val="auto"/>
                      <w:szCs w:val="21"/>
                    </w:rPr>
                  </w:pPr>
                  <w:r>
                    <w:rPr>
                      <w:rFonts w:hint="eastAsia" w:ascii="Times New Roman" w:hAnsi="Times New Roman"/>
                      <w:color w:val="auto"/>
                      <w:szCs w:val="21"/>
                    </w:rPr>
                    <w:t>固体废物</w:t>
                  </w:r>
                </w:p>
              </w:tc>
              <w:tc>
                <w:tcPr>
                  <w:tcW w:w="633" w:type="pct"/>
                  <w:tcBorders>
                    <w:tl2br w:val="nil"/>
                    <w:tr2bl w:val="nil"/>
                  </w:tcBorders>
                  <w:tcMar>
                    <w:left w:w="28" w:type="dxa"/>
                    <w:right w:w="28" w:type="dxa"/>
                  </w:tcMar>
                  <w:vAlign w:val="center"/>
                </w:tcPr>
                <w:p>
                  <w:pPr>
                    <w:jc w:val="center"/>
                    <w:rPr>
                      <w:rFonts w:ascii="Times New Roman" w:hAnsi="Times New Roman"/>
                      <w:color w:val="auto"/>
                      <w:spacing w:val="-10"/>
                      <w:szCs w:val="21"/>
                    </w:rPr>
                  </w:pPr>
                  <w:r>
                    <w:rPr>
                      <w:rFonts w:hint="eastAsia" w:ascii="Times New Roman" w:hAnsi="Times New Roman"/>
                      <w:color w:val="auto"/>
                      <w:szCs w:val="21"/>
                    </w:rPr>
                    <w:t>落地油</w:t>
                  </w:r>
                </w:p>
              </w:tc>
              <w:tc>
                <w:tcPr>
                  <w:tcW w:w="308" w:type="pct"/>
                  <w:tcBorders>
                    <w:tl2br w:val="nil"/>
                    <w:tr2bl w:val="nil"/>
                  </w:tcBorders>
                  <w:tcMar>
                    <w:left w:w="28" w:type="dxa"/>
                    <w:right w:w="28" w:type="dxa"/>
                  </w:tcMar>
                  <w:vAlign w:val="center"/>
                </w:tcPr>
                <w:p>
                  <w:pPr>
                    <w:jc w:val="center"/>
                    <w:rPr>
                      <w:rFonts w:ascii="Times New Roman" w:hAnsi="Times New Roman"/>
                      <w:color w:val="auto"/>
                      <w:spacing w:val="-6"/>
                      <w:w w:val="90"/>
                      <w:szCs w:val="21"/>
                    </w:rPr>
                  </w:pPr>
                  <w:r>
                    <w:rPr>
                      <w:rFonts w:ascii="Times New Roman" w:hAnsi="Times New Roman"/>
                      <w:color w:val="auto"/>
                      <w:spacing w:val="-6"/>
                      <w:w w:val="90"/>
                      <w:szCs w:val="21"/>
                    </w:rPr>
                    <w:t>t/a</w:t>
                  </w:r>
                </w:p>
              </w:tc>
              <w:tc>
                <w:tcPr>
                  <w:tcW w:w="404"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w:t>
                  </w:r>
                </w:p>
              </w:tc>
              <w:tc>
                <w:tcPr>
                  <w:tcW w:w="471"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76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728"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c>
                <w:tcPr>
                  <w:tcW w:w="472" w:type="pct"/>
                  <w:tcBorders>
                    <w:tl2br w:val="nil"/>
                    <w:tr2bl w:val="nil"/>
                  </w:tcBorders>
                  <w:tcMar>
                    <w:left w:w="28" w:type="dxa"/>
                    <w:right w:w="28" w:type="dxa"/>
                  </w:tcMar>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0</w:t>
                  </w:r>
                </w:p>
              </w:tc>
            </w:tr>
          </w:tbl>
          <w:p>
            <w:pPr>
              <w:pStyle w:val="48"/>
              <w:spacing w:line="360" w:lineRule="auto"/>
              <w:ind w:firstLine="480"/>
              <w:jc w:val="both"/>
              <w:rPr>
                <w:rFonts w:ascii="Times New Roman" w:hAnsi="Times New Roman"/>
                <w:color w:val="auto"/>
              </w:rPr>
            </w:pPr>
          </w:p>
          <w:p>
            <w:pPr>
              <w:pStyle w:val="48"/>
              <w:spacing w:line="360" w:lineRule="auto"/>
              <w:ind w:firstLine="480"/>
              <w:jc w:val="both"/>
              <w:rPr>
                <w:rFonts w:ascii="Times New Roman" w:hAnsi="Times New Roman"/>
                <w:color w:val="auto"/>
              </w:rPr>
            </w:pPr>
          </w:p>
          <w:p>
            <w:pPr>
              <w:pStyle w:val="48"/>
              <w:spacing w:line="360" w:lineRule="auto"/>
              <w:ind w:firstLine="480"/>
              <w:jc w:val="both"/>
              <w:rPr>
                <w:rFonts w:ascii="Times New Roman" w:hAnsi="Times New Roman"/>
                <w:color w:val="auto"/>
              </w:rPr>
            </w:pPr>
          </w:p>
          <w:p>
            <w:pPr>
              <w:pStyle w:val="48"/>
              <w:spacing w:line="360" w:lineRule="auto"/>
              <w:ind w:firstLine="480"/>
              <w:jc w:val="both"/>
              <w:rPr>
                <w:rFonts w:ascii="Times New Roman" w:hAnsi="Times New Roman"/>
                <w:color w:val="auto"/>
              </w:rPr>
            </w:pPr>
          </w:p>
          <w:p>
            <w:pPr>
              <w:pStyle w:val="48"/>
              <w:spacing w:line="360" w:lineRule="auto"/>
              <w:ind w:firstLine="480"/>
              <w:jc w:val="both"/>
              <w:rPr>
                <w:rFonts w:ascii="Times New Roman" w:hAnsi="Times New Roman"/>
                <w:color w:val="auto"/>
              </w:rPr>
            </w:pPr>
          </w:p>
          <w:p>
            <w:pPr>
              <w:pStyle w:val="48"/>
              <w:spacing w:line="360" w:lineRule="auto"/>
              <w:ind w:firstLine="480"/>
              <w:jc w:val="both"/>
              <w:rPr>
                <w:rFonts w:ascii="Times New Roman" w:hAnsi="Times New Roman"/>
                <w:color w:val="auto"/>
              </w:rPr>
            </w:pPr>
          </w:p>
          <w:p>
            <w:pPr>
              <w:pStyle w:val="48"/>
              <w:spacing w:line="360" w:lineRule="auto"/>
              <w:ind w:firstLine="480"/>
              <w:jc w:val="both"/>
              <w:rPr>
                <w:rFonts w:ascii="Times New Roman" w:hAnsi="Times New Roman"/>
                <w:color w:val="auto"/>
              </w:rPr>
            </w:pPr>
          </w:p>
          <w:p>
            <w:pPr>
              <w:pStyle w:val="48"/>
              <w:spacing w:line="360" w:lineRule="auto"/>
              <w:ind w:firstLine="0" w:firstLineChars="0"/>
              <w:jc w:val="both"/>
              <w:rPr>
                <w:rFonts w:ascii="Times New Roman" w:hAnsi="Times New Roman"/>
                <w:color w:val="auto"/>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75" w:hRule="atLeast"/>
          <w:jc w:val="center"/>
        </w:trPr>
        <w:tc>
          <w:tcPr>
            <w:tcW w:w="239" w:type="pct"/>
            <w:shd w:val="clear" w:color="auto" w:fill="auto"/>
            <w:vAlign w:val="center"/>
          </w:tcPr>
          <w:p>
            <w:pPr>
              <w:pStyle w:val="33"/>
              <w:adjustRightInd w:val="0"/>
              <w:snapToGrid w:val="0"/>
              <w:spacing w:before="0" w:beforeAutospacing="0" w:after="0" w:afterAutospacing="0"/>
              <w:jc w:val="center"/>
              <w:rPr>
                <w:rFonts w:ascii="Times New Roman" w:hAnsi="Times New Roman"/>
                <w:bCs/>
                <w:color w:val="auto"/>
                <w:kern w:val="2"/>
              </w:rPr>
            </w:pPr>
            <w:r>
              <w:rPr>
                <w:rFonts w:ascii="Times New Roman" w:hAnsi="Times New Roman"/>
                <w:bCs/>
                <w:color w:val="auto"/>
                <w:kern w:val="2"/>
              </w:rPr>
              <w:t>选址选线环境合理性分析</w:t>
            </w:r>
          </w:p>
        </w:tc>
        <w:tc>
          <w:tcPr>
            <w:tcW w:w="4761" w:type="pct"/>
            <w:shd w:val="clear" w:color="auto" w:fill="auto"/>
            <w:vAlign w:val="center"/>
          </w:tcPr>
          <w:p>
            <w:pPr>
              <w:spacing w:line="360" w:lineRule="auto"/>
              <w:ind w:firstLine="480" w:firstLineChars="200"/>
              <w:jc w:val="both"/>
              <w:rPr>
                <w:rFonts w:ascii="Times New Roman" w:hAnsi="Times New Roman"/>
                <w:b/>
                <w:bCs/>
                <w:color w:val="auto"/>
                <w:sz w:val="24"/>
              </w:rPr>
            </w:pPr>
            <w:r>
              <w:rPr>
                <w:rStyle w:val="42"/>
                <w:rFonts w:hint="eastAsia"/>
                <w:color w:val="auto"/>
                <w:sz w:val="24"/>
              </w:rPr>
              <w:t>本</w:t>
            </w:r>
            <w:r>
              <w:rPr>
                <w:rFonts w:hint="eastAsia" w:ascii="Times New Roman" w:hAnsi="Times New Roman"/>
                <w:color w:val="auto"/>
                <w:sz w:val="24"/>
              </w:rPr>
              <w:t>项目位于春光油田井区，属于规划油区范围内，</w:t>
            </w:r>
            <w:r>
              <w:rPr>
                <w:rStyle w:val="42"/>
                <w:rFonts w:hint="eastAsia"/>
                <w:color w:val="auto"/>
                <w:sz w:val="24"/>
              </w:rPr>
              <w:t>占地</w:t>
            </w:r>
            <w:r>
              <w:rPr>
                <w:rFonts w:ascii="Times New Roman" w:hAnsi="Times New Roman"/>
                <w:bCs/>
                <w:color w:val="auto"/>
                <w:sz w:val="24"/>
                <w:lang w:bidi="ar"/>
              </w:rPr>
              <w:t>属于一般农田，主要种植棉田，场址处地势平坦，</w:t>
            </w:r>
            <w:r>
              <w:rPr>
                <w:rFonts w:ascii="Times New Roman" w:hAnsi="Times New Roman"/>
                <w:color w:val="auto"/>
                <w:sz w:val="24"/>
                <w:lang w:bidi="ar"/>
              </w:rPr>
              <w:t>周边无自然保护区、风景名胜区、水源保护区等环境保护目标</w:t>
            </w:r>
            <w:r>
              <w:rPr>
                <w:rFonts w:ascii="Times New Roman" w:hAnsi="Times New Roman"/>
                <w:bCs/>
                <w:color w:val="auto"/>
                <w:sz w:val="24"/>
                <w:lang w:bidi="ar"/>
              </w:rPr>
              <w:t>。</w:t>
            </w:r>
            <w:r>
              <w:rPr>
                <w:rFonts w:ascii="Times New Roman" w:hAnsi="Times New Roman"/>
                <w:color w:val="auto"/>
                <w:sz w:val="24"/>
                <w:shd w:val="clear" w:color="auto" w:fill="FFFFFF"/>
              </w:rPr>
              <w:t>本项目各采油井位选择时，按照《石油天然气钻井井控技术规范》（GB/T31033-2014）的要求，</w:t>
            </w:r>
            <w:r>
              <w:rPr>
                <w:rFonts w:hint="eastAsia" w:ascii="Times New Roman" w:hAnsi="Times New Roman"/>
                <w:color w:val="auto"/>
                <w:sz w:val="24"/>
                <w:shd w:val="clear" w:color="auto" w:fill="FFFFFF"/>
              </w:rPr>
              <w:t>油井井口</w:t>
            </w:r>
            <w:r>
              <w:rPr>
                <w:rFonts w:ascii="Times New Roman" w:hAnsi="Times New Roman"/>
                <w:color w:val="auto"/>
                <w:sz w:val="24"/>
                <w:shd w:val="clear" w:color="auto" w:fill="FFFFFF"/>
              </w:rPr>
              <w:t>距</w:t>
            </w:r>
            <w:r>
              <w:rPr>
                <w:rFonts w:hint="eastAsia" w:ascii="Times New Roman" w:hAnsi="Times New Roman"/>
                <w:color w:val="auto"/>
                <w:sz w:val="24"/>
                <w:shd w:val="clear" w:color="auto" w:fill="FFFFFF"/>
              </w:rPr>
              <w:t>民宅不小</w:t>
            </w:r>
            <w:r>
              <w:rPr>
                <w:rFonts w:ascii="Times New Roman" w:hAnsi="Times New Roman"/>
                <w:color w:val="auto"/>
                <w:sz w:val="24"/>
                <w:shd w:val="clear" w:color="auto" w:fill="FFFFFF"/>
              </w:rPr>
              <w:t>于100m，</w:t>
            </w:r>
            <w:r>
              <w:rPr>
                <w:rFonts w:hint="eastAsia" w:ascii="Times New Roman" w:hAnsi="Times New Roman"/>
                <w:color w:val="auto"/>
                <w:sz w:val="24"/>
                <w:shd w:val="clear" w:color="auto" w:fill="FFFFFF"/>
              </w:rPr>
              <w:t>春99区块春99-2、春99-3、春99-4、春99-5号井距离民宅最近距离50m，井位周边100m范围内的居民建议搬迁（约10户）。</w:t>
            </w:r>
          </w:p>
          <w:p>
            <w:pPr>
              <w:spacing w:line="360" w:lineRule="auto"/>
              <w:ind w:firstLine="480" w:firstLineChars="200"/>
              <w:jc w:val="both"/>
              <w:rPr>
                <w:rFonts w:ascii="Times New Roman" w:hAnsi="Times New Roman"/>
                <w:color w:val="auto"/>
                <w:sz w:val="24"/>
                <w:shd w:val="clear" w:color="auto" w:fill="FFFFFF"/>
              </w:rPr>
            </w:pPr>
            <w:r>
              <w:rPr>
                <w:rFonts w:ascii="Times New Roman" w:hAnsi="Times New Roman"/>
                <w:color w:val="auto"/>
                <w:sz w:val="24"/>
                <w:shd w:val="clear" w:color="auto" w:fill="FFFFFF"/>
              </w:rPr>
              <w:t>项目建设15口采油井均占用耕地，由于资源开发工程具有特定地域的特殊性，因此本项目按工艺流程进行优化组合，布置紧凑。项目各井场、道路、管线永久占地和临时占地规模均从土地资源节约方面考虑，尽可能缩小占地面积和作业带宽度。新建集输管线采用串接至最近的管网，减少管线开挖长度，严格控制管线占地面积；在管线开挖过程中，采取分层开挖、分层堆放、分层回填，减少对地表土壤、植被的扰动范围；为了尽量减少对当地地形地貌的破坏和扰动，充分利用现有道路交通。一般农用地征用应按照地方有关工程征地补偿标准进行补偿。从农田保护和项目开发占地上来看，井场、管线和道路等的施工不占用基本农田，项目选址选线基本合理。</w:t>
            </w:r>
          </w:p>
          <w:p>
            <w:pPr>
              <w:spacing w:line="360" w:lineRule="auto"/>
              <w:ind w:firstLine="480" w:firstLineChars="200"/>
              <w:jc w:val="both"/>
              <w:rPr>
                <w:rFonts w:ascii="Times New Roman" w:hAnsi="Times New Roman"/>
                <w:color w:val="auto"/>
                <w:sz w:val="24"/>
              </w:rPr>
            </w:pPr>
            <w:r>
              <w:rPr>
                <w:rFonts w:ascii="Times New Roman" w:hAnsi="Times New Roman"/>
                <w:bCs/>
                <w:color w:val="auto"/>
                <w:sz w:val="24"/>
                <w:lang w:bidi="ar"/>
              </w:rPr>
              <w:t>项目所处位置有利于社会资源的依托，不存在环境制约因素，选址合理，项目建设满足生态保护红线的要求。</w:t>
            </w:r>
            <w:r>
              <w:rPr>
                <w:rFonts w:hint="eastAsia" w:ascii="Times New Roman" w:hAnsi="Times New Roman"/>
                <w:color w:val="auto"/>
                <w:sz w:val="24"/>
              </w:rPr>
              <w:t>建成后所在区域的环境功能不会发生改变，对环境的影响属可接受的范围，项目的选址、选线从环保角度认为可行。</w:t>
            </w:r>
          </w:p>
        </w:tc>
      </w:tr>
    </w:tbl>
    <w:p>
      <w:pPr>
        <w:pStyle w:val="33"/>
        <w:ind w:firstLine="295"/>
        <w:jc w:val="center"/>
        <w:rPr>
          <w:rFonts w:ascii="Times New Roman" w:hAnsi="Times New Roman" w:eastAsia="黑体"/>
          <w:snapToGrid w:val="0"/>
          <w:sz w:val="36"/>
          <w:szCs w:val="36"/>
        </w:rPr>
        <w:sectPr>
          <w:pgSz w:w="11906" w:h="16838"/>
          <w:pgMar w:top="1417" w:right="1587" w:bottom="1417" w:left="1587" w:header="851" w:footer="1077" w:gutter="0"/>
          <w:cols w:space="720" w:num="1"/>
          <w:docGrid w:linePitch="312" w:charSpace="0"/>
        </w:sectPr>
      </w:pPr>
    </w:p>
    <w:p>
      <w:pPr>
        <w:pStyle w:val="33"/>
        <w:spacing w:before="0" w:beforeAutospacing="0" w:after="0" w:afterAutospacing="0"/>
        <w:ind w:firstLine="24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29" w:name="_Hlk68550243"/>
      <w:r>
        <w:rPr>
          <w:rFonts w:ascii="Times New Roman" w:hAnsi="Times New Roman" w:eastAsia="黑体"/>
          <w:snapToGrid w:val="0"/>
          <w:sz w:val="30"/>
          <w:szCs w:val="30"/>
        </w:rPr>
        <w:t>主要生态环境保护措施</w:t>
      </w:r>
      <w:bookmarkEnd w:id="29"/>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8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tcMar>
              <w:left w:w="28" w:type="dxa"/>
              <w:right w:w="28" w:type="dxa"/>
            </w:tcMar>
            <w:vAlign w:val="center"/>
          </w:tcPr>
          <w:p>
            <w:pPr>
              <w:adjustRightInd w:val="0"/>
              <w:snapToGrid w:val="0"/>
              <w:jc w:val="center"/>
              <w:rPr>
                <w:rFonts w:ascii="Times New Roman" w:hAnsi="Times New Roman"/>
                <w:bCs/>
                <w:color w:val="auto"/>
                <w:sz w:val="24"/>
              </w:rPr>
            </w:pPr>
            <w:r>
              <w:rPr>
                <w:rFonts w:ascii="Times New Roman" w:hAnsi="Times New Roman"/>
                <w:bCs/>
                <w:color w:val="auto"/>
                <w:spacing w:val="10"/>
                <w:sz w:val="24"/>
              </w:rPr>
              <w:t>施工期生态环境保护措施</w:t>
            </w:r>
          </w:p>
        </w:tc>
        <w:tc>
          <w:tcPr>
            <w:tcW w:w="8295" w:type="dxa"/>
          </w:tcPr>
          <w:p>
            <w:pPr>
              <w:pStyle w:val="48"/>
              <w:spacing w:line="496" w:lineRule="exact"/>
              <w:ind w:firstLine="482"/>
              <w:jc w:val="both"/>
              <w:rPr>
                <w:rFonts w:ascii="Times New Roman" w:hAnsi="Times New Roman"/>
                <w:b/>
                <w:color w:val="auto"/>
              </w:rPr>
            </w:pPr>
            <w:bookmarkStart w:id="30" w:name="_Toc489544247"/>
            <w:bookmarkStart w:id="31" w:name="_Toc489542150"/>
            <w:bookmarkStart w:id="32" w:name="_Toc489870752"/>
            <w:bookmarkStart w:id="33" w:name="_Toc489544371"/>
            <w:bookmarkStart w:id="34" w:name="_Toc489890022"/>
            <w:bookmarkStart w:id="35" w:name="_Toc497066512"/>
            <w:bookmarkStart w:id="36" w:name="_Hlk68550698"/>
            <w:r>
              <w:rPr>
                <w:rFonts w:ascii="Times New Roman" w:hAnsi="Times New Roman"/>
                <w:b/>
                <w:color w:val="auto"/>
              </w:rPr>
              <w:t>1</w:t>
            </w:r>
            <w:r>
              <w:rPr>
                <w:rFonts w:hint="eastAsia" w:ascii="Times New Roman" w:hAnsi="Times New Roman"/>
                <w:b/>
                <w:color w:val="auto"/>
              </w:rPr>
              <w:t>．</w:t>
            </w:r>
            <w:r>
              <w:rPr>
                <w:rFonts w:ascii="Times New Roman" w:hAnsi="Times New Roman"/>
                <w:b/>
                <w:color w:val="auto"/>
                <w:kern w:val="0"/>
              </w:rPr>
              <w:t>施工期</w:t>
            </w:r>
            <w:r>
              <w:rPr>
                <w:rFonts w:ascii="Times New Roman" w:hAnsi="Times New Roman"/>
                <w:b/>
                <w:color w:val="auto"/>
              </w:rPr>
              <w:t>生态环境保护措施</w:t>
            </w:r>
            <w:bookmarkEnd w:id="30"/>
            <w:bookmarkEnd w:id="31"/>
            <w:bookmarkEnd w:id="32"/>
            <w:bookmarkEnd w:id="33"/>
            <w:bookmarkEnd w:id="34"/>
            <w:bookmarkEnd w:id="35"/>
            <w:r>
              <w:rPr>
                <w:rStyle w:val="42"/>
                <w:rFonts w:hint="eastAsia" w:ascii="Calibri" w:hAnsi="Calibri"/>
                <w:b/>
                <w:color w:val="auto"/>
                <w:kern w:val="0"/>
                <w:sz w:val="24"/>
              </w:rPr>
              <w:t>及恢复措施</w:t>
            </w:r>
          </w:p>
          <w:p>
            <w:pPr>
              <w:pStyle w:val="48"/>
              <w:spacing w:line="360" w:lineRule="auto"/>
              <w:ind w:firstLine="480"/>
              <w:jc w:val="both"/>
              <w:rPr>
                <w:rFonts w:ascii="Times New Roman" w:hAnsi="Times New Roman"/>
                <w:color w:val="auto"/>
              </w:rPr>
            </w:pPr>
            <w:bookmarkStart w:id="37" w:name="_Hlk68516376"/>
            <w:r>
              <w:rPr>
                <w:rFonts w:ascii="Times New Roman" w:hAnsi="Times New Roman"/>
                <w:bCs/>
                <w:color w:val="auto"/>
              </w:rPr>
              <w:t>（1）</w:t>
            </w:r>
            <w:r>
              <w:rPr>
                <w:rFonts w:ascii="Times New Roman" w:hAnsi="Times New Roman"/>
                <w:color w:val="auto"/>
              </w:rPr>
              <w:t>井场</w:t>
            </w:r>
            <w:r>
              <w:rPr>
                <w:rFonts w:hint="eastAsia" w:ascii="Times New Roman" w:hAnsi="Times New Roman"/>
                <w:color w:val="auto"/>
              </w:rPr>
              <w:t>生态环境保护措施</w:t>
            </w:r>
          </w:p>
          <w:p>
            <w:pPr>
              <w:pStyle w:val="48"/>
              <w:spacing w:line="360" w:lineRule="auto"/>
              <w:ind w:firstLine="480"/>
              <w:jc w:val="both"/>
              <w:rPr>
                <w:rFonts w:ascii="Times New Roman" w:hAnsi="Times New Roman"/>
                <w:bCs/>
                <w:color w:val="auto"/>
              </w:rPr>
            </w:pPr>
            <w:r>
              <w:rPr>
                <w:rFonts w:ascii="Times New Roman" w:hAnsi="Times New Roman"/>
                <w:bCs/>
                <w:color w:val="auto"/>
              </w:rPr>
              <w:t>根据估算，各项工程的永久性占地面积为28920m</w:t>
            </w:r>
            <w:r>
              <w:rPr>
                <w:rFonts w:ascii="Times New Roman" w:hAnsi="Times New Roman"/>
                <w:bCs/>
                <w:color w:val="auto"/>
                <w:vertAlign w:val="superscript"/>
              </w:rPr>
              <w:t>2</w:t>
            </w:r>
            <w:r>
              <w:rPr>
                <w:rFonts w:ascii="Times New Roman" w:hAnsi="Times New Roman"/>
                <w:bCs/>
                <w:color w:val="auto"/>
              </w:rPr>
              <w:t>，临时占地面积12000m</w:t>
            </w:r>
            <w:r>
              <w:rPr>
                <w:rFonts w:ascii="Times New Roman" w:hAnsi="Times New Roman"/>
                <w:bCs/>
                <w:color w:val="auto"/>
                <w:vertAlign w:val="superscript"/>
              </w:rPr>
              <w:t>2</w:t>
            </w:r>
            <w:r>
              <w:rPr>
                <w:rFonts w:ascii="Times New Roman" w:hAnsi="Times New Roman"/>
                <w:bCs/>
                <w:color w:val="auto"/>
              </w:rPr>
              <w:t>，工程占地类型为一般农田。</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①严格遵守国家和地方有关动植物保护和防治水土流失等环境保护法律法规，最大限度的减少占地产生的不利影响，减少对土壤的扰动、植被破坏，减少水土流失。</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②严格控制施工范围，在临时占地范围内进行施工作业。</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③充分利用区域现有道路，严格控制施工车辆、机械及施工人员活动范围，尽量减小便道占地和对地表植被的影响，临时便道应严格控制宽度，并应指定车辆的行驶路线，尽量减小便道占地和对地表植被的影响。</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④对区域内采油井场的永久性占地合理规划，严格控制施工区域，将临时占地面积控制在最低。井场、管线及道路尽量选择在植被稀少的区域布点。</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⑤井场施工在开挖地表、平整土地时，临时堆土必须进行拦挡，施工完毕，应尽快整理施工现场，对井场永久占地地表进行砾石压盖，防止由于地表扰动造成的水土流失。</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⑥工程结束后，建设单位应承担恢复生态的责任。</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⑦工程选址选线及占地应避开植被覆盖度较高的区域，尽量减少对自然植被的践踏破坏。</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⑧施工中应严格按照环境管理要求，井场建设、池体开挖等土方作业应避开大风天气；施工后期，及时做好施工迹地的清理工作。做好施工后期的迹地</w:t>
            </w:r>
          </w:p>
          <w:p>
            <w:pPr>
              <w:pStyle w:val="48"/>
              <w:spacing w:line="360" w:lineRule="auto"/>
              <w:ind w:firstLine="0" w:firstLineChars="0"/>
              <w:jc w:val="both"/>
              <w:rPr>
                <w:rFonts w:ascii="Times New Roman" w:hAnsi="Times New Roman"/>
                <w:bCs/>
                <w:color w:val="auto"/>
              </w:rPr>
            </w:pPr>
            <w:r>
              <w:rPr>
                <w:rFonts w:hint="eastAsia" w:ascii="Times New Roman" w:hAnsi="Times New Roman"/>
                <w:bCs/>
                <w:color w:val="auto"/>
              </w:rPr>
              <w:t>恢复工作，包括土地平整，创造局部小环境以利于植被的恢复等。</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⑨占地征用及补偿应按照地方有关工程征地及补偿要求进行，由土地管理部门许可后方可开工建设。工程结束后，建设单位还应承担恢复生态的责任。</w:t>
            </w:r>
          </w:p>
          <w:p>
            <w:pPr>
              <w:pStyle w:val="48"/>
              <w:spacing w:line="360" w:lineRule="auto"/>
              <w:ind w:firstLine="480"/>
              <w:jc w:val="both"/>
              <w:rPr>
                <w:rFonts w:ascii="Times New Roman" w:hAnsi="Times New Roman"/>
                <w:bCs/>
                <w:color w:val="auto"/>
              </w:rPr>
            </w:pPr>
            <w:r>
              <w:rPr>
                <w:rFonts w:ascii="Times New Roman" w:hAnsi="Times New Roman"/>
                <w:bCs/>
                <w:color w:val="auto"/>
              </w:rPr>
              <w:fldChar w:fldCharType="begin"/>
            </w:r>
            <w:r>
              <w:rPr>
                <w:rFonts w:ascii="Times New Roman" w:hAnsi="Times New Roman"/>
                <w:bCs/>
                <w:color w:val="auto"/>
              </w:rPr>
              <w:instrText xml:space="preserve"> </w:instrText>
            </w:r>
            <w:r>
              <w:rPr>
                <w:rFonts w:hint="eastAsia" w:ascii="Times New Roman" w:hAnsi="Times New Roman"/>
                <w:bCs/>
                <w:color w:val="auto"/>
              </w:rPr>
              <w:instrText xml:space="preserve">= 10 \* GB3</w:instrText>
            </w:r>
            <w:r>
              <w:rPr>
                <w:rFonts w:ascii="Times New Roman" w:hAnsi="Times New Roman"/>
                <w:bCs/>
                <w:color w:val="auto"/>
              </w:rPr>
              <w:instrText xml:space="preserve"> </w:instrText>
            </w:r>
            <w:r>
              <w:rPr>
                <w:rFonts w:ascii="Times New Roman" w:hAnsi="Times New Roman"/>
                <w:bCs/>
                <w:color w:val="auto"/>
              </w:rPr>
              <w:fldChar w:fldCharType="separate"/>
            </w:r>
            <w:r>
              <w:rPr>
                <w:rFonts w:hint="eastAsia" w:ascii="Times New Roman" w:hAnsi="Times New Roman"/>
                <w:bCs/>
                <w:color w:val="auto"/>
              </w:rPr>
              <w:t>⑩</w:t>
            </w:r>
            <w:r>
              <w:rPr>
                <w:rFonts w:ascii="Times New Roman" w:hAnsi="Times New Roman"/>
                <w:bCs/>
                <w:color w:val="auto"/>
              </w:rPr>
              <w:fldChar w:fldCharType="end"/>
            </w:r>
            <w:r>
              <w:rPr>
                <w:rFonts w:ascii="Times New Roman" w:hAnsi="Times New Roman"/>
                <w:bCs/>
                <w:color w:val="auto"/>
              </w:rPr>
              <w:t>施工期开展环境监理，妥善处理处置施工期产生的各类污染物，防止其对生态环境造成污染，特别是对植被、土壤等的影响。减少钻井过程中的污染物排放，对散落在井场周围的废弃泥浆、钻井废水、岩屑等污染物要及时回收，禁止污水、污油、泥浆等随意乱丢、乱放，以减轻对土壤和农作物及植被的影响。</w:t>
            </w:r>
          </w:p>
          <w:p>
            <w:pPr>
              <w:pStyle w:val="48"/>
              <w:spacing w:line="360" w:lineRule="auto"/>
              <w:ind w:firstLine="480"/>
              <w:jc w:val="both"/>
              <w:rPr>
                <w:rFonts w:ascii="Times New Roman" w:hAnsi="Times New Roman"/>
                <w:color w:val="auto"/>
              </w:rPr>
            </w:pPr>
            <w:r>
              <w:rPr>
                <w:rFonts w:ascii="Times New Roman" w:hAnsi="Times New Roman"/>
                <w:color w:val="auto"/>
              </w:rPr>
              <w:t>（2）</w:t>
            </w:r>
            <w:r>
              <w:rPr>
                <w:rFonts w:hint="eastAsia" w:ascii="Times New Roman" w:hAnsi="Times New Roman"/>
                <w:color w:val="auto"/>
              </w:rPr>
              <w:t>管线、</w:t>
            </w:r>
            <w:r>
              <w:rPr>
                <w:rFonts w:ascii="Times New Roman" w:hAnsi="Times New Roman"/>
                <w:color w:val="auto"/>
              </w:rPr>
              <w:t>道路</w:t>
            </w:r>
            <w:r>
              <w:rPr>
                <w:rFonts w:hint="eastAsia" w:ascii="Times New Roman" w:hAnsi="Times New Roman"/>
                <w:color w:val="auto"/>
              </w:rPr>
              <w:t>生态环境保护措施</w:t>
            </w:r>
          </w:p>
          <w:p>
            <w:pPr>
              <w:pStyle w:val="48"/>
              <w:spacing w:line="360" w:lineRule="auto"/>
              <w:ind w:firstLine="480"/>
              <w:jc w:val="both"/>
              <w:rPr>
                <w:rFonts w:ascii="Times New Roman" w:hAnsi="Times New Roman"/>
                <w:bCs/>
                <w:color w:val="auto"/>
              </w:rPr>
            </w:pPr>
            <w:r>
              <w:rPr>
                <w:rFonts w:ascii="Times New Roman" w:hAnsi="Times New Roman"/>
                <w:bCs/>
                <w:color w:val="auto"/>
              </w:rPr>
              <w:t>通往井场的简易公路，技术要求较低，建议施工机械活动范围控制在占地范围内。禁止随意增设临时施工道路，井场、道路等地面设施施工中，各种机动车辆固定线路，禁止随意增开便道，践踏和破坏植被，并在一定范围内进行，不得随意取土和破坏地表植被，尽量减少占地面积，以减少对地表的碾压破坏。对破坏和占用的植被及时恢复。严禁破坏道路两侧植被，严禁在道路两侧取弃土。在道路边设置“保护生态环境、保护野生动植物”等警示牌，并从管理上对作业人员加强宣传教育，切实提高保护作业区生态环境的意识。</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管线敷设时，严格控制施工作业带宽度，埋地钢管不得超过</w:t>
            </w:r>
            <w:r>
              <w:rPr>
                <w:rFonts w:ascii="Times New Roman" w:hAnsi="Times New Roman"/>
                <w:bCs/>
                <w:color w:val="auto"/>
              </w:rPr>
              <w:t>10m</w:t>
            </w:r>
            <w:r>
              <w:rPr>
                <w:rFonts w:hint="eastAsia" w:ascii="Times New Roman" w:hAnsi="Times New Roman"/>
                <w:bCs/>
                <w:color w:val="auto"/>
              </w:rPr>
              <w:t>，集输管</w:t>
            </w:r>
          </w:p>
          <w:p>
            <w:pPr>
              <w:pStyle w:val="43"/>
              <w:spacing w:line="360" w:lineRule="auto"/>
              <w:jc w:val="both"/>
              <w:rPr>
                <w:rFonts w:ascii="Times New Roman" w:hAnsi="Times New Roman"/>
                <w:bCs/>
                <w:color w:val="auto"/>
              </w:rPr>
            </w:pPr>
            <w:r>
              <w:rPr>
                <w:rFonts w:hint="eastAsia" w:ascii="Times New Roman" w:hAnsi="Times New Roman"/>
                <w:bCs/>
                <w:color w:val="auto"/>
              </w:rPr>
              <w:t>线不得超过</w:t>
            </w:r>
            <w:r>
              <w:rPr>
                <w:rFonts w:ascii="Times New Roman" w:hAnsi="Times New Roman"/>
                <w:bCs/>
                <w:color w:val="auto"/>
              </w:rPr>
              <w:t>8m</w:t>
            </w:r>
            <w:r>
              <w:rPr>
                <w:rFonts w:hint="eastAsia" w:ascii="Times New Roman" w:hAnsi="Times New Roman"/>
                <w:bCs/>
                <w:color w:val="auto"/>
              </w:rPr>
              <w:t>。</w:t>
            </w:r>
            <w:r>
              <w:rPr>
                <w:rFonts w:hint="eastAsia" w:ascii="Times New Roman" w:hAnsi="Times New Roman"/>
                <w:bCs/>
                <w:color w:val="auto"/>
                <w:sz w:val="24"/>
                <w:szCs w:val="24"/>
              </w:rPr>
              <w:t>对农田及临近区域拉设彩条进行隔离，防止车辆误入，避免油气开采施工对生态环境的影响。管沟应分层开挖、分层堆放、分层回填，应及时回填，以利于植被的自然恢复和生长，并管线上方设置管线走向标志；严格控制道路宽度。</w:t>
            </w:r>
          </w:p>
          <w:p>
            <w:pPr>
              <w:pStyle w:val="48"/>
              <w:spacing w:line="360" w:lineRule="auto"/>
              <w:ind w:firstLine="480"/>
              <w:jc w:val="both"/>
              <w:rPr>
                <w:rFonts w:ascii="Times New Roman" w:hAnsi="Times New Roman"/>
                <w:bCs/>
                <w:color w:val="auto"/>
              </w:rPr>
            </w:pPr>
            <w:r>
              <w:rPr>
                <w:rFonts w:ascii="Times New Roman" w:hAnsi="Times New Roman"/>
                <w:bCs/>
                <w:color w:val="auto"/>
              </w:rPr>
              <w:t>（3）管理措施</w:t>
            </w:r>
          </w:p>
          <w:p>
            <w:pPr>
              <w:pStyle w:val="48"/>
              <w:spacing w:line="360" w:lineRule="auto"/>
              <w:ind w:firstLine="480"/>
              <w:jc w:val="both"/>
              <w:rPr>
                <w:rFonts w:ascii="Times New Roman" w:hAnsi="Times New Roman"/>
                <w:bCs/>
                <w:color w:val="auto"/>
              </w:rPr>
            </w:pPr>
            <w:r>
              <w:rPr>
                <w:rFonts w:hint="eastAsia" w:cs="宋体"/>
                <w:bCs/>
                <w:color w:val="auto"/>
              </w:rPr>
              <w:t>①</w:t>
            </w:r>
            <w:r>
              <w:rPr>
                <w:rFonts w:ascii="Times New Roman" w:hAnsi="Times New Roman"/>
                <w:bCs/>
                <w:color w:val="auto"/>
              </w:rPr>
              <w:t>施工单位在施工阶段应严格划定车辆行驶路线，运输车辆及施工车辆在规定路线范围内行使，禁止乱碾乱轧；严格规定各类工作人员的活动范围，使之限于在各工区范围内活动，不随意踩踏砍伐野生植被，尽量不侵扰野生动物的栖息地。</w:t>
            </w:r>
          </w:p>
          <w:p>
            <w:pPr>
              <w:pStyle w:val="48"/>
              <w:spacing w:line="360" w:lineRule="auto"/>
              <w:ind w:firstLine="480"/>
              <w:jc w:val="both"/>
              <w:rPr>
                <w:rFonts w:ascii="Times New Roman" w:hAnsi="Times New Roman"/>
                <w:bCs/>
                <w:color w:val="auto"/>
              </w:rPr>
            </w:pPr>
            <w:r>
              <w:rPr>
                <w:rFonts w:hint="eastAsia" w:cs="宋体"/>
                <w:bCs/>
                <w:color w:val="auto"/>
              </w:rPr>
              <w:t>②</w:t>
            </w:r>
            <w:r>
              <w:rPr>
                <w:rFonts w:ascii="Times New Roman" w:hAnsi="Times New Roman"/>
                <w:bCs/>
                <w:color w:val="auto"/>
              </w:rPr>
              <w:t>施工单位在施工阶段应确保各环保设施正常运行，避免各种污染物对土壤环境的影响，并进一步影响其上部生长的荒漠植被；避免强噪声环境的出现，避免对野生动物的惊扰。</w:t>
            </w:r>
          </w:p>
          <w:p>
            <w:pPr>
              <w:pStyle w:val="48"/>
              <w:spacing w:line="360" w:lineRule="auto"/>
              <w:ind w:firstLine="480"/>
              <w:jc w:val="both"/>
              <w:rPr>
                <w:rFonts w:ascii="Times New Roman" w:hAnsi="Times New Roman"/>
                <w:bCs/>
                <w:color w:val="auto"/>
              </w:rPr>
            </w:pPr>
            <w:r>
              <w:rPr>
                <w:rFonts w:hint="eastAsia" w:cs="宋体"/>
                <w:bCs/>
                <w:color w:val="auto"/>
              </w:rPr>
              <w:t>③</w:t>
            </w:r>
            <w:r>
              <w:rPr>
                <w:rFonts w:ascii="Times New Roman" w:hAnsi="Times New Roman"/>
                <w:bCs/>
                <w:color w:val="auto"/>
              </w:rPr>
              <w:t>施工单位应加强对施工人员和职工的教育，强化保护野生动植物的观念，严禁捕杀任何野生动物；遇到受伤、病残饥饿、受困、迷途的野生动物及野生动物的幼崽和繁殖场所，应立即采取保护措施，并上报相关主管部门。</w:t>
            </w:r>
          </w:p>
          <w:p>
            <w:pPr>
              <w:pStyle w:val="48"/>
              <w:spacing w:line="360" w:lineRule="auto"/>
              <w:ind w:firstLine="480"/>
              <w:jc w:val="both"/>
              <w:rPr>
                <w:rFonts w:ascii="Times New Roman" w:hAnsi="Times New Roman"/>
                <w:bCs/>
                <w:color w:val="auto"/>
              </w:rPr>
            </w:pPr>
            <w:r>
              <w:rPr>
                <w:rFonts w:ascii="Times New Roman" w:hAnsi="Times New Roman"/>
                <w:bCs/>
                <w:color w:val="auto"/>
              </w:rPr>
              <w:t>（4）</w:t>
            </w:r>
            <w:r>
              <w:rPr>
                <w:rStyle w:val="42"/>
                <w:rFonts w:hint="eastAsia" w:ascii="Calibri" w:hAnsi="Calibri"/>
                <w:color w:val="auto"/>
                <w:kern w:val="0"/>
                <w:sz w:val="24"/>
              </w:rPr>
              <w:t>生态</w:t>
            </w:r>
            <w:r>
              <w:rPr>
                <w:rFonts w:ascii="Times New Roman" w:hAnsi="Times New Roman"/>
                <w:bCs/>
                <w:color w:val="auto"/>
              </w:rPr>
              <w:t>恢复措施</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本项目总占地</w:t>
            </w:r>
            <w:r>
              <w:rPr>
                <w:rFonts w:ascii="Times New Roman" w:hAnsi="Times New Roman"/>
                <w:bCs/>
                <w:color w:val="auto"/>
              </w:rPr>
              <w:t>4.092</w:t>
            </w:r>
            <w:r>
              <w:rPr>
                <w:rFonts w:hint="eastAsia" w:ascii="Times New Roman" w:hAnsi="Times New Roman"/>
                <w:bCs/>
                <w:color w:val="auto"/>
              </w:rPr>
              <w:t>hm</w:t>
            </w:r>
            <w:r>
              <w:rPr>
                <w:rFonts w:hint="eastAsia" w:ascii="Times New Roman" w:hAnsi="Times New Roman"/>
                <w:bCs/>
                <w:color w:val="auto"/>
                <w:vertAlign w:val="superscript"/>
              </w:rPr>
              <w:t>2</w:t>
            </w:r>
            <w:r>
              <w:rPr>
                <w:rFonts w:hint="eastAsia" w:ascii="Times New Roman" w:hAnsi="Times New Roman"/>
                <w:bCs/>
                <w:color w:val="auto"/>
              </w:rPr>
              <w:t>，其中永久占地</w:t>
            </w:r>
            <w:r>
              <w:rPr>
                <w:rFonts w:ascii="Times New Roman" w:hAnsi="Times New Roman"/>
                <w:bCs/>
                <w:color w:val="auto"/>
              </w:rPr>
              <w:t>2.892</w:t>
            </w:r>
            <w:r>
              <w:rPr>
                <w:rFonts w:hint="eastAsia" w:ascii="Times New Roman" w:hAnsi="Times New Roman"/>
                <w:bCs/>
                <w:color w:val="auto"/>
              </w:rPr>
              <w:t>hm</w:t>
            </w:r>
            <w:r>
              <w:rPr>
                <w:rFonts w:hint="eastAsia" w:ascii="Times New Roman" w:hAnsi="Times New Roman"/>
                <w:bCs/>
                <w:color w:val="auto"/>
                <w:vertAlign w:val="superscript"/>
              </w:rPr>
              <w:t>2</w:t>
            </w:r>
            <w:r>
              <w:rPr>
                <w:rFonts w:hint="eastAsia" w:ascii="Times New Roman" w:hAnsi="Times New Roman"/>
                <w:bCs/>
                <w:color w:val="auto"/>
              </w:rPr>
              <w:t>，临时占地</w:t>
            </w:r>
            <w:r>
              <w:rPr>
                <w:rFonts w:ascii="Times New Roman" w:hAnsi="Times New Roman"/>
                <w:bCs/>
                <w:color w:val="auto"/>
              </w:rPr>
              <w:t>1.2</w:t>
            </w:r>
            <w:r>
              <w:rPr>
                <w:rFonts w:hint="eastAsia" w:ascii="Times New Roman" w:hAnsi="Times New Roman"/>
                <w:bCs/>
                <w:color w:val="auto"/>
              </w:rPr>
              <w:t>hm</w:t>
            </w:r>
            <w:r>
              <w:rPr>
                <w:rFonts w:hint="eastAsia" w:ascii="Times New Roman" w:hAnsi="Times New Roman"/>
                <w:bCs/>
                <w:color w:val="auto"/>
                <w:vertAlign w:val="superscript"/>
              </w:rPr>
              <w:t>2</w:t>
            </w:r>
            <w:r>
              <w:rPr>
                <w:rFonts w:hint="eastAsia" w:ascii="Times New Roman" w:hAnsi="Times New Roman"/>
                <w:bCs/>
                <w:color w:val="auto"/>
              </w:rPr>
              <w:t>。其主要土壤类型为灰色草甸土，占地类型为耕地（一般农田）。本</w:t>
            </w:r>
            <w:r>
              <w:rPr>
                <w:rFonts w:ascii="Times New Roman" w:hAnsi="Times New Roman"/>
                <w:bCs/>
                <w:color w:val="auto"/>
              </w:rPr>
              <w:t>项目</w:t>
            </w:r>
            <w:r>
              <w:rPr>
                <w:rFonts w:hint="eastAsia" w:ascii="Times New Roman" w:hAnsi="Times New Roman"/>
                <w:bCs/>
                <w:color w:val="auto"/>
              </w:rPr>
              <w:t>施工结束后，应对井场的临时占地进行平整，恢复原有地貌。充分利用工程施工前期收集的表土覆盖于井场表层，覆盖厚度根据植被恢复类型和场地用途确定。</w:t>
            </w:r>
            <w:r>
              <w:rPr>
                <w:rFonts w:ascii="Times New Roman" w:hAnsi="Times New Roman"/>
                <w:bCs/>
                <w:color w:val="auto"/>
              </w:rPr>
              <w:t>施工结束后，建设单位应对永久占地进行砾石铺垫等地面硬化处理，以减少风蚀量。采用自然恢复的方式对区域植被进行恢复，临时占地内植被在未来3～5年时间内通过自然降水及温度等因素得以恢复；恢复后的植被覆盖率不应低于区域范围内同类型土地植被覆盖率。</w:t>
            </w:r>
          </w:p>
          <w:p>
            <w:pPr>
              <w:pStyle w:val="48"/>
              <w:spacing w:line="360" w:lineRule="auto"/>
              <w:ind w:firstLine="480"/>
              <w:jc w:val="both"/>
              <w:rPr>
                <w:rFonts w:ascii="Times New Roman" w:hAnsi="Times New Roman"/>
                <w:bCs/>
                <w:color w:val="auto"/>
              </w:rPr>
            </w:pPr>
            <w:r>
              <w:rPr>
                <w:rFonts w:ascii="Times New Roman" w:hAnsi="Times New Roman"/>
                <w:bCs/>
                <w:color w:val="auto"/>
              </w:rPr>
              <w:t>（5）</w:t>
            </w:r>
            <w:r>
              <w:rPr>
                <w:rFonts w:hint="eastAsia" w:ascii="Times New Roman" w:hAnsi="Times New Roman"/>
                <w:bCs/>
                <w:color w:val="auto"/>
              </w:rPr>
              <w:t>耕地保护措施</w:t>
            </w:r>
          </w:p>
          <w:p>
            <w:pPr>
              <w:pStyle w:val="48"/>
              <w:spacing w:line="360" w:lineRule="auto"/>
              <w:ind w:firstLine="480"/>
              <w:jc w:val="both"/>
              <w:rPr>
                <w:rFonts w:ascii="Times New Roman" w:hAnsi="Times New Roman"/>
                <w:bCs/>
                <w:color w:val="auto"/>
              </w:rPr>
            </w:pPr>
            <w:r>
              <w:rPr>
                <w:rFonts w:hint="eastAsia" w:ascii="Times New Roman" w:hAnsi="Times New Roman"/>
                <w:bCs/>
                <w:color w:val="auto"/>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pStyle w:val="48"/>
              <w:spacing w:line="360" w:lineRule="auto"/>
              <w:ind w:firstLine="480"/>
              <w:jc w:val="both"/>
              <w:rPr>
                <w:color w:val="auto"/>
              </w:rPr>
            </w:pPr>
            <w:r>
              <w:rPr>
                <w:rFonts w:hint="eastAsia" w:ascii="Times New Roman" w:hAnsi="Times New Roman"/>
                <w:bCs/>
                <w:color w:val="auto"/>
              </w:rPr>
              <w:t>施工阶段</w:t>
            </w:r>
            <w:r>
              <w:rPr>
                <w:rFonts w:ascii="Times New Roman" w:hAnsi="Times New Roman"/>
                <w:bCs/>
                <w:color w:val="auto"/>
              </w:rPr>
              <w:t>签订征地协议，并按相关规定对植被损失进行生态经济补偿。</w:t>
            </w:r>
            <w:r>
              <w:rPr>
                <w:rFonts w:hint="eastAsia"/>
                <w:color w:val="auto"/>
              </w:rPr>
              <w:t xml:space="preserve">项目建设完成后，对施工场地的废渣及一切废弃物资、设备应及时清理，对工地、料场、取土等地方，使用后应立即恢复原状，并及时进行人工干预恢复植被，以维持原有农田生态环境。工程建设完成后要求对施工料场、便道等临时用地进行清理、平整，禁止对野生动植物水源地的污染。严格执行《土地复垦条例》，凡受到施工车辆、机械破坏的地方都给予及时的修整，恢复原貌，被破坏的耕地在施工结束后尽快恢复。 </w:t>
            </w:r>
          </w:p>
          <w:p>
            <w:pPr>
              <w:pStyle w:val="48"/>
              <w:spacing w:line="360" w:lineRule="auto"/>
              <w:ind w:firstLine="480"/>
              <w:jc w:val="both"/>
              <w:rPr>
                <w:rFonts w:ascii="Times New Roman" w:hAnsi="Times New Roman"/>
                <w:bCs/>
                <w:color w:val="auto"/>
              </w:rPr>
            </w:pPr>
            <w:r>
              <w:rPr>
                <w:rFonts w:hint="eastAsia"/>
                <w:color w:val="auto"/>
              </w:rPr>
              <w:t>本项目建设期环境保护措施切实可行，对周围环境实施了有效的保护。</w:t>
            </w:r>
            <w:r>
              <w:rPr>
                <w:rFonts w:hint="eastAsia"/>
                <w:color w:val="auto"/>
                <w:sz w:val="23"/>
              </w:rPr>
              <w:t xml:space="preserve"> </w:t>
            </w:r>
          </w:p>
          <w:bookmarkEnd w:id="36"/>
          <w:bookmarkEnd w:id="37"/>
          <w:p>
            <w:pPr>
              <w:pStyle w:val="13"/>
              <w:spacing w:before="0" w:after="0" w:line="360" w:lineRule="auto"/>
              <w:ind w:right="0" w:firstLine="482" w:firstLineChars="200"/>
              <w:jc w:val="both"/>
              <w:rPr>
                <w:rFonts w:ascii="Times New Roman" w:hAnsi="Times New Roman"/>
                <w:b/>
                <w:color w:val="auto"/>
                <w:kern w:val="2"/>
                <w:sz w:val="24"/>
                <w:szCs w:val="24"/>
              </w:rPr>
            </w:pPr>
            <w:r>
              <w:rPr>
                <w:rFonts w:ascii="Times New Roman" w:hAnsi="Times New Roman"/>
                <w:b/>
                <w:color w:val="auto"/>
                <w:kern w:val="2"/>
                <w:sz w:val="24"/>
                <w:szCs w:val="24"/>
              </w:rPr>
              <w:t>2</w:t>
            </w:r>
            <w:r>
              <w:rPr>
                <w:rFonts w:hint="eastAsia" w:ascii="Times New Roman" w:hAnsi="Times New Roman"/>
                <w:b/>
                <w:color w:val="auto"/>
                <w:kern w:val="2"/>
                <w:sz w:val="24"/>
                <w:szCs w:val="24"/>
              </w:rPr>
              <w:t>．</w:t>
            </w:r>
            <w:r>
              <w:rPr>
                <w:rFonts w:ascii="Times New Roman" w:hAnsi="Times New Roman"/>
                <w:b/>
                <w:color w:val="auto"/>
                <w:kern w:val="2"/>
                <w:sz w:val="24"/>
                <w:szCs w:val="24"/>
              </w:rPr>
              <w:t>施工期大气污染防治措施</w:t>
            </w:r>
          </w:p>
          <w:p>
            <w:pPr>
              <w:pStyle w:val="48"/>
              <w:spacing w:line="360" w:lineRule="auto"/>
              <w:ind w:firstLine="480"/>
              <w:jc w:val="both"/>
              <w:rPr>
                <w:rFonts w:ascii="Times New Roman" w:hAnsi="Times New Roman"/>
                <w:bCs/>
                <w:color w:val="auto"/>
              </w:rPr>
            </w:pPr>
            <w:r>
              <w:rPr>
                <w:rFonts w:ascii="Times New Roman" w:hAnsi="Times New Roman"/>
                <w:bCs/>
                <w:color w:val="auto"/>
              </w:rPr>
              <w:t>（1）使用符合国家标准的柴油，并定期对施工设备进行保养维护。</w:t>
            </w:r>
          </w:p>
          <w:p>
            <w:pPr>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bCs/>
                <w:color w:val="auto"/>
                <w:kern w:val="0"/>
                <w:sz w:val="24"/>
              </w:rPr>
              <w:t>（2）合理规划运输道路线路，尽量</w:t>
            </w:r>
            <w:r>
              <w:rPr>
                <w:rFonts w:ascii="Times New Roman" w:hAnsi="Times New Roman"/>
                <w:color w:val="auto"/>
                <w:kern w:val="0"/>
                <w:sz w:val="24"/>
              </w:rPr>
              <w:t>利用油田现有的公路网，施工车辆严格按照规定线路行驶，严禁乱碾乱压；</w:t>
            </w:r>
            <w:r>
              <w:rPr>
                <w:rFonts w:ascii="Times New Roman" w:hAnsi="Times New Roman"/>
                <w:color w:val="auto"/>
                <w:sz w:val="24"/>
              </w:rPr>
              <w:t>运输车辆应加盖篷布，不能超载过量；严禁车辆在行驶中沿途振漏建筑材料及建筑废料；装卸过程应文明作业，防止扬尘飞扬。</w:t>
            </w:r>
          </w:p>
          <w:p>
            <w:pPr>
              <w:pStyle w:val="74"/>
              <w:adjustRightInd w:val="0"/>
              <w:snapToGrid w:val="0"/>
              <w:spacing w:line="360" w:lineRule="auto"/>
              <w:ind w:firstLine="480"/>
              <w:jc w:val="both"/>
              <w:outlineLvl w:val="9"/>
              <w:rPr>
                <w:rFonts w:ascii="Times New Roman" w:hAnsi="Times New Roman"/>
                <w:b w:val="0"/>
                <w:bCs/>
                <w:color w:val="auto"/>
              </w:rPr>
            </w:pPr>
            <w:r>
              <w:rPr>
                <w:rFonts w:ascii="Times New Roman" w:hAnsi="Times New Roman"/>
                <w:b w:val="0"/>
                <w:bCs/>
                <w:color w:val="auto"/>
              </w:rPr>
              <w:t>（3）粉状材料及临时土方等在施工场地堆放应采取覆盖防尘布（或网），逸散性材料运输采用苫布遮盖。</w:t>
            </w:r>
          </w:p>
          <w:p>
            <w:pPr>
              <w:pStyle w:val="74"/>
              <w:adjustRightInd w:val="0"/>
              <w:snapToGrid w:val="0"/>
              <w:spacing w:line="360" w:lineRule="auto"/>
              <w:ind w:firstLine="480"/>
              <w:jc w:val="both"/>
              <w:outlineLvl w:val="9"/>
              <w:rPr>
                <w:rFonts w:ascii="Times New Roman" w:hAnsi="Times New Roman"/>
                <w:b w:val="0"/>
                <w:bCs/>
                <w:color w:val="auto"/>
              </w:rPr>
            </w:pPr>
            <w:r>
              <w:rPr>
                <w:rFonts w:ascii="Times New Roman" w:hAnsi="Times New Roman"/>
                <w:b w:val="0"/>
                <w:bCs/>
                <w:color w:val="auto"/>
              </w:rPr>
              <w:t>（4）优化施工组织，管线分段施工，缩短施工时间，</w:t>
            </w:r>
            <w:r>
              <w:rPr>
                <w:rFonts w:ascii="Times New Roman" w:hAnsi="Times New Roman"/>
                <w:b w:val="0"/>
                <w:bCs/>
                <w:color w:val="auto"/>
                <w:lang w:bidi="ar"/>
              </w:rPr>
              <w:t>合理安排施工计划，避免在多风季节施工。风速过大时应停止施工，并对堆放的砂石等建筑材料进行遮盖处理。</w:t>
            </w:r>
          </w:p>
          <w:p>
            <w:pPr>
              <w:pStyle w:val="74"/>
              <w:adjustRightInd w:val="0"/>
              <w:snapToGrid w:val="0"/>
              <w:spacing w:line="360" w:lineRule="auto"/>
              <w:ind w:firstLine="480"/>
              <w:jc w:val="both"/>
              <w:outlineLvl w:val="9"/>
              <w:rPr>
                <w:rFonts w:ascii="Times New Roman" w:hAnsi="Times New Roman"/>
                <w:b w:val="0"/>
                <w:bCs/>
                <w:color w:val="auto"/>
              </w:rPr>
            </w:pPr>
            <w:r>
              <w:rPr>
                <w:rFonts w:ascii="Times New Roman" w:hAnsi="Times New Roman"/>
                <w:b w:val="0"/>
                <w:bCs/>
                <w:color w:val="auto"/>
              </w:rPr>
              <w:t>（5）施工结束后尽快对施工场地进行整理和平整，减少风蚀量。</w:t>
            </w:r>
          </w:p>
          <w:p>
            <w:pPr>
              <w:spacing w:line="360" w:lineRule="auto"/>
              <w:ind w:firstLine="480" w:firstLineChars="200"/>
              <w:jc w:val="both"/>
              <w:rPr>
                <w:rFonts w:ascii="Times New Roman" w:hAnsi="Times New Roman"/>
                <w:bCs/>
                <w:color w:val="auto"/>
                <w:kern w:val="0"/>
                <w:sz w:val="24"/>
                <w:lang w:bidi="ar"/>
              </w:rPr>
            </w:pPr>
            <w:r>
              <w:rPr>
                <w:rFonts w:ascii="Times New Roman" w:hAnsi="Times New Roman"/>
                <w:bCs/>
                <w:color w:val="auto"/>
                <w:kern w:val="0"/>
                <w:sz w:val="24"/>
                <w:lang w:bidi="ar"/>
              </w:rPr>
              <w:t>（6）加强对施工人员的环保教育，提高全体施工人员的环保意识，坚持文明施工、科学施工，减少施工期的大气污染。</w:t>
            </w:r>
          </w:p>
          <w:p>
            <w:pPr>
              <w:spacing w:line="360" w:lineRule="auto"/>
              <w:ind w:firstLine="480" w:firstLineChars="200"/>
              <w:jc w:val="both"/>
              <w:rPr>
                <w:rFonts w:ascii="Times New Roman" w:hAnsi="Times New Roman"/>
                <w:bCs/>
                <w:color w:val="auto"/>
                <w:kern w:val="0"/>
                <w:sz w:val="24"/>
                <w:lang w:bidi="ar"/>
              </w:rPr>
            </w:pPr>
            <w:r>
              <w:rPr>
                <w:rFonts w:ascii="Times New Roman" w:hAnsi="Times New Roman"/>
                <w:bCs/>
                <w:color w:val="auto"/>
                <w:kern w:val="0"/>
                <w:sz w:val="24"/>
                <w:lang w:bidi="ar"/>
              </w:rPr>
              <w:t>（</w:t>
            </w:r>
            <w:r>
              <w:rPr>
                <w:rFonts w:hint="eastAsia" w:ascii="Times New Roman" w:hAnsi="Times New Roman"/>
                <w:bCs/>
                <w:color w:val="auto"/>
                <w:kern w:val="0"/>
                <w:sz w:val="24"/>
                <w:lang w:bidi="ar"/>
              </w:rPr>
              <w:t>7</w:t>
            </w:r>
            <w:r>
              <w:rPr>
                <w:rFonts w:ascii="Times New Roman" w:hAnsi="Times New Roman"/>
                <w:bCs/>
                <w:color w:val="auto"/>
                <w:kern w:val="0"/>
                <w:sz w:val="24"/>
                <w:lang w:bidi="ar"/>
              </w:rPr>
              <w:t>）</w:t>
            </w:r>
            <w:r>
              <w:rPr>
                <w:rFonts w:hint="eastAsia" w:ascii="Times New Roman" w:hAnsi="Times New Roman"/>
                <w:bCs/>
                <w:color w:val="auto"/>
                <w:kern w:val="0"/>
                <w:sz w:val="24"/>
                <w:lang w:bidi="ar"/>
              </w:rPr>
              <w:t>禁止焚烧原油、废油品产生废气污染。</w:t>
            </w:r>
          </w:p>
          <w:p>
            <w:pPr>
              <w:pStyle w:val="74"/>
              <w:adjustRightInd w:val="0"/>
              <w:snapToGrid w:val="0"/>
              <w:spacing w:line="360" w:lineRule="auto"/>
              <w:ind w:firstLine="480"/>
              <w:jc w:val="both"/>
              <w:outlineLvl w:val="9"/>
              <w:rPr>
                <w:rFonts w:ascii="Times New Roman" w:hAnsi="Times New Roman"/>
                <w:b w:val="0"/>
                <w:bCs/>
                <w:color w:val="auto"/>
              </w:rPr>
            </w:pPr>
            <w:r>
              <w:rPr>
                <w:rFonts w:ascii="Times New Roman" w:hAnsi="Times New Roman"/>
                <w:b w:val="0"/>
                <w:bCs/>
                <w:color w:val="auto"/>
              </w:rPr>
              <w:t>采取上述措施后，项目施工过程中对大气环境影响不大。</w:t>
            </w:r>
          </w:p>
          <w:p>
            <w:pPr>
              <w:spacing w:line="360" w:lineRule="auto"/>
              <w:ind w:firstLine="482" w:firstLineChars="200"/>
              <w:jc w:val="both"/>
              <w:rPr>
                <w:rFonts w:ascii="Times New Roman" w:hAnsi="Times New Roman"/>
                <w:b/>
                <w:color w:val="auto"/>
                <w:sz w:val="24"/>
              </w:rPr>
            </w:pPr>
            <w:r>
              <w:rPr>
                <w:rFonts w:ascii="Times New Roman" w:hAnsi="Times New Roman"/>
                <w:b/>
                <w:color w:val="auto"/>
                <w:sz w:val="24"/>
              </w:rPr>
              <w:t>3</w:t>
            </w:r>
            <w:r>
              <w:rPr>
                <w:rFonts w:hint="eastAsia" w:ascii="Times New Roman" w:hAnsi="Times New Roman"/>
                <w:b/>
                <w:color w:val="auto"/>
                <w:sz w:val="24"/>
              </w:rPr>
              <w:t>．</w:t>
            </w:r>
            <w:r>
              <w:rPr>
                <w:rFonts w:ascii="Times New Roman" w:hAnsi="Times New Roman"/>
                <w:b/>
                <w:color w:val="auto"/>
                <w:sz w:val="24"/>
              </w:rPr>
              <w:t>施工期水环境污染防治措施</w:t>
            </w:r>
          </w:p>
          <w:p>
            <w:pPr>
              <w:spacing w:line="360" w:lineRule="auto"/>
              <w:ind w:firstLine="480" w:firstLineChars="200"/>
              <w:jc w:val="both"/>
              <w:rPr>
                <w:rFonts w:ascii="Times New Roman" w:hAnsi="Times New Roman"/>
                <w:bCs/>
                <w:color w:val="auto"/>
                <w:sz w:val="24"/>
              </w:rPr>
            </w:pPr>
            <w:r>
              <w:rPr>
                <w:rFonts w:ascii="Times New Roman" w:hAnsi="Times New Roman"/>
                <w:bCs/>
                <w:color w:val="auto"/>
                <w:sz w:val="24"/>
              </w:rPr>
              <w:t>3.1废水处置措施</w:t>
            </w:r>
          </w:p>
          <w:p>
            <w:pPr>
              <w:spacing w:line="360" w:lineRule="auto"/>
              <w:ind w:firstLine="482"/>
              <w:rPr>
                <w:rFonts w:ascii="Times New Roman" w:hAnsi="Times New Roman"/>
                <w:color w:val="auto"/>
                <w:sz w:val="24"/>
              </w:rPr>
            </w:pPr>
            <w:r>
              <w:rPr>
                <w:rFonts w:ascii="Times New Roman" w:hAnsi="Times New Roman"/>
                <w:color w:val="auto"/>
                <w:spacing w:val="4"/>
                <w:kern w:val="24"/>
                <w:sz w:val="24"/>
              </w:rPr>
              <w:t>钻井期间产生的</w:t>
            </w:r>
            <w:r>
              <w:rPr>
                <w:rFonts w:ascii="Times New Roman" w:hAnsi="Times New Roman"/>
                <w:color w:val="auto"/>
                <w:sz w:val="24"/>
              </w:rPr>
              <w:t>钻井废水，与钻井泥浆、岩屑一同进入不落地系统进行分离处理，分离后的液相回用于钻井液配制，不外排。待钻井工程结束后由供应商回收或带至下一个钻井井场继续使用。管道试压废水产生量较小，主要污染物为SS，用于项目区的洒水抑尘。</w:t>
            </w:r>
            <w:r>
              <w:rPr>
                <w:rFonts w:hint="eastAsia" w:ascii="Times New Roman" w:hAnsi="Times New Roman"/>
                <w:color w:val="auto"/>
                <w:sz w:val="24"/>
              </w:rPr>
              <w:t>施工期间钻井井场内的</w:t>
            </w:r>
            <w:r>
              <w:rPr>
                <w:rFonts w:ascii="Times New Roman" w:hAnsi="Times New Roman"/>
                <w:color w:val="auto"/>
                <w:sz w:val="24"/>
              </w:rPr>
              <w:t>井口区地面</w:t>
            </w:r>
            <w:r>
              <w:rPr>
                <w:rFonts w:hint="eastAsia" w:ascii="Times New Roman" w:hAnsi="Times New Roman"/>
                <w:color w:val="auto"/>
                <w:sz w:val="24"/>
              </w:rPr>
              <w:t>、</w:t>
            </w:r>
            <w:r>
              <w:rPr>
                <w:rFonts w:ascii="Times New Roman" w:hAnsi="Times New Roman"/>
                <w:color w:val="auto"/>
                <w:sz w:val="24"/>
              </w:rPr>
              <w:t>放喷池池底及池壁</w:t>
            </w:r>
            <w:r>
              <w:rPr>
                <w:rFonts w:hint="eastAsia" w:ascii="Times New Roman" w:hAnsi="Times New Roman"/>
                <w:color w:val="auto"/>
                <w:sz w:val="24"/>
              </w:rPr>
              <w:t>、</w:t>
            </w:r>
            <w:r>
              <w:rPr>
                <w:rFonts w:ascii="Times New Roman" w:hAnsi="Times New Roman"/>
                <w:color w:val="auto"/>
                <w:sz w:val="24"/>
              </w:rPr>
              <w:t>泥浆循环系统区域地面</w:t>
            </w:r>
            <w:r>
              <w:rPr>
                <w:rFonts w:hint="eastAsia" w:ascii="Times New Roman" w:hAnsi="Times New Roman"/>
                <w:color w:val="auto"/>
                <w:sz w:val="24"/>
              </w:rPr>
              <w:t>、柴油机、发电机房、柴油桶区、废油桶、岩屑收集罐存放处均铺设</w:t>
            </w:r>
            <w:r>
              <w:rPr>
                <w:rFonts w:ascii="Times New Roman" w:hAnsi="Times New Roman"/>
                <w:color w:val="auto"/>
                <w:sz w:val="24"/>
              </w:rPr>
              <w:t>HDPE</w:t>
            </w:r>
            <w:r>
              <w:rPr>
                <w:rFonts w:hint="eastAsia" w:ascii="Times New Roman" w:hAnsi="Times New Roman"/>
                <w:color w:val="auto"/>
                <w:sz w:val="24"/>
              </w:rPr>
              <w:t>防渗膜。</w:t>
            </w:r>
            <w:r>
              <w:rPr>
                <w:rFonts w:ascii="Times New Roman" w:hAnsi="Times New Roman"/>
                <w:color w:val="auto"/>
                <w:sz w:val="24"/>
              </w:rPr>
              <w:t>具体见地下水专项评价报告。</w:t>
            </w:r>
          </w:p>
          <w:p>
            <w:pPr>
              <w:pStyle w:val="253"/>
              <w:ind w:firstLine="496"/>
              <w:jc w:val="both"/>
              <w:rPr>
                <w:rFonts w:ascii="Times New Roman" w:hAnsi="Times New Roman"/>
                <w:color w:val="auto"/>
              </w:rPr>
            </w:pPr>
            <w:r>
              <w:rPr>
                <w:rFonts w:ascii="Times New Roman" w:hAnsi="Times New Roman"/>
                <w:color w:val="auto"/>
              </w:rPr>
              <w:t>3.2其他施工期水环境保护措施</w:t>
            </w:r>
          </w:p>
          <w:p>
            <w:pPr>
              <w:pStyle w:val="253"/>
              <w:jc w:val="both"/>
              <w:rPr>
                <w:rFonts w:ascii="Times New Roman" w:hAnsi="Times New Roman"/>
                <w:color w:val="auto"/>
              </w:rPr>
            </w:pPr>
            <w:r>
              <w:rPr>
                <w:rFonts w:ascii="Times New Roman" w:hAnsi="Times New Roman"/>
                <w:color w:val="auto"/>
              </w:rPr>
              <w:t>①钻井前，配备废物防渗池、放喷池和清污分流排水系统。</w:t>
            </w:r>
          </w:p>
          <w:p>
            <w:pPr>
              <w:pStyle w:val="253"/>
              <w:jc w:val="both"/>
              <w:rPr>
                <w:rFonts w:ascii="Times New Roman" w:hAnsi="Times New Roman"/>
                <w:color w:val="auto"/>
              </w:rPr>
            </w:pPr>
            <w:r>
              <w:rPr>
                <w:rFonts w:ascii="Times New Roman" w:hAnsi="Times New Roman"/>
                <w:color w:val="auto"/>
              </w:rPr>
              <w:t>②严格控制废水产生量，落实泥浆泵的冷却水循环使用等清洁生产措施。严禁清水冲洗设备，若外排废水必须符合地方政府的环保要求。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③钻井过程中严格按照钻井施工工艺，施工规范进行操作，防止钻井过程中，由于施工不当，导致井喷、原油泄漏以及油水地层窜层等事故污染地下水。钻井过程中产生的钻井废水，废弃泥浆、岩屑等按照规范统一集中处理，避免对地下水产生影响。</w:t>
            </w:r>
          </w:p>
          <w:p>
            <w:pPr>
              <w:spacing w:line="360" w:lineRule="auto"/>
              <w:ind w:firstLine="480" w:firstLineChars="200"/>
              <w:rPr>
                <w:rFonts w:ascii="Times New Roman" w:hAnsi="Times New Roman"/>
                <w:color w:val="auto"/>
                <w:sz w:val="24"/>
              </w:rPr>
            </w:pPr>
            <w:r>
              <w:rPr>
                <w:rFonts w:ascii="Times New Roman" w:hAnsi="Times New Roman"/>
                <w:color w:val="auto"/>
                <w:sz w:val="24"/>
              </w:rPr>
              <w:t>④施工机械检修期间，地面应铺设塑料布，及时回收废机油，防止废油落地，污染土壤和地下水。</w:t>
            </w:r>
          </w:p>
          <w:p>
            <w:pPr>
              <w:spacing w:line="360" w:lineRule="auto"/>
              <w:ind w:firstLine="482"/>
              <w:rPr>
                <w:rFonts w:ascii="Times New Roman" w:hAnsi="Times New Roman"/>
                <w:color w:val="auto"/>
                <w:sz w:val="24"/>
              </w:rPr>
            </w:pPr>
            <w:r>
              <w:rPr>
                <w:rFonts w:ascii="Times New Roman" w:hAnsi="Times New Roman"/>
                <w:color w:val="auto"/>
                <w:sz w:val="24"/>
              </w:rPr>
              <w:t>⑤严格按照《油气输送管道穿越工程设计规范》（GB 50423-2013）设计及施工，合理安排管道施工时序和施工工艺的情况。管道应埋设于最大冻土深度以下且应有足够的埋设深度。</w:t>
            </w:r>
          </w:p>
          <w:p>
            <w:pPr>
              <w:spacing w:line="360" w:lineRule="auto"/>
              <w:ind w:firstLine="482"/>
              <w:rPr>
                <w:rFonts w:ascii="Times New Roman" w:hAnsi="Times New Roman"/>
                <w:color w:val="auto"/>
                <w:sz w:val="24"/>
              </w:rPr>
            </w:pPr>
            <w:r>
              <w:rPr>
                <w:rFonts w:ascii="Times New Roman" w:hAnsi="Times New Roman"/>
                <w:color w:val="auto"/>
                <w:sz w:val="24"/>
              </w:rPr>
              <w:t>⑥加强分区防渗管理，方案如下表</w:t>
            </w:r>
            <w:r>
              <w:rPr>
                <w:rFonts w:hint="eastAsia" w:ascii="Times New Roman" w:hAnsi="Times New Roman"/>
                <w:color w:val="auto"/>
                <w:sz w:val="24"/>
              </w:rPr>
              <w:t>5-1</w:t>
            </w:r>
            <w:r>
              <w:rPr>
                <w:rFonts w:ascii="Times New Roman" w:hAnsi="Times New Roman"/>
                <w:color w:val="auto"/>
                <w:sz w:val="24"/>
              </w:rPr>
              <w:t>。</w:t>
            </w:r>
          </w:p>
          <w:p>
            <w:pPr>
              <w:spacing w:line="360" w:lineRule="auto"/>
              <w:ind w:firstLine="482"/>
              <w:rPr>
                <w:rFonts w:ascii="Times New Roman" w:hAnsi="Times New Roman"/>
                <w:color w:val="auto"/>
                <w:sz w:val="24"/>
              </w:rPr>
            </w:pPr>
          </w:p>
          <w:p>
            <w:pPr>
              <w:spacing w:line="360" w:lineRule="auto"/>
              <w:ind w:firstLine="482"/>
              <w:rPr>
                <w:rFonts w:ascii="Times New Roman" w:hAnsi="Times New Roman"/>
                <w:color w:val="auto"/>
                <w:sz w:val="24"/>
              </w:rPr>
            </w:pPr>
          </w:p>
          <w:p>
            <w:pPr>
              <w:spacing w:line="360" w:lineRule="auto"/>
              <w:ind w:firstLine="482"/>
              <w:rPr>
                <w:rFonts w:ascii="Times New Roman" w:hAnsi="Times New Roman"/>
                <w:color w:val="auto"/>
                <w:sz w:val="24"/>
              </w:rPr>
            </w:pPr>
          </w:p>
          <w:p>
            <w:pPr>
              <w:spacing w:line="360" w:lineRule="auto"/>
              <w:ind w:firstLine="482"/>
              <w:rPr>
                <w:rFonts w:ascii="Times New Roman" w:hAnsi="Times New Roman"/>
                <w:color w:val="auto"/>
                <w:sz w:val="24"/>
              </w:rPr>
            </w:pP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5-1</w:t>
            </w:r>
            <w:r>
              <w:rPr>
                <w:rFonts w:ascii="Times New Roman" w:hAnsi="Times New Roman"/>
                <w:b/>
                <w:color w:val="auto"/>
                <w:kern w:val="0"/>
                <w:szCs w:val="21"/>
              </w:rPr>
              <w:t xml:space="preserve">     分区防渗方案</w:t>
            </w:r>
          </w:p>
          <w:tbl>
            <w:tblPr>
              <w:tblStyle w:val="3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2684"/>
              <w:gridCol w:w="3220"/>
              <w:gridCol w:w="11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pct"/>
                  <w:tcBorders>
                    <w:top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w:t>
                  </w:r>
                </w:p>
                <w:p>
                  <w:pPr>
                    <w:jc w:val="center"/>
                    <w:rPr>
                      <w:rFonts w:ascii="Times New Roman" w:hAnsi="Times New Roman"/>
                      <w:color w:val="auto"/>
                      <w:szCs w:val="21"/>
                    </w:rPr>
                  </w:pPr>
                  <w:r>
                    <w:rPr>
                      <w:rFonts w:ascii="Times New Roman" w:hAnsi="Times New Roman"/>
                      <w:color w:val="auto"/>
                      <w:szCs w:val="21"/>
                    </w:rPr>
                    <w:t>分区</w:t>
                  </w:r>
                </w:p>
              </w:tc>
              <w:tc>
                <w:tcPr>
                  <w:tcW w:w="166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防渗技术要求</w:t>
                  </w:r>
                </w:p>
              </w:tc>
              <w:tc>
                <w:tcPr>
                  <w:tcW w:w="19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防渗区域</w:t>
                  </w:r>
                </w:p>
              </w:tc>
              <w:tc>
                <w:tcPr>
                  <w:tcW w:w="696" w:type="pct"/>
                  <w:tcBorders>
                    <w:top w:val="single" w:color="auto" w:sz="4" w:space="0"/>
                    <w:left w:val="single" w:color="auto" w:sz="4" w:space="0"/>
                    <w:bottom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pct"/>
                  <w:tcBorders>
                    <w:top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重点防渗区</w:t>
                  </w:r>
                </w:p>
              </w:tc>
              <w:tc>
                <w:tcPr>
                  <w:tcW w:w="166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等效黏土防渗层Mb≥6.0m，K≤1×10</w:t>
                  </w:r>
                  <w:r>
                    <w:rPr>
                      <w:rFonts w:ascii="Times New Roman" w:hAnsi="Times New Roman"/>
                      <w:color w:val="auto"/>
                      <w:szCs w:val="21"/>
                      <w:vertAlign w:val="superscript"/>
                    </w:rPr>
                    <w:t>-7</w:t>
                  </w:r>
                  <w:r>
                    <w:rPr>
                      <w:rFonts w:ascii="Times New Roman" w:hAnsi="Times New Roman"/>
                      <w:color w:val="auto"/>
                      <w:szCs w:val="21"/>
                    </w:rPr>
                    <w:t>cm/s</w:t>
                  </w: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井口区地面</w:t>
                  </w:r>
                  <w:r>
                    <w:rPr>
                      <w:rFonts w:hint="eastAsia" w:ascii="Times New Roman" w:hAnsi="Times New Roman"/>
                      <w:color w:val="auto"/>
                      <w:szCs w:val="21"/>
                    </w:rPr>
                    <w:t>、</w:t>
                  </w:r>
                  <w:r>
                    <w:rPr>
                      <w:rFonts w:ascii="Times New Roman" w:hAnsi="Times New Roman"/>
                      <w:color w:val="auto"/>
                      <w:szCs w:val="21"/>
                    </w:rPr>
                    <w:t>放喷池池底及池壁</w:t>
                  </w:r>
                  <w:r>
                    <w:rPr>
                      <w:rFonts w:hint="eastAsia" w:ascii="Times New Roman" w:hAnsi="Times New Roman"/>
                      <w:color w:val="auto"/>
                      <w:szCs w:val="21"/>
                    </w:rPr>
                    <w:t>、柴油机、发电机房、柴油桶区、废油桶区</w:t>
                  </w:r>
                </w:p>
              </w:tc>
              <w:tc>
                <w:tcPr>
                  <w:tcW w:w="696" w:type="pct"/>
                  <w:tcBorders>
                    <w:top w:val="single" w:color="auto" w:sz="4" w:space="0"/>
                    <w:left w:val="single" w:color="auto" w:sz="4" w:space="0"/>
                    <w:bottom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防渗膜+混凝土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pct"/>
                  <w:tcBorders>
                    <w:top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一般防渗区</w:t>
                  </w:r>
                </w:p>
              </w:tc>
              <w:tc>
                <w:tcPr>
                  <w:tcW w:w="166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等效黏土防渗层Mb≥1.5m，K≤1×10</w:t>
                  </w:r>
                  <w:r>
                    <w:rPr>
                      <w:rFonts w:ascii="Times New Roman" w:hAnsi="Times New Roman"/>
                      <w:color w:val="auto"/>
                      <w:szCs w:val="21"/>
                      <w:vertAlign w:val="superscript"/>
                    </w:rPr>
                    <w:t>-7</w:t>
                  </w:r>
                  <w:r>
                    <w:rPr>
                      <w:rFonts w:ascii="Times New Roman" w:hAnsi="Times New Roman"/>
                      <w:color w:val="auto"/>
                      <w:szCs w:val="21"/>
                    </w:rPr>
                    <w:t>cm/s</w:t>
                  </w:r>
                </w:p>
              </w:tc>
              <w:tc>
                <w:tcPr>
                  <w:tcW w:w="3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Cs w:val="21"/>
                    </w:rPr>
                  </w:pPr>
                  <w:r>
                    <w:rPr>
                      <w:rFonts w:hint="eastAsia" w:ascii="Times New Roman" w:hAnsi="Times New Roman"/>
                      <w:color w:val="auto"/>
                      <w:szCs w:val="21"/>
                    </w:rPr>
                    <w:t>井场其他区域</w:t>
                  </w:r>
                </w:p>
              </w:tc>
              <w:tc>
                <w:tcPr>
                  <w:tcW w:w="696" w:type="pct"/>
                  <w:tcBorders>
                    <w:top w:val="single" w:color="auto" w:sz="4" w:space="0"/>
                    <w:left w:val="single" w:color="auto" w:sz="4" w:space="0"/>
                    <w:bottom w:val="single" w:color="auto" w:sz="4" w:space="0"/>
                  </w:tcBorders>
                  <w:vAlign w:val="center"/>
                </w:tcPr>
                <w:p>
                  <w:pPr>
                    <w:jc w:val="center"/>
                    <w:rPr>
                      <w:rFonts w:ascii="Times New Roman" w:hAnsi="Times New Roman"/>
                      <w:color w:val="auto"/>
                      <w:szCs w:val="21"/>
                    </w:rPr>
                  </w:pPr>
                  <w:r>
                    <w:rPr>
                      <w:rFonts w:ascii="Times New Roman" w:hAnsi="Times New Roman"/>
                      <w:color w:val="auto"/>
                      <w:szCs w:val="21"/>
                    </w:rPr>
                    <w:t>防渗膜</w:t>
                  </w:r>
                </w:p>
              </w:tc>
            </w:tr>
          </w:tbl>
          <w:p>
            <w:pPr>
              <w:pStyle w:val="13"/>
              <w:spacing w:before="0" w:after="0" w:line="360" w:lineRule="auto"/>
              <w:ind w:right="0" w:firstLine="482" w:firstLineChars="200"/>
              <w:jc w:val="both"/>
              <w:rPr>
                <w:rFonts w:ascii="Times New Roman" w:hAnsi="Times New Roman"/>
                <w:b/>
                <w:color w:val="auto"/>
                <w:kern w:val="2"/>
                <w:sz w:val="24"/>
                <w:szCs w:val="24"/>
              </w:rPr>
            </w:pPr>
            <w:r>
              <w:rPr>
                <w:rFonts w:ascii="Times New Roman" w:hAnsi="Times New Roman"/>
                <w:b/>
                <w:color w:val="auto"/>
                <w:kern w:val="2"/>
                <w:sz w:val="24"/>
                <w:szCs w:val="24"/>
              </w:rPr>
              <w:t>4</w:t>
            </w:r>
            <w:r>
              <w:rPr>
                <w:rFonts w:hint="eastAsia" w:ascii="Times New Roman" w:hAnsi="Times New Roman"/>
                <w:b/>
                <w:color w:val="auto"/>
                <w:kern w:val="2"/>
                <w:sz w:val="24"/>
                <w:szCs w:val="24"/>
              </w:rPr>
              <w:t>．</w:t>
            </w:r>
            <w:r>
              <w:rPr>
                <w:rFonts w:ascii="Times New Roman" w:hAnsi="Times New Roman"/>
                <w:b/>
                <w:color w:val="auto"/>
                <w:kern w:val="2"/>
                <w:sz w:val="24"/>
                <w:szCs w:val="24"/>
              </w:rPr>
              <w:t>施工期声污染防治措施</w:t>
            </w:r>
          </w:p>
          <w:p>
            <w:pPr>
              <w:pStyle w:val="48"/>
              <w:spacing w:line="360" w:lineRule="auto"/>
              <w:ind w:firstLine="480"/>
              <w:jc w:val="both"/>
              <w:rPr>
                <w:rFonts w:ascii="Times New Roman" w:hAnsi="Times New Roman"/>
                <w:color w:val="auto"/>
              </w:rPr>
            </w:pPr>
            <w:r>
              <w:rPr>
                <w:rFonts w:ascii="Times New Roman" w:hAnsi="Times New Roman"/>
                <w:color w:val="auto"/>
              </w:rPr>
              <w:t>（1）在设备选型上要求采用低噪声的设备，施工设备要经常检查维修，对噪声较大的设备采取基础减</w:t>
            </w:r>
            <w:r>
              <w:rPr>
                <w:rFonts w:hint="eastAsia" w:ascii="Times New Roman" w:hAnsi="Times New Roman"/>
                <w:color w:val="auto"/>
              </w:rPr>
              <w:t>振</w:t>
            </w:r>
            <w:r>
              <w:rPr>
                <w:rFonts w:ascii="Times New Roman" w:hAnsi="Times New Roman"/>
                <w:color w:val="auto"/>
              </w:rPr>
              <w:t>措施。</w:t>
            </w:r>
          </w:p>
          <w:p>
            <w:pPr>
              <w:pStyle w:val="48"/>
              <w:spacing w:line="360" w:lineRule="auto"/>
              <w:ind w:firstLine="480"/>
              <w:jc w:val="both"/>
              <w:rPr>
                <w:rFonts w:ascii="Times New Roman" w:hAnsi="Times New Roman"/>
                <w:color w:val="auto"/>
              </w:rPr>
            </w:pPr>
            <w:r>
              <w:rPr>
                <w:rFonts w:ascii="Times New Roman" w:hAnsi="Times New Roman"/>
                <w:color w:val="auto"/>
              </w:rPr>
              <w:t>（2）加强施工场地管理，合理疏导进入施工区的车辆，禁止运输车辆随意高声鸣笛。</w:t>
            </w:r>
          </w:p>
          <w:p>
            <w:pPr>
              <w:pStyle w:val="48"/>
              <w:spacing w:line="360" w:lineRule="auto"/>
              <w:ind w:firstLine="480"/>
              <w:jc w:val="both"/>
              <w:rPr>
                <w:rFonts w:ascii="Times New Roman" w:hAnsi="Times New Roman"/>
                <w:color w:val="auto"/>
              </w:rPr>
            </w:pPr>
            <w:r>
              <w:rPr>
                <w:rFonts w:ascii="Times New Roman" w:hAnsi="Times New Roman"/>
                <w:color w:val="auto"/>
              </w:rPr>
              <w:t>采取上述措施后，项目施工过程中对声环境影响不大。</w:t>
            </w:r>
          </w:p>
          <w:p>
            <w:pPr>
              <w:pStyle w:val="48"/>
              <w:spacing w:line="360" w:lineRule="auto"/>
              <w:ind w:firstLine="482"/>
              <w:jc w:val="both"/>
              <w:rPr>
                <w:rFonts w:ascii="Times New Roman" w:hAnsi="Times New Roman"/>
                <w:b/>
                <w:color w:val="auto"/>
              </w:rPr>
            </w:pPr>
            <w:r>
              <w:rPr>
                <w:rFonts w:ascii="Times New Roman" w:hAnsi="Times New Roman"/>
                <w:b/>
                <w:color w:val="auto"/>
              </w:rPr>
              <w:t>5</w:t>
            </w:r>
            <w:r>
              <w:rPr>
                <w:rFonts w:hint="eastAsia" w:ascii="Times New Roman" w:hAnsi="Times New Roman"/>
                <w:b/>
                <w:color w:val="auto"/>
              </w:rPr>
              <w:t>．</w:t>
            </w:r>
            <w:r>
              <w:rPr>
                <w:rFonts w:ascii="Times New Roman" w:hAnsi="Times New Roman"/>
                <w:b/>
                <w:color w:val="auto"/>
              </w:rPr>
              <w:t>施工期固体废物处置措施</w:t>
            </w:r>
          </w:p>
          <w:p>
            <w:pPr>
              <w:spacing w:line="360" w:lineRule="auto"/>
              <w:ind w:firstLine="480" w:firstLineChars="200"/>
              <w:jc w:val="both"/>
              <w:rPr>
                <w:rFonts w:ascii="Times New Roman" w:hAnsi="Times New Roman"/>
                <w:color w:val="auto"/>
                <w:kern w:val="0"/>
                <w:sz w:val="24"/>
                <w:lang w:val="zh-CN"/>
              </w:rPr>
            </w:pPr>
            <w:r>
              <w:rPr>
                <w:rFonts w:ascii="Times New Roman" w:hAnsi="Times New Roman"/>
                <w:color w:val="auto"/>
                <w:sz w:val="24"/>
                <w:lang w:val="zh-CN"/>
              </w:rPr>
              <w:t>本次施工过程中挖方</w:t>
            </w:r>
            <w:r>
              <w:rPr>
                <w:rFonts w:hint="eastAsia" w:ascii="Times New Roman" w:hAnsi="Times New Roman"/>
                <w:color w:val="auto"/>
                <w:sz w:val="24"/>
              </w:rPr>
              <w:t>表层耕作土</w:t>
            </w:r>
            <w:r>
              <w:rPr>
                <w:rFonts w:ascii="Times New Roman" w:hAnsi="Times New Roman"/>
                <w:color w:val="auto"/>
                <w:sz w:val="24"/>
                <w:lang w:val="zh-CN"/>
              </w:rPr>
              <w:t>全部回填</w:t>
            </w:r>
            <w:r>
              <w:rPr>
                <w:rFonts w:hint="eastAsia" w:ascii="Times New Roman" w:hAnsi="Times New Roman"/>
                <w:color w:val="auto"/>
                <w:sz w:val="24"/>
              </w:rPr>
              <w:t>周边农田</w:t>
            </w:r>
            <w:r>
              <w:rPr>
                <w:rFonts w:ascii="Times New Roman" w:hAnsi="Times New Roman"/>
                <w:color w:val="auto"/>
                <w:sz w:val="24"/>
                <w:lang w:val="zh-CN"/>
              </w:rPr>
              <w:t>，无弃方。</w:t>
            </w:r>
            <w:r>
              <w:rPr>
                <w:rFonts w:ascii="Times New Roman" w:hAnsi="Times New Roman"/>
                <w:color w:val="auto"/>
                <w:sz w:val="24"/>
              </w:rPr>
              <w:t>水基钻井岩屑</w:t>
            </w:r>
            <w:r>
              <w:rPr>
                <w:rFonts w:hint="eastAsia" w:ascii="Times New Roman" w:hAnsi="Times New Roman"/>
                <w:color w:val="auto"/>
                <w:sz w:val="24"/>
              </w:rPr>
              <w:t>和泥浆</w:t>
            </w:r>
            <w:r>
              <w:rPr>
                <w:rFonts w:ascii="Times New Roman" w:hAnsi="Times New Roman"/>
                <w:color w:val="auto"/>
                <w:sz w:val="24"/>
              </w:rPr>
              <w:t>经不落地系统处理后进岩屑专用方罐，由岩屑处置单位直接拉走进行处理，满足《油气田钻井固体废弃物综合利用污染物控制要求》（DB65/T3997-2017）相关要求后进行综合利用。</w:t>
            </w:r>
            <w:r>
              <w:rPr>
                <w:rFonts w:ascii="Times New Roman" w:hAnsi="Times New Roman"/>
                <w:color w:val="auto"/>
                <w:sz w:val="24"/>
                <w:lang w:val="zh-CN"/>
              </w:rPr>
              <w:t>井场和公用工程施工过程中使用材料产生的废边角料等尽量由施工单位统一回收利用，废包装、废砖块等无法再利用的集中堆放，定期送至</w:t>
            </w:r>
            <w:r>
              <w:rPr>
                <w:rFonts w:ascii="Times New Roman" w:hAnsi="Times New Roman"/>
                <w:color w:val="auto"/>
                <w:kern w:val="0"/>
                <w:sz w:val="24"/>
              </w:rPr>
              <w:t>当地主管部门指定地点集中处置。</w:t>
            </w:r>
            <w:r>
              <w:rPr>
                <w:rFonts w:ascii="Times New Roman" w:hAnsi="Times New Roman"/>
                <w:color w:val="auto"/>
                <w:sz w:val="24"/>
                <w:lang w:val="zh-CN"/>
              </w:rPr>
              <w:t>废机油、</w:t>
            </w:r>
            <w:r>
              <w:rPr>
                <w:rFonts w:ascii="Times New Roman" w:hAnsi="Times New Roman"/>
                <w:color w:val="auto"/>
                <w:kern w:val="0"/>
                <w:sz w:val="24"/>
                <w:lang w:val="zh-CN"/>
              </w:rPr>
              <w:t>沾油废物集中收集后交由有相应危险废物处理资质的单位进行回收处置。</w:t>
            </w:r>
          </w:p>
          <w:p>
            <w:pPr>
              <w:spacing w:line="360" w:lineRule="auto"/>
              <w:ind w:firstLine="480" w:firstLineChars="200"/>
              <w:jc w:val="both"/>
              <w:rPr>
                <w:rFonts w:ascii="Times New Roman" w:hAnsi="Times New Roman"/>
                <w:color w:val="auto"/>
                <w:kern w:val="0"/>
                <w:sz w:val="24"/>
              </w:rPr>
            </w:pPr>
            <w:r>
              <w:rPr>
                <w:rFonts w:hint="eastAsia" w:ascii="Times New Roman" w:hAnsi="Times New Roman"/>
                <w:color w:val="auto"/>
                <w:kern w:val="0"/>
                <w:sz w:val="24"/>
              </w:rPr>
              <w:t>固体废物在处置和运行管理中严格落实《油气田钻井固体废物综合利用污染控制要求》（DB65/T3997-2017）、《关于含油污泥处置有关事宜的通知》（新环办发﹝2018﹞20号）、《油气田含油污泥及钻井固体废物处理处置技术规范》（DB65/T3999-2017）、《危险废物贮存污染控制标准》（GB18597-2001）及修改单、《一般工业固体废物贮存和填埋污染控制标准》（GB18599-2020）的相关要求，本项目在开发建设过程中所产生的各种固体废物均得到有效的处理处置，对环境所造成的影响可以接受。</w:t>
            </w:r>
          </w:p>
          <w:p>
            <w:pPr>
              <w:pStyle w:val="48"/>
              <w:spacing w:line="360" w:lineRule="auto"/>
              <w:ind w:firstLine="0" w:firstLineChars="0"/>
              <w:jc w:val="both"/>
              <w:rPr>
                <w:rFonts w:ascii="Times New Roman" w:hAnsi="Times New Roman"/>
                <w:b/>
                <w:color w:val="auto"/>
              </w:rPr>
            </w:pPr>
            <w:r>
              <w:rPr>
                <w:rFonts w:ascii="Times New Roman" w:hAnsi="Times New Roman"/>
                <w:b/>
                <w:color w:val="auto"/>
              </w:rPr>
              <w:t>6</w:t>
            </w:r>
            <w:r>
              <w:rPr>
                <w:rFonts w:hint="eastAsia" w:ascii="Times New Roman" w:hAnsi="Times New Roman"/>
                <w:b/>
                <w:color w:val="auto"/>
              </w:rPr>
              <w:t>．</w:t>
            </w:r>
            <w:r>
              <w:rPr>
                <w:rFonts w:ascii="Times New Roman" w:hAnsi="Times New Roman"/>
                <w:b/>
                <w:color w:val="auto"/>
              </w:rPr>
              <w:t>施工期土壤环境保护措施</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（1）应严格控制施工期临时占地面积，按设计及规划的施工范围进行施工作业，减少土壤扰动，避免施工活动造成的土壤结构破坏。</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（2）施工机械及运输车辆应按规定的道路行驶，减少对土壤的碾压，减少碾压造成的土壤紧实度增加及养分流失。</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（3）钻井井场内的井口区地面</w:t>
            </w:r>
            <w:r>
              <w:rPr>
                <w:rFonts w:hint="eastAsia" w:ascii="Times New Roman" w:hAnsi="Times New Roman"/>
                <w:color w:val="auto"/>
                <w:sz w:val="24"/>
              </w:rPr>
              <w:t>、</w:t>
            </w:r>
            <w:r>
              <w:rPr>
                <w:rFonts w:ascii="Times New Roman" w:hAnsi="Times New Roman"/>
                <w:color w:val="auto"/>
                <w:sz w:val="24"/>
              </w:rPr>
              <w:t>放喷池池底及池壁</w:t>
            </w:r>
            <w:r>
              <w:rPr>
                <w:rFonts w:hint="eastAsia" w:ascii="Times New Roman" w:hAnsi="Times New Roman"/>
                <w:color w:val="auto"/>
                <w:sz w:val="24"/>
              </w:rPr>
              <w:t>、</w:t>
            </w:r>
            <w:r>
              <w:rPr>
                <w:rFonts w:ascii="Times New Roman" w:hAnsi="Times New Roman"/>
                <w:color w:val="auto"/>
                <w:sz w:val="24"/>
              </w:rPr>
              <w:t>泥浆循环系统区域地面</w:t>
            </w:r>
            <w:r>
              <w:rPr>
                <w:rFonts w:hint="eastAsia" w:ascii="Times New Roman" w:hAnsi="Times New Roman"/>
                <w:color w:val="auto"/>
                <w:sz w:val="24"/>
              </w:rPr>
              <w:t>、柴油机、发电机房、柴油桶区、废油桶、岩屑收集罐存放处</w:t>
            </w:r>
            <w:r>
              <w:rPr>
                <w:rFonts w:ascii="Times New Roman" w:hAnsi="Times New Roman"/>
                <w:color w:val="auto"/>
                <w:sz w:val="24"/>
              </w:rPr>
              <w:t>均铺设HDPE防渗膜，施工结束后，</w:t>
            </w:r>
            <w:r>
              <w:rPr>
                <w:rFonts w:hint="eastAsia" w:ascii="Times New Roman" w:hAnsi="Times New Roman"/>
                <w:color w:val="auto"/>
                <w:sz w:val="24"/>
              </w:rPr>
              <w:t>废弃防渗膜集中收集后委托克拉玛依沃森科技环保有限公司进行处置。</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rPr>
              <w:t>4</w:t>
            </w:r>
            <w:r>
              <w:rPr>
                <w:rFonts w:ascii="Times New Roman" w:hAnsi="Times New Roman"/>
                <w:color w:val="auto"/>
                <w:sz w:val="24"/>
              </w:rPr>
              <w:t>）施工产生的建筑垃圾不得随意抛洒，应集中收集并及时清运，防止污染物进入土壤环境造成污染。</w:t>
            </w:r>
          </w:p>
          <w:p>
            <w:pPr>
              <w:pStyle w:val="43"/>
              <w:spacing w:line="360" w:lineRule="auto"/>
              <w:ind w:firstLine="480" w:firstLineChars="200"/>
              <w:jc w:val="left"/>
              <w:rPr>
                <w:color w:val="auto"/>
              </w:rPr>
            </w:pPr>
            <w:r>
              <w:rPr>
                <w:rFonts w:hint="eastAsia" w:ascii="Times New Roman" w:hAnsi="Times New Roman"/>
                <w:color w:val="auto"/>
                <w:sz w:val="24"/>
              </w:rPr>
              <w:t>（5）</w:t>
            </w:r>
            <w:r>
              <w:rPr>
                <w:rFonts w:hint="eastAsia" w:ascii="Times New Roman" w:hAnsi="Times New Roman"/>
                <w:color w:val="auto"/>
                <w:sz w:val="24"/>
                <w:szCs w:val="24"/>
              </w:rPr>
              <w:t>对农田及临近区域拉设彩条进行隔离，防止车辆误入，避免油气开采施工对土壤环境的影响。</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采取上述措施后，项目施工过程中对土壤环境影响不大。</w:t>
            </w:r>
          </w:p>
          <w:p>
            <w:pPr>
              <w:pStyle w:val="48"/>
              <w:spacing w:line="360" w:lineRule="auto"/>
              <w:ind w:firstLine="482"/>
              <w:jc w:val="both"/>
              <w:rPr>
                <w:rFonts w:ascii="Times New Roman" w:hAnsi="Times New Roman"/>
                <w:b/>
                <w:color w:val="auto"/>
              </w:rPr>
            </w:pPr>
            <w:r>
              <w:rPr>
                <w:rFonts w:ascii="Times New Roman" w:hAnsi="Times New Roman"/>
                <w:b/>
                <w:color w:val="auto"/>
              </w:rPr>
              <w:t>7</w:t>
            </w:r>
            <w:r>
              <w:rPr>
                <w:rFonts w:hint="eastAsia" w:ascii="Times New Roman" w:hAnsi="Times New Roman"/>
                <w:b/>
                <w:color w:val="auto"/>
              </w:rPr>
              <w:t>．</w:t>
            </w:r>
            <w:r>
              <w:rPr>
                <w:rFonts w:ascii="Times New Roman" w:hAnsi="Times New Roman"/>
                <w:b/>
                <w:color w:val="auto"/>
              </w:rPr>
              <w:t>施工期环境风险防范措施</w:t>
            </w:r>
          </w:p>
          <w:p>
            <w:pPr>
              <w:pStyle w:val="48"/>
              <w:spacing w:line="360" w:lineRule="auto"/>
              <w:ind w:firstLine="480"/>
              <w:jc w:val="both"/>
              <w:rPr>
                <w:rFonts w:ascii="Times New Roman" w:hAnsi="Times New Roman"/>
                <w:color w:val="auto"/>
              </w:rPr>
            </w:pPr>
            <w:r>
              <w:rPr>
                <w:rFonts w:ascii="Times New Roman" w:hAnsi="Times New Roman"/>
                <w:color w:val="auto"/>
              </w:rPr>
              <w:t>施工期钻井过程中在井口安装防喷器和控制装置，杜绝井喷的发生。定期检查固井质量发现固井质量不合格，及时采取措施，保证固井质量合格；管线敷设前，应加强对管材和焊接质量的检查，严禁使用不合格产品。对焊接质量严格检验，具体见环境风险专项评价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4" w:hRule="atLeast"/>
          <w:jc w:val="center"/>
        </w:trPr>
        <w:tc>
          <w:tcPr>
            <w:tcW w:w="416" w:type="dxa"/>
            <w:tcMar>
              <w:left w:w="28" w:type="dxa"/>
              <w:right w:w="28" w:type="dxa"/>
            </w:tcMar>
            <w:vAlign w:val="center"/>
          </w:tcPr>
          <w:p>
            <w:pPr>
              <w:adjustRightInd w:val="0"/>
              <w:snapToGrid w:val="0"/>
              <w:jc w:val="center"/>
              <w:rPr>
                <w:rFonts w:ascii="Times New Roman" w:hAnsi="Times New Roman"/>
                <w:bCs/>
                <w:color w:val="auto"/>
                <w:spacing w:val="10"/>
                <w:sz w:val="24"/>
              </w:rPr>
            </w:pPr>
            <w:r>
              <w:rPr>
                <w:rFonts w:ascii="Times New Roman" w:hAnsi="Times New Roman"/>
                <w:bCs/>
                <w:color w:val="auto"/>
                <w:spacing w:val="10"/>
                <w:sz w:val="24"/>
              </w:rPr>
              <w:t>运营期生态环境保护措施</w:t>
            </w:r>
          </w:p>
        </w:tc>
        <w:tc>
          <w:tcPr>
            <w:tcW w:w="8295" w:type="dxa"/>
            <w:vAlign w:val="center"/>
          </w:tcPr>
          <w:p>
            <w:pPr>
              <w:pStyle w:val="48"/>
              <w:numPr>
                <w:ilvl w:val="0"/>
                <w:numId w:val="9"/>
              </w:numPr>
              <w:spacing w:line="360" w:lineRule="auto"/>
              <w:ind w:firstLine="482"/>
              <w:jc w:val="both"/>
              <w:rPr>
                <w:rFonts w:ascii="Times New Roman" w:hAnsi="Times New Roman"/>
                <w:b/>
                <w:color w:val="auto"/>
              </w:rPr>
            </w:pPr>
            <w:r>
              <w:rPr>
                <w:rFonts w:ascii="Times New Roman" w:hAnsi="Times New Roman"/>
                <w:b/>
                <w:color w:val="auto"/>
              </w:rPr>
              <w:t>运营期生态环境保护措施</w:t>
            </w:r>
          </w:p>
          <w:p>
            <w:pPr>
              <w:pStyle w:val="74"/>
              <w:adjustRightInd w:val="0"/>
              <w:spacing w:line="360" w:lineRule="auto"/>
              <w:ind w:firstLine="480"/>
              <w:jc w:val="both"/>
              <w:outlineLvl w:val="9"/>
              <w:rPr>
                <w:rFonts w:ascii="Times New Roman" w:hAnsi="Times New Roman"/>
                <w:b w:val="0"/>
                <w:bCs/>
                <w:color w:val="auto"/>
                <w:szCs w:val="24"/>
              </w:rPr>
            </w:pPr>
            <w:r>
              <w:rPr>
                <w:rFonts w:ascii="Times New Roman" w:hAnsi="Times New Roman"/>
                <w:b w:val="0"/>
                <w:bCs/>
                <w:color w:val="auto"/>
                <w:szCs w:val="24"/>
              </w:rPr>
              <w:t>（1）定期检查管线，如发生管线老化、接口断裂，及时更换管线；管道维修二次开挖回填时，应及时回填平整，以使植被得到有效恢复。</w:t>
            </w:r>
          </w:p>
          <w:p>
            <w:pPr>
              <w:pStyle w:val="74"/>
              <w:adjustRightInd w:val="0"/>
              <w:spacing w:line="360" w:lineRule="auto"/>
              <w:ind w:firstLine="480"/>
              <w:jc w:val="both"/>
              <w:outlineLvl w:val="9"/>
              <w:rPr>
                <w:rFonts w:ascii="Times New Roman" w:hAnsi="Times New Roman"/>
                <w:color w:val="auto"/>
                <w:szCs w:val="24"/>
              </w:rPr>
            </w:pPr>
            <w:r>
              <w:rPr>
                <w:rFonts w:ascii="Times New Roman" w:hAnsi="Times New Roman"/>
                <w:b w:val="0"/>
                <w:bCs/>
                <w:color w:val="auto"/>
                <w:szCs w:val="24"/>
              </w:rPr>
              <w:t>（2）加强环境保护宣传工作，提高环保意识，特别是对野生动物和自然植被的保护，通过宣传和严格的检查管理措施，达到保护生态环境的目的。</w:t>
            </w:r>
          </w:p>
          <w:p>
            <w:pPr>
              <w:pStyle w:val="74"/>
              <w:adjustRightInd w:val="0"/>
              <w:spacing w:line="360" w:lineRule="auto"/>
              <w:ind w:firstLine="480"/>
              <w:jc w:val="both"/>
              <w:outlineLvl w:val="9"/>
              <w:rPr>
                <w:rFonts w:ascii="Times New Roman" w:hAnsi="Times New Roman"/>
                <w:b w:val="0"/>
                <w:bCs/>
                <w:color w:val="auto"/>
                <w:szCs w:val="24"/>
              </w:rPr>
            </w:pPr>
            <w:r>
              <w:rPr>
                <w:rFonts w:ascii="Times New Roman" w:hAnsi="Times New Roman"/>
                <w:b w:val="0"/>
                <w:bCs/>
                <w:color w:val="auto"/>
                <w:szCs w:val="24"/>
              </w:rPr>
              <mc:AlternateContent>
                <mc:Choice Requires="wps">
                  <w:drawing>
                    <wp:anchor distT="0" distB="0" distL="114300" distR="114300" simplePos="0" relativeHeight="251661312" behindDoc="0" locked="0" layoutInCell="1" allowOverlap="1">
                      <wp:simplePos x="0" y="0"/>
                      <wp:positionH relativeFrom="column">
                        <wp:posOffset>2595880</wp:posOffset>
                      </wp:positionH>
                      <wp:positionV relativeFrom="paragraph">
                        <wp:posOffset>84455</wp:posOffset>
                      </wp:positionV>
                      <wp:extent cx="635" cy="635"/>
                      <wp:effectExtent l="38100" t="38100" r="38100" b="38100"/>
                      <wp:wrapNone/>
                      <wp:docPr id="9" name="墨迹 9"/>
                      <wp:cNvGraphicFramePr/>
                      <a:graphic xmlns:a="http://schemas.openxmlformats.org/drawingml/2006/main">
                        <a:graphicData uri="http://schemas.microsoft.com/office/word/2010/wordprocessingInk">
                          <mc:AlternateContent xmlns:a14="http://schemas.microsoft.com/office/drawing/2010/main">
                            <mc:Choice Requires="a14">
                              <w14:contentPart bwMode="auto" r:id="rId25">
                                <w14:nvContentPartPr>
                                  <w14:cNvPr id="9" name="墨迹 9"/>
                                  <w14:cNvContentPartPr/>
                                </w14:nvContentPartPr>
                                <w14:xfrm>
                                  <a:off x="0" y="0"/>
                                  <a:ext cx="360" cy="360"/>
                                </w14:xfrm>
                              </w14:contentPart>
                            </mc:Choice>
                          </mc:AlternateContent>
                        </a:graphicData>
                      </a:graphic>
                    </wp:anchor>
                  </w:drawing>
                </mc:Choice>
                <mc:Fallback>
                  <w:pict>
                    <v:shape id="_x0000_s1026" o:spid="_x0000_s1026" o:spt="75" style="position:absolute;left:0pt;margin-left:204.4pt;margin-top:6.65pt;height:0.05pt;width:0.05pt;z-index:251661312;mso-width-relative:page;mso-height-relative:page;" coordsize="21600,21600" o:gfxdata="UEsDBAoAAAAAAIdO4kAAAAAAAAAAAAAAAAAEAAAAZHJzL1BLAwQUAAAACACHTuJAlxmKXdYAAAAJ&#10;AQAADwAAAGRycy9kb3ducmV2LnhtbE2PwW7CMBBE75X6D9ZW6q3YlDSiIQ6HSkjtASSgH+DESxIR&#10;r9PYgfD3XU7tcWdGs2/y9eQ6ccEhtJ40zGcKBFLlbUu1hu/j5mUJIkRD1nSeUMMNA6yLx4fcZNZf&#10;aY+XQ6wFl1DIjIYmxj6TMlQNOhNmvkdi7+QHZyKfQy3tYK5c7jr5qlQqnWmJPzSmx48Gq/NhdBq2&#10;5U/Yb8e4S95um8/pa3dO21Rp/fw0VysQEaf4F4Y7PqNDwUylH8kG0WlI1JLRIxuLBQgOsPAOorwL&#10;Ccgil/8XFL9QSwMEFAAAAAgAh07iQJwVXXSBAQAAawMAAA4AAABkcnMvZTJvRG9jLnhtbK1TS07D&#10;MBDdI3EHy3uatKAKoqZdUCF1QekCDmAcu7GIPdHYbdrrsOIKrDgNEsdgkv6LkCrExrJn7Dfvk/QG&#10;C1uwuUJvwKW83Yo5U05CZtw05U+PdxfXnPkgXCYKcCrlS+X5oH9+1qvKRHUghyJTyAjE+aQqU56H&#10;UCZR5GWurPAtKJWjpga0ItARp1GGoiJ0W0SdOO5GFWBWIkjlPVWHqyZfI+IpgKC1kWoIcmaVCytU&#10;VIUIJMnnpvS837DVWsnwoLVXgRUpJ6WhWWkI7Z/rNer3RDJFUeZGrimIUygcabLCOBq6hRqKINgM&#10;zQ8oaySCBx1aEmy0EtI4Qira8ZE3I/dSK2lfyRkmElwgtROBYeN+0/jLCFuQ/OoeMspXzAL8s/sM&#10;E5OlHEdZe8ffzW93Cia40zWeT5DV9284c8ISpc/Xt6+Pd3ZTp7NRPz58Tp1o3foNeKHR1pGQyWzR&#10;JL7cJq4WgUkqXnbpQ5BUrzd7mKu3mwl71tPYg5D3zzWlvX+k/w1QSwMECgAAAAAAh07iQAAAAAAA&#10;AAAAAAAAAAgAAABkcnMvaW5rL1BLAwQUAAAACACHTuJAJrJ5QcEBAAByBAAAEAAAAGRycy9pbmsv&#10;aW5rMS54bWy1U8FuozAQva+0/2C5h71swAaSEFTSW6SVttJq20rtkYIbrGI7sk1J/r6DASdq0kNX&#10;WpCQGXvezHvzfH2zFw16Y9pwJXNMA4IRk6WquNzm+OF+M0sxMraQVdEoyXJ8YAbfrL9/u+byVTQZ&#10;fBEgSNOvRJPj2tpdFoZd1wVdHCi9DSNC4vCXfL39jddjVsVeuOQWSpopVCpp2d72YBmvclzaPfHn&#10;AftOtbpkfruP6PJ4wuqiZBulRWE9Yl1IyRokCwF9P2JkDztYcKizZRqjFjowUEjg8HLK09dTNmcp&#10;otiDrCSKPxQMnV7Z533/0WrHtOXsKNFAaNw4oHL4d9wGkpoZ1bS9rhi9FU0LdKM0iJNFMl8sVtGK&#10;xolvg4YXmJ9jgwj/DRvU+hw7SBO6WJ61O+o2cj8VadzxXpmGarlg4GCx8+axBlzeh++sdj6PSDSf&#10;keWMJPc0zWiSRaveFFOtwZoT3rNuTe2xnvXRhG7HSzhQ63hlaz8NEkAlz+l0AJdya8a3tf3H5FI1&#10;Clw+2uCKuOeElSvoOV64kc6aaLyXf9lLjq/cpUQucwg49hQRFCXz5fznDwLvLKUrOmnnQHwVmM36&#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5&#10;GLyduAAAACEBAAAZAAAAZHJzL19yZWxzL2Uyb0RvYy54bWwucmVsc4XPsWrEMAwG4L3QdzDaGyUd&#10;ylHiZDkOspYUbjWOkpjEsrGc0nv7euzBwQ0ahND3S23/63f1Q0lcYA1NVYMitmFyvGj4Hi9vJ1CS&#10;DU9mD0wabiTQd68v7RftJpclWV0UVRQWDWvO8RNR7EreSBUicZnMIXmTS5sWjMZuZiF8r+sPTP8N&#10;6O5MNUwa0jA1oMZbLMnP7TDPztI52MMT5wcRaA/JwV/9XlCTFsoaHG9YqqnKoYBdi3ePdX9QSwME&#10;FAAAAAgAh07iQAMVKdoFAQAALQIAABMAAABbQ29udGVudF9UeXBlc10ueG1slZHBTsMwEETvSPyD&#10;5StKnPaAEGrSAylHQKh8gGVvEqv22vKa0P49TtpeEKXi4IO9M29G69V67ywbIZLxWPNFWXEGqLw2&#10;2Nf8Y/tcPHBGSaKW1iPU/ADE183tzWp7CEAsu5FqPqQUHoUgNYCTVPoAmCedj06mfI29CFLtZA9i&#10;WVX3QnlMgKlIE4M3qxY6+WkT2+zz87FJBEucPR2FU1bNZQjWKJlyUzGi/pFSnBLK7Jw1NJhAd7kG&#10;F78mTJPLASffa15NNBrYm4zpRbpcQ+hIQvsvjDCWf0Omlo4K33VGQdlGarPtHcZzq0t0WPrWq//C&#10;N7PrGtvgTuSzuELPEmfPLDF/dvMNUEsBAhQAFAAAAAgAh07iQAMVKdoFAQAALQIAABMAAAAAAAAA&#10;AQAgAAAAHAcAAFtDb250ZW50X1R5cGVzXS54bWxQSwECFAAKAAAAAACHTuJAAAAAAAAAAAAAAAAA&#10;BgAAAAAAAAAAABAAAADnBAAAX3JlbHMvUEsBAhQAFAAAAAgAh07iQIoUZjzRAAAAlAEAAAsAAAAA&#10;AAAAAQAgAAAACwUAAF9yZWxzLy5yZWxzUEsBAhQACgAAAAAAh07iQAAAAAAAAAAAAAAAAAQAAAAA&#10;AAAAAAAQAAAAAAAAAGRycy9QSwECFAAKAAAAAACHTuJAAAAAAAAAAAAAAAAACgAAAAAAAAAAABAA&#10;AAAFBgAAZHJzL19yZWxzL1BLAQIUABQAAAAIAIdO4kB5GLyduAAAACEBAAAZAAAAAAAAAAEAIAAA&#10;AC0GAABkcnMvX3JlbHMvZTJvRG9jLnhtbC5yZWxzUEsBAhQAFAAAAAgAh07iQJcZil3WAAAACQEA&#10;AA8AAAAAAAAAAQAgAAAAIgAAAGRycy9kb3ducmV2LnhtbFBLAQIUABQAAAAIAIdO4kCcFV10gQEA&#10;AGsDAAAOAAAAAAAAAAEAIAAAACUBAABkcnMvZTJvRG9jLnhtbFBLAQIUAAoAAAAAAIdO4kAAAAAA&#10;AAAAAAAAAAAIAAAAAAAAAAAAEAAAANICAABkcnMvaW5rL1BLAQIUABQAAAAIAIdO4kAmsnlBwQEA&#10;AHIEAAAQAAAAAAAAAAEAIAAAAPgCAABkcnMvaW5rL2luazEueG1sUEsFBgAAAAAKAAoATAIAAFII&#10;AAAAAA==&#10;">
                      <v:imagedata r:id="rId26" o:title=""/>
                      <o:lock v:ext="edit"/>
                    </v:shape>
                  </w:pict>
                </mc:Fallback>
              </mc:AlternateContent>
            </w:r>
            <w:r>
              <w:rPr>
                <w:rFonts w:ascii="Times New Roman" w:hAnsi="Times New Roman"/>
                <w:b w:val="0"/>
                <w:bCs/>
                <w:color w:val="auto"/>
                <w:szCs w:val="24"/>
              </w:rPr>
              <w:t>（3）加强对《中华人民共和国野生动物保护法》及《中华人民共和国野生植物保护条例》的普及、教育工作，强化保护野生动植物的观念，让油区工作人员明确破坏保护植物，捕猎、杀害保护动物的法律后果，理解保护野生动植物的重要意义。</w:t>
            </w:r>
          </w:p>
          <w:p>
            <w:pPr>
              <w:pStyle w:val="74"/>
              <w:adjustRightInd w:val="0"/>
              <w:spacing w:line="360" w:lineRule="auto"/>
              <w:ind w:firstLine="480"/>
              <w:jc w:val="both"/>
              <w:outlineLvl w:val="9"/>
              <w:rPr>
                <w:rFonts w:ascii="Times New Roman" w:hAnsi="Times New Roman"/>
                <w:b w:val="0"/>
                <w:bCs/>
                <w:color w:val="auto"/>
                <w:szCs w:val="24"/>
              </w:rPr>
            </w:pPr>
            <w:r>
              <w:rPr>
                <w:rFonts w:hint="eastAsia" w:ascii="Times New Roman" w:hAnsi="Times New Roman"/>
                <w:b w:val="0"/>
                <w:bCs/>
                <w:color w:val="auto"/>
                <w:szCs w:val="24"/>
              </w:rPr>
              <w:t>（4）如发生污染农田的事故后，应及时委托具有HW08危废处理资质单位对污染的农田进行转运处置。</w:t>
            </w:r>
          </w:p>
          <w:p>
            <w:pPr>
              <w:pStyle w:val="33"/>
              <w:adjustRightInd w:val="0"/>
              <w:spacing w:before="0" w:beforeAutospacing="0" w:after="0" w:afterAutospacing="0" w:line="360" w:lineRule="auto"/>
              <w:ind w:firstLine="480" w:firstLineChars="200"/>
              <w:jc w:val="both"/>
              <w:rPr>
                <w:rFonts w:ascii="Times New Roman" w:hAnsi="Times New Roman"/>
                <w:color w:val="auto"/>
              </w:rPr>
            </w:pPr>
            <w:r>
              <w:rPr>
                <w:rFonts w:ascii="Times New Roman" w:hAnsi="Times New Roman"/>
                <w:color w:val="auto"/>
              </w:rPr>
              <w:t>采取上述措施后，项目运营期对周围生态环境的影响不大。</w:t>
            </w:r>
          </w:p>
          <w:p>
            <w:pPr>
              <w:pStyle w:val="48"/>
              <w:numPr>
                <w:ilvl w:val="0"/>
                <w:numId w:val="10"/>
              </w:numPr>
              <w:spacing w:line="360" w:lineRule="auto"/>
              <w:ind w:firstLine="482"/>
              <w:jc w:val="both"/>
              <w:rPr>
                <w:rFonts w:ascii="Times New Roman" w:hAnsi="Times New Roman"/>
                <w:b/>
                <w:color w:val="auto"/>
              </w:rPr>
            </w:pPr>
            <w:r>
              <w:rPr>
                <w:rFonts w:ascii="Times New Roman" w:hAnsi="Times New Roman"/>
                <w:b/>
                <w:color w:val="auto"/>
              </w:rPr>
              <w:t>运营期大气污染防治措施</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（1）选用质量可靠的设备、仪表、阀门等；定期对井场的设备、阀门等检查、检修，以防止</w:t>
            </w:r>
            <w:r>
              <w:rPr>
                <w:rFonts w:hint="eastAsia" w:ascii="Times New Roman" w:hAnsi="Times New Roman"/>
                <w:color w:val="auto"/>
                <w:sz w:val="24"/>
              </w:rPr>
              <w:t>“</w:t>
            </w:r>
            <w:r>
              <w:rPr>
                <w:rFonts w:ascii="Times New Roman" w:hAnsi="Times New Roman"/>
                <w:color w:val="auto"/>
                <w:sz w:val="24"/>
              </w:rPr>
              <w:t>跑、冒、</w:t>
            </w:r>
            <w:r>
              <w:rPr>
                <w:rFonts w:hint="eastAsia" w:ascii="Times New Roman" w:hAnsi="Times New Roman"/>
                <w:color w:val="auto"/>
                <w:sz w:val="24"/>
              </w:rPr>
              <w:t>滴、</w:t>
            </w:r>
            <w:r>
              <w:rPr>
                <w:rFonts w:ascii="Times New Roman" w:hAnsi="Times New Roman"/>
                <w:color w:val="auto"/>
                <w:sz w:val="24"/>
              </w:rPr>
              <w:t>漏</w:t>
            </w:r>
            <w:r>
              <w:rPr>
                <w:rFonts w:hint="eastAsia" w:ascii="Times New Roman" w:hAnsi="Times New Roman"/>
                <w:color w:val="auto"/>
                <w:sz w:val="24"/>
              </w:rPr>
              <w:t>”</w:t>
            </w:r>
            <w:r>
              <w:rPr>
                <w:rFonts w:ascii="Times New Roman" w:hAnsi="Times New Roman"/>
                <w:color w:val="auto"/>
                <w:sz w:val="24"/>
              </w:rPr>
              <w:t>现象的发生。</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（2）定期对集输管线和单井井场各设备进行巡检，以便及时发现问题，防止原油泄漏进入环境中污染大气。</w:t>
            </w:r>
          </w:p>
          <w:p>
            <w:pPr>
              <w:pStyle w:val="48"/>
              <w:spacing w:line="360" w:lineRule="auto"/>
              <w:ind w:firstLine="480"/>
              <w:jc w:val="both"/>
              <w:rPr>
                <w:rFonts w:ascii="Times New Roman" w:hAnsi="Times New Roman"/>
                <w:color w:val="auto"/>
              </w:rPr>
            </w:pPr>
            <w:r>
              <w:rPr>
                <w:rFonts w:ascii="Times New Roman" w:hAnsi="Times New Roman"/>
                <w:color w:val="auto"/>
              </w:rPr>
              <w:t>（3）加强油井生产管理，减少烃类的跑、冒、滴、漏，做好油井的压力监测，并准备应急措施。</w:t>
            </w:r>
          </w:p>
          <w:p>
            <w:pPr>
              <w:pStyle w:val="48"/>
              <w:spacing w:line="360" w:lineRule="auto"/>
              <w:ind w:firstLine="480"/>
              <w:jc w:val="both"/>
              <w:rPr>
                <w:rFonts w:ascii="Times New Roman" w:hAnsi="Times New Roman"/>
                <w:color w:val="auto"/>
                <w:szCs w:val="20"/>
              </w:rPr>
            </w:pPr>
            <w:r>
              <w:rPr>
                <w:rFonts w:ascii="Times New Roman" w:hAnsi="Times New Roman"/>
                <w:color w:val="auto"/>
                <w:szCs w:val="20"/>
              </w:rPr>
              <w:t>（4）应加强对密闭管线及密封点的巡检，一旦发生泄漏立即切断控制阀，并在5日内完成修复。</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在采取上述措施后，</w:t>
            </w:r>
            <w:r>
              <w:rPr>
                <w:rFonts w:hint="eastAsia" w:ascii="Times New Roman" w:hAnsi="Times New Roman"/>
                <w:color w:val="auto"/>
                <w:sz w:val="24"/>
              </w:rPr>
              <w:t>项目区厂界非甲烷总烃的浓度满足《陆上石油天然气开采工业大气污染物排放标准》（GB 39728-2020）中企业边界污染物控制要求，</w:t>
            </w:r>
            <w:r>
              <w:rPr>
                <w:rFonts w:ascii="Times New Roman" w:hAnsi="Times New Roman"/>
                <w:color w:val="auto"/>
                <w:sz w:val="24"/>
              </w:rPr>
              <w:t>项目运营期对大气环境的影响不大。</w:t>
            </w:r>
          </w:p>
          <w:p>
            <w:pPr>
              <w:pStyle w:val="48"/>
              <w:spacing w:line="360" w:lineRule="auto"/>
              <w:ind w:firstLine="482"/>
              <w:jc w:val="both"/>
              <w:rPr>
                <w:rFonts w:ascii="Times New Roman" w:hAnsi="Times New Roman"/>
                <w:b/>
                <w:color w:val="auto"/>
                <w:szCs w:val="20"/>
              </w:rPr>
            </w:pPr>
            <w:r>
              <w:rPr>
                <w:rFonts w:ascii="Times New Roman" w:hAnsi="Times New Roman"/>
                <w:b/>
                <w:color w:val="auto"/>
                <w:szCs w:val="20"/>
              </w:rPr>
              <w:t>3</w:t>
            </w:r>
            <w:r>
              <w:rPr>
                <w:rFonts w:hint="eastAsia" w:ascii="Times New Roman" w:hAnsi="Times New Roman"/>
                <w:b/>
                <w:color w:val="auto"/>
                <w:szCs w:val="20"/>
              </w:rPr>
              <w:t>．</w:t>
            </w:r>
            <w:r>
              <w:rPr>
                <w:rFonts w:ascii="Times New Roman" w:hAnsi="Times New Roman"/>
                <w:b/>
                <w:color w:val="auto"/>
                <w:szCs w:val="20"/>
              </w:rPr>
              <w:t>运营期水环境污染防治措施</w:t>
            </w:r>
          </w:p>
          <w:p>
            <w:pPr>
              <w:pStyle w:val="48"/>
              <w:spacing w:line="360" w:lineRule="auto"/>
              <w:ind w:firstLine="480"/>
              <w:jc w:val="both"/>
              <w:rPr>
                <w:rFonts w:ascii="Times New Roman" w:hAnsi="Times New Roman"/>
                <w:color w:val="auto"/>
                <w:szCs w:val="20"/>
              </w:rPr>
            </w:pPr>
            <w:r>
              <w:rPr>
                <w:rFonts w:ascii="Times New Roman" w:hAnsi="Times New Roman"/>
                <w:color w:val="auto"/>
                <w:szCs w:val="20"/>
              </w:rPr>
              <w:t>废水主要为井下作业废水和采出水，项目产生废水由罐车拉运至春光联合站采出水处理系统处理，达标后回注地层，不外排，故正常工况下不会对地下水环境产生影响。采出水和井下作业废水经处理后达到《碎屑岩油藏注水水质指标及分析方法》（SY/T5329-2012）中的有关标准后回注油层，不外排，废水得到妥善处置，正常情况下不会形成地表径流，不会对地下水产生不利影响。单井集输管线发生</w:t>
            </w:r>
            <w:r>
              <w:rPr>
                <w:rFonts w:ascii="Times New Roman" w:hAnsi="Times New Roman"/>
                <w:color w:val="auto"/>
                <w:szCs w:val="21"/>
                <w:lang w:bidi="ar"/>
              </w:rPr>
              <w:t>原油</w:t>
            </w:r>
            <w:r>
              <w:rPr>
                <w:rFonts w:ascii="Times New Roman" w:hAnsi="Times New Roman"/>
                <w:color w:val="auto"/>
                <w:szCs w:val="20"/>
              </w:rPr>
              <w:t>泄漏对地下水体的影响概率不大，及时采取有效措施治理污染的前提下，不会造成地下水污染</w:t>
            </w:r>
            <w:r>
              <w:rPr>
                <w:rFonts w:hint="eastAsia" w:ascii="Times New Roman" w:hAnsi="Times New Roman"/>
                <w:color w:val="auto"/>
                <w:szCs w:val="20"/>
              </w:rPr>
              <w:t>，发生井喷、井漏、油水窜层、管线等事故时，立即采取相应的应急措施并启动突发环境风险应急预案，对水环境的影响较小，</w:t>
            </w:r>
            <w:r>
              <w:rPr>
                <w:rFonts w:ascii="Times New Roman" w:hAnsi="Times New Roman"/>
                <w:color w:val="auto"/>
                <w:szCs w:val="20"/>
              </w:rPr>
              <w:t>具体见地下水环境影响评价专项报告。</w:t>
            </w:r>
          </w:p>
          <w:p>
            <w:pPr>
              <w:pStyle w:val="48"/>
              <w:spacing w:line="360" w:lineRule="auto"/>
              <w:ind w:firstLine="482"/>
              <w:jc w:val="both"/>
              <w:rPr>
                <w:rFonts w:ascii="Times New Roman" w:hAnsi="Times New Roman"/>
                <w:b/>
                <w:color w:val="auto"/>
                <w:szCs w:val="20"/>
              </w:rPr>
            </w:pPr>
            <w:r>
              <w:rPr>
                <w:rFonts w:ascii="Times New Roman" w:hAnsi="Times New Roman"/>
                <w:b/>
                <w:color w:val="auto"/>
                <w:szCs w:val="20"/>
              </w:rPr>
              <w:t>4</w:t>
            </w:r>
            <w:r>
              <w:rPr>
                <w:rFonts w:hint="eastAsia" w:ascii="Times New Roman" w:hAnsi="Times New Roman"/>
                <w:b/>
                <w:color w:val="auto"/>
                <w:szCs w:val="20"/>
              </w:rPr>
              <w:t>．</w:t>
            </w:r>
            <w:r>
              <w:rPr>
                <w:rFonts w:ascii="Times New Roman" w:hAnsi="Times New Roman"/>
                <w:b/>
                <w:color w:val="auto"/>
                <w:szCs w:val="20"/>
              </w:rPr>
              <w:t>运营期噪声污染防治措施</w:t>
            </w:r>
          </w:p>
          <w:p>
            <w:pPr>
              <w:pStyle w:val="48"/>
              <w:spacing w:line="360" w:lineRule="auto"/>
              <w:ind w:firstLine="480"/>
              <w:jc w:val="both"/>
              <w:rPr>
                <w:rFonts w:ascii="Times New Roman" w:hAnsi="Times New Roman"/>
                <w:color w:val="auto"/>
              </w:rPr>
            </w:pPr>
            <w:r>
              <w:rPr>
                <w:rFonts w:ascii="Times New Roman" w:hAnsi="Times New Roman"/>
                <w:color w:val="auto"/>
              </w:rPr>
              <w:t>建设单位应尽量选用低噪声设备，定期给抽油机、运输车辆等高噪声设备进行保养和维修，同时加强噪声防范，做好个人防护工作。在采取上述措施后，项目运营期对声环境的影响不大。</w:t>
            </w:r>
          </w:p>
          <w:p>
            <w:pPr>
              <w:adjustRightInd w:val="0"/>
              <w:snapToGrid w:val="0"/>
              <w:spacing w:line="360" w:lineRule="auto"/>
              <w:ind w:firstLine="482" w:firstLineChars="200"/>
              <w:jc w:val="both"/>
              <w:rPr>
                <w:rFonts w:ascii="Times New Roman" w:hAnsi="Times New Roman"/>
                <w:bCs/>
                <w:color w:val="auto"/>
                <w:sz w:val="24"/>
              </w:rPr>
            </w:pPr>
            <w:r>
              <w:rPr>
                <w:rFonts w:ascii="Times New Roman" w:hAnsi="Times New Roman"/>
                <w:b/>
                <w:bCs/>
                <w:color w:val="auto"/>
                <w:sz w:val="24"/>
              </w:rPr>
              <w:t>5</w:t>
            </w:r>
            <w:r>
              <w:rPr>
                <w:rFonts w:hint="eastAsia" w:ascii="Times New Roman" w:hAnsi="Times New Roman"/>
                <w:b/>
                <w:bCs/>
                <w:color w:val="auto"/>
                <w:sz w:val="24"/>
              </w:rPr>
              <w:t>．</w:t>
            </w:r>
            <w:r>
              <w:rPr>
                <w:rFonts w:ascii="Times New Roman" w:hAnsi="Times New Roman"/>
                <w:b/>
                <w:bCs/>
                <w:color w:val="auto"/>
                <w:sz w:val="24"/>
              </w:rPr>
              <w:t>运营期固体废物处置措施</w:t>
            </w:r>
          </w:p>
          <w:p>
            <w:pPr>
              <w:adjustRightInd w:val="0"/>
              <w:snapToGrid w:val="0"/>
              <w:spacing w:line="360" w:lineRule="auto"/>
              <w:ind w:firstLine="480" w:firstLineChars="200"/>
              <w:jc w:val="both"/>
              <w:rPr>
                <w:rFonts w:ascii="Times New Roman" w:hAnsi="Times New Roman"/>
                <w:color w:val="auto"/>
                <w:spacing w:val="-20"/>
                <w:sz w:val="24"/>
              </w:rPr>
            </w:pPr>
            <w:r>
              <w:rPr>
                <w:rFonts w:ascii="Times New Roman" w:hAnsi="Times New Roman"/>
                <w:color w:val="auto"/>
                <w:sz w:val="24"/>
              </w:rPr>
              <w:t>事故状态下会产生一定量的落地油，落地油上层能收集，尽量收集，送至春光联合处理站原油处理系统处理，不能收集的落地油和受浸染的土壤为含油污泥，集中收集后交由具有相应危险废物处置</w:t>
            </w:r>
            <w:r>
              <w:rPr>
                <w:rFonts w:ascii="Times New Roman" w:hAnsi="Times New Roman"/>
                <w:color w:val="auto"/>
                <w:spacing w:val="-20"/>
                <w:sz w:val="24"/>
              </w:rPr>
              <w:t>资质的单位负责接收、转运和处置。</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油泥（砂）主要为</w:t>
            </w:r>
            <w:r>
              <w:rPr>
                <w:rFonts w:hint="eastAsia" w:ascii="Times New Roman" w:hAnsi="Times New Roman"/>
                <w:color w:val="auto"/>
                <w:sz w:val="24"/>
              </w:rPr>
              <w:t>春光</w:t>
            </w:r>
            <w:r>
              <w:rPr>
                <w:rFonts w:ascii="Times New Roman" w:hAnsi="Times New Roman"/>
                <w:color w:val="auto"/>
                <w:sz w:val="24"/>
              </w:rPr>
              <w:t>联合站的污水处理系统或沉降油罐、拉油罐产生的沉淀物，部分为原油，部分为泥土等杂质，属于危险废物（HW08）（071-001-08）。本项目运营后，原油及采出水依托</w:t>
            </w:r>
            <w:r>
              <w:rPr>
                <w:rFonts w:hint="eastAsia" w:ascii="Times New Roman" w:hAnsi="Times New Roman"/>
                <w:color w:val="auto"/>
                <w:sz w:val="24"/>
              </w:rPr>
              <w:t>春光</w:t>
            </w:r>
            <w:r>
              <w:rPr>
                <w:rFonts w:ascii="Times New Roman" w:hAnsi="Times New Roman"/>
                <w:color w:val="auto"/>
                <w:sz w:val="24"/>
              </w:rPr>
              <w:t>联合站进行处理，故</w:t>
            </w:r>
            <w:r>
              <w:rPr>
                <w:rFonts w:hint="eastAsia" w:ascii="Times New Roman" w:hAnsi="Times New Roman"/>
                <w:color w:val="auto"/>
                <w:sz w:val="24"/>
              </w:rPr>
              <w:t>春光</w:t>
            </w:r>
            <w:r>
              <w:rPr>
                <w:rFonts w:ascii="Times New Roman" w:hAnsi="Times New Roman"/>
                <w:color w:val="auto"/>
                <w:sz w:val="24"/>
              </w:rPr>
              <w:t>联合站原油及污水处理系统装置均会增加产生一定量的油泥砂。油泥（砂）产生量与油井的出砂情况有关，根据《排放源统计调查产排污核算方法和系数手册》（2021 年）中07 石油和天然气开采业行业系数手册（续35），稠油采出液处理产生的油泥砂产污系数为200.62t/万吨原油，本项目以原油3.15×10</w:t>
            </w:r>
            <w:r>
              <w:rPr>
                <w:rFonts w:ascii="Times New Roman" w:hAnsi="Times New Roman"/>
                <w:color w:val="auto"/>
                <w:sz w:val="24"/>
                <w:vertAlign w:val="superscript"/>
              </w:rPr>
              <w:t>4</w:t>
            </w:r>
            <w:r>
              <w:rPr>
                <w:rFonts w:ascii="Times New Roman" w:hAnsi="Times New Roman"/>
                <w:color w:val="auto"/>
                <w:sz w:val="24"/>
              </w:rPr>
              <w:t>t/a计算，油泥（砂）最大产生量为631.95t/a，委托新疆锦恒利废矿物油处置有限公司接收处置，对周边环境影响较小。</w:t>
            </w:r>
          </w:p>
          <w:p>
            <w:pPr>
              <w:adjustRightInd w:val="0"/>
              <w:snapToGrid w:val="0"/>
              <w:spacing w:line="360" w:lineRule="auto"/>
              <w:ind w:firstLine="480" w:firstLineChars="200"/>
              <w:jc w:val="both"/>
              <w:rPr>
                <w:rFonts w:ascii="Times New Roman" w:hAnsi="Times New Roman"/>
                <w:color w:val="auto"/>
                <w:sz w:val="24"/>
                <w:lang w:val="zh-CN"/>
              </w:rPr>
            </w:pPr>
            <w:r>
              <w:rPr>
                <w:rFonts w:ascii="Times New Roman" w:hAnsi="Times New Roman"/>
                <w:color w:val="auto"/>
                <w:sz w:val="24"/>
                <w:lang w:val="zh-CN"/>
              </w:rPr>
              <w:t>本项目运营期固体废物污染防治采取如下治理措施：</w:t>
            </w:r>
          </w:p>
          <w:p>
            <w:pPr>
              <w:adjustRightInd w:val="0"/>
              <w:snapToGrid w:val="0"/>
              <w:spacing w:line="360" w:lineRule="auto"/>
              <w:ind w:firstLine="480" w:firstLineChars="200"/>
              <w:jc w:val="both"/>
              <w:rPr>
                <w:rFonts w:ascii="Times New Roman" w:hAnsi="Times New Roman"/>
                <w:color w:val="auto"/>
                <w:sz w:val="24"/>
                <w:lang w:val="zh-CN"/>
              </w:rPr>
            </w:pPr>
            <w:r>
              <w:rPr>
                <w:rFonts w:ascii="Times New Roman" w:hAnsi="Times New Roman"/>
                <w:color w:val="auto"/>
                <w:sz w:val="24"/>
                <w:lang w:val="zh-CN"/>
              </w:rPr>
              <w:t>（1）加强监督力度，最大限度控制落地油产生。井下作业时按照</w:t>
            </w:r>
            <w:r>
              <w:rPr>
                <w:rFonts w:hint="eastAsia" w:ascii="Times New Roman" w:hAnsi="Times New Roman"/>
                <w:color w:val="auto"/>
                <w:sz w:val="24"/>
                <w:lang w:val="zh-CN"/>
              </w:rPr>
              <w:t>“</w:t>
            </w:r>
            <w:r>
              <w:rPr>
                <w:rFonts w:ascii="Times New Roman" w:hAnsi="Times New Roman"/>
                <w:color w:val="auto"/>
                <w:sz w:val="24"/>
                <w:lang w:val="zh-CN"/>
              </w:rPr>
              <w:t>带罐上岗</w:t>
            </w:r>
            <w:r>
              <w:rPr>
                <w:rFonts w:hint="eastAsia" w:ascii="Times New Roman" w:hAnsi="Times New Roman"/>
                <w:color w:val="auto"/>
                <w:sz w:val="24"/>
                <w:lang w:val="zh-CN"/>
              </w:rPr>
              <w:t>”</w:t>
            </w:r>
            <w:r>
              <w:rPr>
                <w:rFonts w:ascii="Times New Roman" w:hAnsi="Times New Roman"/>
                <w:color w:val="auto"/>
                <w:sz w:val="24"/>
                <w:lang w:val="zh-CN"/>
              </w:rPr>
              <w:t>的作业模式，防止产生落地原油。</w:t>
            </w:r>
          </w:p>
          <w:p>
            <w:pPr>
              <w:adjustRightInd w:val="0"/>
              <w:snapToGrid w:val="0"/>
              <w:spacing w:line="360" w:lineRule="auto"/>
              <w:ind w:firstLine="480" w:firstLineChars="200"/>
              <w:jc w:val="both"/>
              <w:rPr>
                <w:rFonts w:ascii="Times New Roman" w:hAnsi="Times New Roman"/>
                <w:color w:val="auto"/>
                <w:sz w:val="24"/>
                <w:lang w:val="zh-CN"/>
              </w:rPr>
            </w:pPr>
            <w:r>
              <w:rPr>
                <w:rFonts w:ascii="Times New Roman" w:hAnsi="Times New Roman"/>
                <w:color w:val="auto"/>
                <w:sz w:val="24"/>
                <w:lang w:val="zh-CN"/>
              </w:rPr>
              <w:t>（2）加强巡检，加大巡井频率，提高巡井有效性，发现对井场安全有影响的行为，及时制止、采取相应措施并向上级报告，尽量杜绝管线、阀门“跑、冒、滴、漏”及人为破坏现象。</w:t>
            </w:r>
          </w:p>
          <w:p>
            <w:pPr>
              <w:spacing w:line="360" w:lineRule="auto"/>
              <w:ind w:firstLine="480" w:firstLineChars="200"/>
              <w:jc w:val="both"/>
              <w:rPr>
                <w:color w:val="auto"/>
                <w:lang w:val="zh-CN"/>
              </w:rPr>
            </w:pPr>
            <w:r>
              <w:rPr>
                <w:rFonts w:ascii="Times New Roman" w:hAnsi="Times New Roman"/>
                <w:color w:val="auto"/>
                <w:sz w:val="24"/>
                <w:lang w:val="zh-CN"/>
              </w:rPr>
              <w:t>以上措施符合固体废物处置</w:t>
            </w:r>
            <w:r>
              <w:rPr>
                <w:rFonts w:hint="eastAsia" w:ascii="Times New Roman" w:hAnsi="Times New Roman"/>
                <w:color w:val="auto"/>
                <w:sz w:val="24"/>
                <w:lang w:val="zh-CN"/>
              </w:rPr>
              <w:t>“</w:t>
            </w:r>
            <w:r>
              <w:rPr>
                <w:rFonts w:ascii="Times New Roman" w:hAnsi="Times New Roman"/>
                <w:color w:val="auto"/>
                <w:sz w:val="24"/>
                <w:lang w:val="zh-CN"/>
              </w:rPr>
              <w:t>减量化、资源化、无害化</w:t>
            </w:r>
            <w:r>
              <w:rPr>
                <w:rFonts w:hint="eastAsia" w:ascii="Times New Roman" w:hAnsi="Times New Roman"/>
                <w:color w:val="auto"/>
                <w:sz w:val="24"/>
                <w:lang w:val="zh-CN"/>
              </w:rPr>
              <w:t>”</w:t>
            </w:r>
            <w:r>
              <w:rPr>
                <w:rFonts w:ascii="Times New Roman" w:hAnsi="Times New Roman"/>
                <w:color w:val="auto"/>
                <w:sz w:val="24"/>
                <w:lang w:val="zh-CN"/>
              </w:rPr>
              <w:t>原则，不会对周围环境产生不利影响。</w:t>
            </w:r>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6</w:t>
            </w:r>
            <w:r>
              <w:rPr>
                <w:rFonts w:hint="eastAsia" w:ascii="Times New Roman" w:hAnsi="Times New Roman"/>
                <w:b/>
                <w:bCs/>
                <w:color w:val="auto"/>
                <w:sz w:val="24"/>
              </w:rPr>
              <w:t>．</w:t>
            </w:r>
            <w:r>
              <w:rPr>
                <w:rFonts w:ascii="Times New Roman" w:hAnsi="Times New Roman"/>
                <w:b/>
                <w:bCs/>
                <w:color w:val="auto"/>
                <w:sz w:val="24"/>
              </w:rPr>
              <w:t>运营期土壤环境保护措施</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（1）罐车严格按照油田拉运路线行驶，不得因乱碾乱压破坏土壤结构。</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2）井下作业按照“带罐上岗”的作业模式，加强井场及管线巡检，避免因“跑、冒、滴、漏”或泄漏事故发生造成原油进入土壤，发生泄漏事故时应及时清理落地油，受污染的土壤应交由具有相应危险废物处置资质的单位负责接收、转运和处置，降低对土壤环境质量的影响程度。</w:t>
            </w:r>
          </w:p>
          <w:p>
            <w:pPr>
              <w:pStyle w:val="3"/>
              <w:adjustRightInd w:val="0"/>
              <w:snapToGrid w:val="0"/>
              <w:spacing w:before="0" w:after="0" w:line="360" w:lineRule="auto"/>
              <w:ind w:firstLine="480" w:firstLineChars="200"/>
              <w:jc w:val="both"/>
              <w:rPr>
                <w:rFonts w:ascii="Times New Roman" w:hAnsi="Times New Roman"/>
                <w:b w:val="0"/>
                <w:bCs w:val="0"/>
                <w:color w:val="auto"/>
                <w:sz w:val="24"/>
                <w:szCs w:val="24"/>
              </w:rPr>
            </w:pPr>
            <w:r>
              <w:rPr>
                <w:rFonts w:ascii="Times New Roman" w:hAnsi="Times New Roman"/>
                <w:b w:val="0"/>
                <w:bCs w:val="0"/>
                <w:color w:val="auto"/>
                <w:sz w:val="24"/>
                <w:szCs w:val="24"/>
              </w:rPr>
              <w:t>采取以上措施以后，项目运营期对土壤环境影响不大。</w:t>
            </w:r>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7</w:t>
            </w:r>
            <w:r>
              <w:rPr>
                <w:rFonts w:hint="eastAsia" w:ascii="Times New Roman" w:hAnsi="Times New Roman"/>
                <w:b/>
                <w:bCs/>
                <w:color w:val="auto"/>
                <w:sz w:val="24"/>
              </w:rPr>
              <w:t>．</w:t>
            </w:r>
            <w:r>
              <w:rPr>
                <w:rFonts w:ascii="Times New Roman" w:hAnsi="Times New Roman"/>
                <w:b/>
                <w:bCs/>
                <w:color w:val="auto"/>
                <w:sz w:val="24"/>
              </w:rPr>
              <w:t>运营期环境风险防范措施</w:t>
            </w:r>
          </w:p>
          <w:p>
            <w:pPr>
              <w:adjustRightInd w:val="0"/>
              <w:snapToGrid w:val="0"/>
              <w:spacing w:line="360" w:lineRule="auto"/>
              <w:ind w:firstLine="480" w:firstLineChars="200"/>
              <w:jc w:val="both"/>
              <w:rPr>
                <w:rFonts w:ascii="Times New Roman" w:hAnsi="Times New Roman"/>
                <w:bCs/>
                <w:color w:val="auto"/>
                <w:sz w:val="24"/>
              </w:rPr>
            </w:pPr>
            <w:r>
              <w:rPr>
                <w:rFonts w:ascii="Times New Roman" w:hAnsi="Times New Roman"/>
                <w:bCs/>
                <w:color w:val="auto"/>
                <w:sz w:val="24"/>
              </w:rPr>
              <w:t>运营期在制定严格的事故风险防范措施及应急计划后，可将事故发生概率减少到最低，减少事故造成的损失。具体要求见环境风险专项评价报告。</w:t>
            </w:r>
          </w:p>
          <w:p>
            <w:pPr>
              <w:overflowPunct w:val="0"/>
              <w:spacing w:line="360" w:lineRule="auto"/>
              <w:ind w:firstLine="482" w:firstLineChars="200"/>
              <w:rPr>
                <w:rFonts w:ascii="Times New Roman" w:hAnsi="Times New Roman"/>
                <w:color w:val="auto"/>
              </w:rPr>
            </w:pPr>
            <w:r>
              <w:rPr>
                <w:rFonts w:ascii="Times New Roman" w:hAnsi="Times New Roman"/>
                <w:b/>
                <w:bCs/>
                <w:color w:val="auto"/>
                <w:sz w:val="24"/>
              </w:rPr>
              <w:t>8</w:t>
            </w:r>
            <w:r>
              <w:rPr>
                <w:rFonts w:hint="eastAsia" w:ascii="Times New Roman" w:hAnsi="Times New Roman"/>
                <w:b/>
                <w:bCs/>
                <w:color w:val="auto"/>
                <w:sz w:val="24"/>
              </w:rPr>
              <w:t>．闭井</w:t>
            </w:r>
            <w:r>
              <w:rPr>
                <w:rFonts w:ascii="Times New Roman" w:hAnsi="Times New Roman"/>
                <w:b/>
                <w:bCs/>
                <w:color w:val="auto"/>
                <w:sz w:val="24"/>
              </w:rPr>
              <w:t>期环境影响分析及</w:t>
            </w:r>
            <w:r>
              <w:rPr>
                <w:rFonts w:hint="eastAsia" w:ascii="Times New Roman" w:hAnsi="Times New Roman"/>
                <w:b/>
                <w:bCs/>
                <w:color w:val="auto"/>
                <w:sz w:val="24"/>
              </w:rPr>
              <w:t>生态恢复</w:t>
            </w:r>
            <w:r>
              <w:rPr>
                <w:rFonts w:ascii="Times New Roman" w:hAnsi="Times New Roman"/>
                <w:b/>
                <w:bCs/>
                <w:color w:val="auto"/>
                <w:sz w:val="24"/>
              </w:rPr>
              <w:t>措施</w:t>
            </w:r>
          </w:p>
          <w:p>
            <w:pPr>
              <w:overflowPunct w:val="0"/>
              <w:spacing w:line="360" w:lineRule="auto"/>
              <w:ind w:firstLine="480" w:firstLineChars="200"/>
              <w:jc w:val="both"/>
              <w:rPr>
                <w:color w:val="auto"/>
                <w:sz w:val="24"/>
              </w:rPr>
            </w:pPr>
            <w:r>
              <w:rPr>
                <w:rFonts w:hint="eastAsia"/>
                <w:color w:val="auto"/>
                <w:sz w:val="24"/>
              </w:rPr>
              <w:t>闭井</w:t>
            </w:r>
            <w:r>
              <w:rPr>
                <w:color w:val="auto"/>
                <w:sz w:val="24"/>
              </w:rPr>
              <w:t>期的环境影响以生态恢复为主，同时封井清理也会引起扬尘、施工车辆和机械排放尾气以及一定量的建筑垃圾。油田停采（或注）后将进行一系列清理工作，包括地面设施拆除、地下截去至少</w:t>
            </w:r>
            <w:r>
              <w:rPr>
                <w:rFonts w:ascii="Times New Roman" w:hAnsi="Times New Roman"/>
                <w:color w:val="auto"/>
                <w:sz w:val="24"/>
              </w:rPr>
              <w:t>1m的</w:t>
            </w:r>
            <w:r>
              <w:rPr>
                <w:color w:val="auto"/>
                <w:sz w:val="24"/>
              </w:rPr>
              <w:t>井筒并用水泥灌注封井、场站清理、管线拆除等。在这期间，将会产生少量扬尘和固体废物。井场清理和管线拆除等工作还会产生部分废弃管线、废弃建筑残渣等固体废物。</w:t>
            </w:r>
            <w:r>
              <w:rPr>
                <w:rFonts w:hint="eastAsia"/>
                <w:color w:val="auto"/>
                <w:sz w:val="24"/>
              </w:rPr>
              <w:t>闭井</w:t>
            </w:r>
            <w:r>
              <w:rPr>
                <w:color w:val="auto"/>
                <w:sz w:val="24"/>
              </w:rPr>
              <w:t>期应采取如下污染防治措施：</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（1）及时清理作业现场，做到“工完、料尽、场地清”，确保对各类废弃井采取的固井、封井措施有效可行，防止发生油水窜层，污染地下水和土壤并清理工作的临时占地要及时平整，以便井场后期自然恢复。</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（2）井场经过清理后，永久性占地范围内的水泥平台或砂砾石铺垫被清理，然后根据周边区域的自然现状对其进行恢复，使井场恢复到相对自然的一种状态。</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（3）在闭井施工操作中应做到文明施工，防止水泥等建筑垃圾的飘散；尽量避开大风天气进行作业。</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（4）</w:t>
            </w:r>
            <w:r>
              <w:rPr>
                <w:rFonts w:hint="eastAsia" w:ascii="Times New Roman" w:hAnsi="Times New Roman"/>
                <w:color w:val="auto"/>
                <w:sz w:val="24"/>
              </w:rPr>
              <w:t>闭井</w:t>
            </w:r>
            <w:r>
              <w:rPr>
                <w:rFonts w:ascii="Times New Roman" w:hAnsi="Times New Roman"/>
                <w:color w:val="auto"/>
                <w:sz w:val="24"/>
              </w:rPr>
              <w:t>期封井施工过程中，应加强施工质量管理，避免出现封井不严等非正常工况的烃类泄漏。保证对废弃井采取的固井、封井措施有效可行，防止发生油水窜层，污染地下水。</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（5）加强运输车辆管理，合理规划运输路线车辆，禁止运输车辆随意高声鸣笛。</w:t>
            </w:r>
          </w:p>
          <w:p>
            <w:pPr>
              <w:overflowPunct w:val="0"/>
              <w:spacing w:line="360" w:lineRule="auto"/>
              <w:ind w:firstLine="480" w:firstLineChars="200"/>
              <w:jc w:val="both"/>
              <w:rPr>
                <w:color w:val="auto"/>
                <w:sz w:val="24"/>
              </w:rPr>
            </w:pPr>
            <w:r>
              <w:rPr>
                <w:rFonts w:ascii="Times New Roman" w:hAnsi="Times New Roman"/>
                <w:color w:val="auto"/>
                <w:sz w:val="24"/>
              </w:rPr>
              <w:t>（6）废弃管线、残渣等进行集中清理收集，管线外运经清洗后回收再利用，废弃建筑残渣运至当地主管部门指定</w:t>
            </w:r>
            <w:r>
              <w:rPr>
                <w:color w:val="auto"/>
                <w:sz w:val="24"/>
              </w:rPr>
              <w:t>地点集中处置，逸散性材料运输过程中，运输车辆均加盖篷布，以防止行驶过程中固体废物的散落。</w:t>
            </w:r>
          </w:p>
          <w:p>
            <w:pPr>
              <w:spacing w:line="360" w:lineRule="auto"/>
              <w:ind w:firstLine="480" w:firstLineChars="200"/>
              <w:rPr>
                <w:rFonts w:ascii="Times New Roman" w:hAnsi="Times New Roman"/>
                <w:color w:val="auto"/>
                <w:sz w:val="24"/>
              </w:rPr>
            </w:pPr>
            <w:r>
              <w:rPr>
                <w:rFonts w:ascii="Times New Roman" w:hAnsi="Times New Roman"/>
                <w:color w:val="auto"/>
                <w:sz w:val="24"/>
              </w:rPr>
              <w:t>（7）通过宣传教育的形式，使施工工作人员对于在项目区生存的野生动物及植物有基本的认识与了解。在闭井期施工过程中，严禁随意踩踏破坏；遇到保护动物时，应主动避让，不得惊扰、伤害野生动物，不得破坏保护动物的生息繁衍地，禁止妨碍野生动物生息繁衍的施工活动。</w:t>
            </w:r>
          </w:p>
          <w:p>
            <w:pPr>
              <w:spacing w:line="360" w:lineRule="auto"/>
              <w:ind w:firstLine="480" w:firstLineChars="200"/>
              <w:rPr>
                <w:rFonts w:ascii="Times New Roman" w:hAnsi="Times New Roman"/>
                <w:color w:val="auto"/>
                <w:sz w:val="24"/>
              </w:rPr>
            </w:pPr>
            <w:r>
              <w:rPr>
                <w:rFonts w:ascii="Times New Roman" w:hAnsi="Times New Roman"/>
                <w:color w:val="auto"/>
                <w:sz w:val="24"/>
              </w:rPr>
              <w:t>（8）加强对《中华人民共和国野生动物保护法》及《中华人民共和国野生植物保护条例》的普及、教育工作，强化保护野生动植物的观念，让施工人员明确破坏保护植物，捕猎、杀害保护动物的法律后果，理解保护野生动植物的重要意义。</w:t>
            </w:r>
          </w:p>
          <w:p>
            <w:pPr>
              <w:spacing w:line="360" w:lineRule="auto"/>
              <w:ind w:firstLine="480" w:firstLineChars="200"/>
              <w:rPr>
                <w:rFonts w:ascii="Times New Roman" w:hAnsi="Times New Roman"/>
                <w:color w:val="auto"/>
                <w:sz w:val="24"/>
              </w:rPr>
            </w:pPr>
            <w:r>
              <w:rPr>
                <w:rFonts w:ascii="Times New Roman" w:hAnsi="Times New Roman"/>
                <w:color w:val="auto"/>
                <w:sz w:val="24"/>
              </w:rPr>
              <w:t>通过采取以上生态保护措施，对于减少植被破坏、减缓水土流失、可有效保护脆弱的农田生态环境。闭井后开展相应的耕地复耕和生态恢复。</w:t>
            </w:r>
          </w:p>
          <w:p>
            <w:pPr>
              <w:adjustRightInd w:val="0"/>
              <w:snapToGrid w:val="0"/>
              <w:spacing w:line="360" w:lineRule="auto"/>
              <w:ind w:firstLine="482" w:firstLineChars="200"/>
              <w:jc w:val="both"/>
              <w:rPr>
                <w:rFonts w:ascii="Times New Roman" w:hAnsi="Times New Roman"/>
                <w:b/>
                <w:bCs/>
                <w:color w:val="auto"/>
                <w:kern w:val="0"/>
                <w:sz w:val="24"/>
              </w:rPr>
            </w:pPr>
            <w:r>
              <w:rPr>
                <w:rFonts w:ascii="Times New Roman" w:hAnsi="Times New Roman"/>
                <w:b/>
                <w:bCs/>
                <w:color w:val="auto"/>
                <w:sz w:val="24"/>
              </w:rPr>
              <w:t>9</w:t>
            </w:r>
            <w:r>
              <w:rPr>
                <w:rFonts w:hint="eastAsia" w:ascii="Times New Roman" w:hAnsi="Times New Roman"/>
                <w:b/>
                <w:bCs/>
                <w:color w:val="auto"/>
                <w:sz w:val="24"/>
              </w:rPr>
              <w:t>．</w:t>
            </w:r>
            <w:r>
              <w:rPr>
                <w:rFonts w:ascii="Times New Roman" w:hAnsi="Times New Roman"/>
                <w:b/>
                <w:bCs/>
                <w:color w:val="auto"/>
                <w:kern w:val="0"/>
                <w:sz w:val="24"/>
              </w:rPr>
              <w:t>环境</w:t>
            </w:r>
            <w:r>
              <w:rPr>
                <w:rFonts w:hint="eastAsia" w:ascii="Times New Roman" w:hAnsi="Times New Roman"/>
                <w:b/>
                <w:bCs/>
                <w:color w:val="auto"/>
                <w:kern w:val="0"/>
                <w:sz w:val="24"/>
              </w:rPr>
              <w:t>管理与</w:t>
            </w:r>
            <w:r>
              <w:rPr>
                <w:rFonts w:ascii="Times New Roman" w:hAnsi="Times New Roman"/>
                <w:b/>
                <w:bCs/>
                <w:color w:val="auto"/>
                <w:kern w:val="0"/>
                <w:sz w:val="24"/>
              </w:rPr>
              <w:t>监测计划</w:t>
            </w:r>
          </w:p>
          <w:p>
            <w:pPr>
              <w:overflowPunct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9.1机构及人员设置</w:t>
            </w:r>
          </w:p>
          <w:p>
            <w:pPr>
              <w:overflowPunct w:val="0"/>
              <w:spacing w:line="360" w:lineRule="auto"/>
              <w:ind w:firstLine="480" w:firstLineChars="200"/>
              <w:jc w:val="both"/>
              <w:rPr>
                <w:rFonts w:ascii="宋体" w:hAnsi="宋体"/>
                <w:color w:val="auto"/>
                <w:sz w:val="24"/>
              </w:rPr>
            </w:pPr>
            <w:r>
              <w:rPr>
                <w:rFonts w:hint="eastAsia" w:ascii="宋体" w:hAnsi="宋体"/>
                <w:color w:val="auto"/>
                <w:sz w:val="24"/>
              </w:rPr>
              <w:t>项目的环保管理机构由中国石油化工股份有限公司河南油田分公司新疆采油厂设安全环保部，并设专人负责工程开发建设期的环境保护工作。</w:t>
            </w:r>
          </w:p>
          <w:p>
            <w:pPr>
              <w:overflowPunct w:val="0"/>
              <w:spacing w:line="360" w:lineRule="auto"/>
              <w:ind w:left="420" w:leftChars="200"/>
              <w:jc w:val="both"/>
              <w:rPr>
                <w:rFonts w:ascii="Times New Roman" w:hAnsi="Times New Roman"/>
                <w:color w:val="auto"/>
                <w:sz w:val="24"/>
              </w:rPr>
            </w:pPr>
            <w:r>
              <w:rPr>
                <w:rFonts w:hint="eastAsia" w:ascii="Times New Roman" w:hAnsi="Times New Roman"/>
                <w:color w:val="auto"/>
                <w:sz w:val="24"/>
              </w:rPr>
              <w:t>9.2环境管理</w:t>
            </w:r>
          </w:p>
          <w:p>
            <w:pPr>
              <w:overflowPunct w:val="0"/>
              <w:spacing w:line="360" w:lineRule="auto"/>
              <w:ind w:firstLine="480" w:firstLineChars="200"/>
              <w:jc w:val="both"/>
              <w:rPr>
                <w:rFonts w:ascii="宋体" w:hAnsi="宋体"/>
                <w:color w:val="auto"/>
                <w:sz w:val="24"/>
              </w:rPr>
            </w:pPr>
            <w:r>
              <w:rPr>
                <w:rFonts w:hint="eastAsia" w:ascii="宋体" w:hAnsi="宋体"/>
                <w:color w:val="auto"/>
                <w:sz w:val="24"/>
              </w:rPr>
              <w:t>本项目将环境管理和环境监测纳入油田安全环保部门负责，采用</w:t>
            </w:r>
            <w:r>
              <w:rPr>
                <w:rFonts w:ascii="Times New Roman" w:hAnsi="Times New Roman"/>
                <w:color w:val="auto"/>
                <w:sz w:val="24"/>
              </w:rPr>
              <w:t>HSE</w:t>
            </w:r>
            <w:r>
              <w:rPr>
                <w:rFonts w:hint="eastAsia" w:ascii="宋体" w:hAnsi="宋体"/>
                <w:color w:val="auto"/>
                <w:sz w:val="24"/>
              </w:rPr>
              <w:t>管理模式，注重对员工进行培训，使员工自觉遵</w:t>
            </w:r>
            <w:r>
              <w:rPr>
                <w:rFonts w:ascii="Times New Roman" w:hAnsi="Times New Roman"/>
                <w:color w:val="auto"/>
                <w:sz w:val="24"/>
              </w:rPr>
              <w:t>守HSE管</w:t>
            </w:r>
            <w:r>
              <w:rPr>
                <w:rFonts w:hint="eastAsia" w:ascii="宋体" w:hAnsi="宋体"/>
                <w:color w:val="auto"/>
                <w:sz w:val="24"/>
              </w:rPr>
              <w:t xml:space="preserve">理要求，保护自身的安全和健康。为减少和杜绝环境污染事故的发生，建立、健全管理规章制度，制订了详细的污染控制计划和实施方案，责任到人，指标到岗，实施监督；实行公平的奖惩制度，大力弘扬保护环境的行为。 </w:t>
            </w:r>
          </w:p>
          <w:p>
            <w:pPr>
              <w:overflowPunct w:val="0"/>
              <w:spacing w:line="360" w:lineRule="auto"/>
              <w:ind w:firstLine="480" w:firstLineChars="200"/>
              <w:jc w:val="both"/>
              <w:rPr>
                <w:rFonts w:ascii="宋体" w:hAnsi="宋体"/>
                <w:color w:val="auto"/>
                <w:sz w:val="24"/>
              </w:rPr>
            </w:pPr>
            <w:r>
              <w:rPr>
                <w:rFonts w:hint="eastAsia" w:ascii="宋体" w:hAnsi="宋体"/>
                <w:color w:val="auto"/>
                <w:sz w:val="24"/>
              </w:rPr>
              <w:t xml:space="preserve">本项目建设主要采取的环境管理措施如下： </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（1）落实环保目标责任制，坚持环保指标考核，推行清洁生产。 </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（2）在钻井生产过程中，防止泥浆、污水外溢，发生外溢时及时清理，并恢复原貌。泥浆药品按照标准化管理规定妥善存放，如在装卸过程中发生散落要及时清理回收。 </w:t>
            </w:r>
          </w:p>
          <w:p>
            <w:pPr>
              <w:overflowPunct w:val="0"/>
              <w:spacing w:line="360" w:lineRule="auto"/>
              <w:ind w:firstLine="480" w:firstLineChars="200"/>
              <w:jc w:val="both"/>
              <w:rPr>
                <w:rFonts w:ascii="宋体" w:hAnsi="宋体"/>
                <w:color w:val="auto"/>
                <w:sz w:val="24"/>
              </w:rPr>
            </w:pPr>
            <w:r>
              <w:rPr>
                <w:rFonts w:ascii="Times New Roman" w:hAnsi="Times New Roman"/>
                <w:color w:val="auto"/>
                <w:sz w:val="24"/>
              </w:rPr>
              <w:t>（3）井下作业系统积极推行“铺膜”等无污染作业法；在采油过程中加强管理，对输油管线及井口设施定期检查，维修，减少或杜绝生产过程中的“跑、冒、滴、漏”现象发生。</w:t>
            </w:r>
            <w:r>
              <w:rPr>
                <w:rFonts w:hint="eastAsia" w:ascii="宋体" w:hAnsi="宋体"/>
                <w:color w:val="auto"/>
                <w:sz w:val="24"/>
              </w:rPr>
              <w:t xml:space="preserve"> </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（4）落实危险废物管理计划制度，按照《危险废物产生单位管理计划制定指南》等有关要求制定危险废物管理计划，并报所在地生态环境主管部门备案。 </w:t>
            </w:r>
          </w:p>
          <w:p>
            <w:pPr>
              <w:overflowPunct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（5）</w:t>
            </w:r>
            <w:r>
              <w:rPr>
                <w:rFonts w:ascii="Times New Roman" w:hAnsi="Times New Roman"/>
                <w:color w:val="auto"/>
                <w:sz w:val="24"/>
              </w:rPr>
              <w:t xml:space="preserve">落实危险废物管理台账及申报制度，建立危险废物管理台账，如实记录有关信息，并通过国家危险废物信息管理系统向所在地生态环境主管部门申报危险废物的种类、产生量、流向、贮存、处置等有关资料。 </w:t>
            </w:r>
          </w:p>
          <w:p>
            <w:pPr>
              <w:overflowPunct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（6）</w:t>
            </w:r>
            <w:r>
              <w:rPr>
                <w:rFonts w:ascii="Times New Roman" w:hAnsi="Times New Roman"/>
                <w:color w:val="auto"/>
                <w:sz w:val="24"/>
              </w:rPr>
              <w:t>落实危险废物转移联单制度，转移危险废物的，应当按照《危险废物转移管理办法》的有关规定填写、运行危险废物转移联单。运输危险废物，应当采取防止污染环境的措施，并遵守国家有关危险货物运输管理的规定。</w:t>
            </w:r>
          </w:p>
          <w:p>
            <w:pPr>
              <w:overflowPunct w:val="0"/>
              <w:spacing w:line="360" w:lineRule="auto"/>
              <w:ind w:firstLine="480" w:firstLineChars="200"/>
              <w:jc w:val="both"/>
              <w:rPr>
                <w:rFonts w:ascii="Times New Roman" w:hAnsi="Times New Roman"/>
                <w:color w:val="auto"/>
                <w:sz w:val="24"/>
                <w:lang w:val="zh-CN"/>
              </w:rPr>
            </w:pPr>
            <w:r>
              <w:rPr>
                <w:rFonts w:hint="eastAsia" w:ascii="Times New Roman" w:hAnsi="Times New Roman"/>
                <w:color w:val="auto"/>
                <w:sz w:val="24"/>
              </w:rPr>
              <w:t>9.3</w:t>
            </w:r>
            <w:r>
              <w:rPr>
                <w:rFonts w:hint="eastAsia" w:ascii="Times New Roman" w:hAnsi="Times New Roman"/>
                <w:color w:val="auto"/>
                <w:sz w:val="24"/>
                <w:lang w:val="zh-CN"/>
              </w:rPr>
              <w:t>环境监测</w:t>
            </w:r>
          </w:p>
          <w:p>
            <w:pPr>
              <w:overflowPunct w:val="0"/>
              <w:spacing w:line="360" w:lineRule="auto"/>
              <w:ind w:firstLine="480" w:firstLineChars="200"/>
              <w:jc w:val="both"/>
              <w:rPr>
                <w:rFonts w:ascii="Times New Roman" w:hAnsi="Times New Roman"/>
                <w:color w:val="auto"/>
                <w:sz w:val="24"/>
                <w:lang w:val="zh-CN"/>
              </w:rPr>
            </w:pPr>
            <w:r>
              <w:rPr>
                <w:rFonts w:ascii="Times New Roman" w:hAnsi="Times New Roman"/>
                <w:color w:val="auto"/>
                <w:sz w:val="24"/>
                <w:lang w:val="zh-CN"/>
              </w:rPr>
              <w:t>本项目运营期间需对生产过程生产的“三废”进行严格管理，根据《排污单位自行监测技术指南 总则》（HJ819-2017）相关规定，定期对污染源和环境质量进行监测，减少对周围环境影响。</w:t>
            </w:r>
            <w:r>
              <w:rPr>
                <w:rFonts w:hint="eastAsia" w:ascii="Times New Roman" w:hAnsi="Times New Roman"/>
                <w:color w:val="auto"/>
                <w:sz w:val="24"/>
              </w:rPr>
              <w:t>运营期</w:t>
            </w:r>
            <w:r>
              <w:rPr>
                <w:rFonts w:ascii="Times New Roman" w:hAnsi="Times New Roman"/>
                <w:color w:val="auto"/>
                <w:sz w:val="24"/>
                <w:lang w:val="zh-CN"/>
              </w:rPr>
              <w:t>环境监测计划表见表</w:t>
            </w:r>
            <w:r>
              <w:rPr>
                <w:rFonts w:hint="eastAsia" w:ascii="Times New Roman" w:hAnsi="Times New Roman"/>
                <w:color w:val="auto"/>
                <w:sz w:val="24"/>
                <w:lang w:val="zh-CN"/>
              </w:rPr>
              <w:t>5</w:t>
            </w:r>
            <w:r>
              <w:rPr>
                <w:rFonts w:ascii="Times New Roman" w:hAnsi="Times New Roman"/>
                <w:color w:val="auto"/>
                <w:sz w:val="24"/>
                <w:lang w:val="zh-CN"/>
              </w:rPr>
              <w:t>-</w:t>
            </w:r>
            <w:r>
              <w:rPr>
                <w:rFonts w:hint="eastAsia" w:ascii="Times New Roman" w:hAnsi="Times New Roman"/>
                <w:color w:val="auto"/>
                <w:sz w:val="24"/>
              </w:rPr>
              <w:t>2</w:t>
            </w:r>
            <w:r>
              <w:rPr>
                <w:rFonts w:ascii="Times New Roman" w:hAnsi="Times New Roman"/>
                <w:color w:val="auto"/>
                <w:sz w:val="24"/>
                <w:lang w:val="zh-CN"/>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5</w:t>
            </w:r>
            <w:r>
              <w:rPr>
                <w:rFonts w:ascii="Times New Roman" w:hAnsi="Times New Roman"/>
                <w:b/>
                <w:color w:val="auto"/>
                <w:kern w:val="0"/>
                <w:szCs w:val="21"/>
              </w:rPr>
              <w:t>-</w:t>
            </w:r>
            <w:r>
              <w:rPr>
                <w:rFonts w:hint="eastAsia" w:ascii="Times New Roman" w:hAnsi="Times New Roman"/>
                <w:b/>
                <w:color w:val="auto"/>
                <w:kern w:val="0"/>
                <w:szCs w:val="21"/>
              </w:rPr>
              <w:t>2</w:t>
            </w:r>
            <w:r>
              <w:rPr>
                <w:rFonts w:ascii="Times New Roman" w:hAnsi="Times New Roman"/>
                <w:b/>
                <w:color w:val="auto"/>
                <w:kern w:val="0"/>
                <w:szCs w:val="21"/>
              </w:rPr>
              <w:t xml:space="preserve">   运营期环境监测计划</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923"/>
              <w:gridCol w:w="928"/>
              <w:gridCol w:w="1054"/>
              <w:gridCol w:w="1582"/>
              <w:gridCol w:w="1772"/>
              <w:gridCol w:w="923"/>
              <w:gridCol w:w="8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71" w:type="pct"/>
                  <w:shd w:val="clear" w:color="auto" w:fill="auto"/>
                  <w:vAlign w:val="center"/>
                </w:tcPr>
                <w:p>
                  <w:pPr>
                    <w:overflowPunct w:val="0"/>
                    <w:adjustRightInd w:val="0"/>
                    <w:snapToGrid w:val="0"/>
                    <w:jc w:val="center"/>
                    <w:rPr>
                      <w:rFonts w:ascii="Times New Roman" w:hAnsi="Times New Roman"/>
                      <w:color w:val="auto"/>
                      <w:szCs w:val="21"/>
                    </w:rPr>
                  </w:pPr>
                  <w:r>
                    <w:rPr>
                      <w:rFonts w:ascii="Times New Roman" w:hAnsi="Times New Roman"/>
                      <w:color w:val="auto"/>
                      <w:szCs w:val="21"/>
                    </w:rPr>
                    <w:t>监测</w:t>
                  </w:r>
                </w:p>
                <w:p>
                  <w:pPr>
                    <w:overflowPunct w:val="0"/>
                    <w:adjustRightInd w:val="0"/>
                    <w:snapToGrid w:val="0"/>
                    <w:jc w:val="center"/>
                    <w:rPr>
                      <w:rFonts w:ascii="Times New Roman" w:hAnsi="Times New Roman"/>
                      <w:smallCaps/>
                      <w:color w:val="auto"/>
                      <w:szCs w:val="21"/>
                      <w:lang w:bidi="ar"/>
                    </w:rPr>
                  </w:pPr>
                  <w:r>
                    <w:rPr>
                      <w:rFonts w:ascii="Times New Roman" w:hAnsi="Times New Roman"/>
                      <w:color w:val="auto"/>
                      <w:szCs w:val="21"/>
                    </w:rPr>
                    <w:t>类型</w:t>
                  </w:r>
                </w:p>
              </w:tc>
              <w:tc>
                <w:tcPr>
                  <w:tcW w:w="574" w:type="pct"/>
                  <w:shd w:val="clear" w:color="auto" w:fill="auto"/>
                  <w:vAlign w:val="center"/>
                </w:tcPr>
                <w:p>
                  <w:pPr>
                    <w:overflowPunct w:val="0"/>
                    <w:adjustRightInd w:val="0"/>
                    <w:snapToGrid w:val="0"/>
                    <w:ind w:firstLine="164"/>
                    <w:jc w:val="center"/>
                    <w:rPr>
                      <w:rFonts w:ascii="Times New Roman" w:hAnsi="Times New Roman"/>
                      <w:smallCaps/>
                      <w:color w:val="auto"/>
                      <w:szCs w:val="21"/>
                      <w:lang w:bidi="ar"/>
                    </w:rPr>
                  </w:pPr>
                  <w:r>
                    <w:rPr>
                      <w:rFonts w:ascii="Times New Roman" w:hAnsi="Times New Roman"/>
                      <w:smallCaps/>
                      <w:color w:val="auto"/>
                      <w:szCs w:val="21"/>
                      <w:lang w:bidi="ar"/>
                    </w:rPr>
                    <w:t>监测</w:t>
                  </w:r>
                </w:p>
                <w:p>
                  <w:pPr>
                    <w:overflowPunct w:val="0"/>
                    <w:adjustRightInd w:val="0"/>
                    <w:snapToGrid w:val="0"/>
                    <w:ind w:firstLine="164"/>
                    <w:jc w:val="center"/>
                    <w:rPr>
                      <w:rFonts w:ascii="Times New Roman" w:hAnsi="Times New Roman"/>
                      <w:color w:val="auto"/>
                      <w:szCs w:val="21"/>
                    </w:rPr>
                  </w:pPr>
                  <w:r>
                    <w:rPr>
                      <w:rFonts w:ascii="Times New Roman" w:hAnsi="Times New Roman"/>
                      <w:smallCaps/>
                      <w:color w:val="auto"/>
                      <w:szCs w:val="21"/>
                      <w:lang w:bidi="ar"/>
                    </w:rPr>
                    <w:t>对象</w:t>
                  </w:r>
                </w:p>
              </w:tc>
              <w:tc>
                <w:tcPr>
                  <w:tcW w:w="652"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监测</w:t>
                  </w:r>
                </w:p>
                <w:p>
                  <w:pPr>
                    <w:overflowPunct w:val="0"/>
                    <w:adjustRightInd w:val="0"/>
                    <w:snapToGrid w:val="0"/>
                    <w:ind w:firstLine="164"/>
                    <w:jc w:val="center"/>
                    <w:rPr>
                      <w:rFonts w:ascii="Times New Roman" w:hAnsi="Times New Roman"/>
                      <w:color w:val="auto"/>
                      <w:szCs w:val="21"/>
                    </w:rPr>
                  </w:pPr>
                  <w:r>
                    <w:rPr>
                      <w:rFonts w:ascii="Times New Roman" w:hAnsi="Times New Roman"/>
                      <w:color w:val="auto"/>
                      <w:szCs w:val="21"/>
                      <w:lang w:bidi="ar"/>
                    </w:rPr>
                    <w:t>频率</w:t>
                  </w:r>
                </w:p>
              </w:tc>
              <w:tc>
                <w:tcPr>
                  <w:tcW w:w="979" w:type="pct"/>
                  <w:shd w:val="clear" w:color="auto" w:fill="auto"/>
                  <w:vAlign w:val="center"/>
                </w:tcPr>
                <w:p>
                  <w:pPr>
                    <w:overflowPunct w:val="0"/>
                    <w:adjustRightInd w:val="0"/>
                    <w:snapToGrid w:val="0"/>
                    <w:ind w:firstLine="164"/>
                    <w:jc w:val="center"/>
                    <w:rPr>
                      <w:rFonts w:ascii="Times New Roman" w:hAnsi="Times New Roman"/>
                      <w:color w:val="auto"/>
                      <w:szCs w:val="21"/>
                    </w:rPr>
                  </w:pPr>
                  <w:r>
                    <w:rPr>
                      <w:rFonts w:ascii="Times New Roman" w:hAnsi="Times New Roman"/>
                      <w:color w:val="auto"/>
                      <w:szCs w:val="21"/>
                      <w:lang w:bidi="ar"/>
                    </w:rPr>
                    <w:t>监测点</w:t>
                  </w:r>
                </w:p>
              </w:tc>
              <w:tc>
                <w:tcPr>
                  <w:tcW w:w="1096" w:type="pct"/>
                  <w:shd w:val="clear" w:color="auto" w:fill="auto"/>
                  <w:vAlign w:val="center"/>
                </w:tcPr>
                <w:p>
                  <w:pPr>
                    <w:overflowPunct w:val="0"/>
                    <w:adjustRightInd w:val="0"/>
                    <w:snapToGrid w:val="0"/>
                    <w:ind w:firstLine="164"/>
                    <w:jc w:val="center"/>
                    <w:rPr>
                      <w:rFonts w:ascii="Times New Roman" w:hAnsi="Times New Roman"/>
                      <w:color w:val="auto"/>
                      <w:szCs w:val="21"/>
                    </w:rPr>
                  </w:pPr>
                  <w:r>
                    <w:rPr>
                      <w:rFonts w:ascii="Times New Roman" w:hAnsi="Times New Roman"/>
                      <w:color w:val="auto"/>
                      <w:szCs w:val="21"/>
                      <w:lang w:bidi="ar"/>
                    </w:rPr>
                    <w:t>监测因子</w:t>
                  </w:r>
                </w:p>
              </w:tc>
              <w:tc>
                <w:tcPr>
                  <w:tcW w:w="571"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监测</w:t>
                  </w:r>
                </w:p>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时间</w:t>
                  </w:r>
                </w:p>
              </w:tc>
              <w:tc>
                <w:tcPr>
                  <w:tcW w:w="555"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监测</w:t>
                  </w:r>
                </w:p>
                <w:p>
                  <w:pPr>
                    <w:overflowPunct w:val="0"/>
                    <w:adjustRightInd w:val="0"/>
                    <w:snapToGrid w:val="0"/>
                    <w:ind w:firstLine="164"/>
                    <w:jc w:val="center"/>
                    <w:rPr>
                      <w:rFonts w:ascii="Times New Roman" w:hAnsi="Times New Roman"/>
                      <w:color w:val="auto"/>
                      <w:szCs w:val="21"/>
                    </w:rPr>
                  </w:pPr>
                  <w:r>
                    <w:rPr>
                      <w:rFonts w:ascii="Times New Roman" w:hAnsi="Times New Roman"/>
                      <w:color w:val="auto"/>
                      <w:szCs w:val="21"/>
                      <w:lang w:bidi="ar"/>
                    </w:rPr>
                    <w:t>单位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71" w:type="pct"/>
                  <w:vMerge w:val="restart"/>
                  <w:shd w:val="clear" w:color="auto" w:fill="auto"/>
                  <w:vAlign w:val="center"/>
                </w:tcPr>
                <w:p>
                  <w:pPr>
                    <w:overflowPunct w:val="0"/>
                    <w:adjustRightInd w:val="0"/>
                    <w:snapToGrid w:val="0"/>
                    <w:jc w:val="center"/>
                    <w:rPr>
                      <w:rFonts w:ascii="Times New Roman" w:hAnsi="Times New Roman"/>
                      <w:color w:val="auto"/>
                      <w:szCs w:val="21"/>
                      <w:lang w:bidi="ar"/>
                    </w:rPr>
                  </w:pPr>
                  <w:r>
                    <w:rPr>
                      <w:rFonts w:ascii="Times New Roman" w:hAnsi="Times New Roman"/>
                      <w:color w:val="auto"/>
                      <w:szCs w:val="21"/>
                    </w:rPr>
                    <w:t>污染源</w:t>
                  </w:r>
                </w:p>
              </w:tc>
              <w:tc>
                <w:tcPr>
                  <w:tcW w:w="574" w:type="pct"/>
                  <w:shd w:val="clear" w:color="auto" w:fill="auto"/>
                  <w:vAlign w:val="center"/>
                </w:tcPr>
                <w:p>
                  <w:pPr>
                    <w:overflowPunct w:val="0"/>
                    <w:adjustRightInd w:val="0"/>
                    <w:snapToGrid w:val="0"/>
                    <w:ind w:firstLine="164"/>
                    <w:jc w:val="center"/>
                    <w:rPr>
                      <w:rFonts w:ascii="Times New Roman" w:hAnsi="Times New Roman"/>
                      <w:color w:val="auto"/>
                      <w:szCs w:val="21"/>
                    </w:rPr>
                  </w:pPr>
                  <w:r>
                    <w:rPr>
                      <w:rFonts w:ascii="Times New Roman" w:hAnsi="Times New Roman"/>
                      <w:color w:val="auto"/>
                      <w:szCs w:val="21"/>
                      <w:lang w:bidi="ar"/>
                    </w:rPr>
                    <w:t>废气</w:t>
                  </w:r>
                </w:p>
              </w:tc>
              <w:tc>
                <w:tcPr>
                  <w:tcW w:w="652" w:type="pct"/>
                  <w:shd w:val="clear" w:color="auto" w:fill="auto"/>
                  <w:vAlign w:val="center"/>
                </w:tcPr>
                <w:p>
                  <w:pPr>
                    <w:adjustRightInd w:val="0"/>
                    <w:snapToGrid w:val="0"/>
                    <w:ind w:firstLine="164"/>
                    <w:jc w:val="center"/>
                    <w:rPr>
                      <w:rFonts w:ascii="Times New Roman" w:hAnsi="Times New Roman"/>
                      <w:color w:val="auto"/>
                      <w:szCs w:val="21"/>
                    </w:rPr>
                  </w:pPr>
                  <w:r>
                    <w:rPr>
                      <w:rFonts w:ascii="Times New Roman" w:hAnsi="Times New Roman"/>
                      <w:color w:val="auto"/>
                      <w:szCs w:val="21"/>
                    </w:rPr>
                    <w:t>1次/年</w:t>
                  </w:r>
                </w:p>
              </w:tc>
              <w:tc>
                <w:tcPr>
                  <w:tcW w:w="979" w:type="pct"/>
                  <w:shd w:val="clear" w:color="auto" w:fill="auto"/>
                  <w:vAlign w:val="center"/>
                </w:tcPr>
                <w:p>
                  <w:pPr>
                    <w:adjustRightInd w:val="0"/>
                    <w:snapToGrid w:val="0"/>
                    <w:ind w:firstLine="164"/>
                    <w:jc w:val="center"/>
                    <w:rPr>
                      <w:rFonts w:ascii="Times New Roman" w:hAnsi="Times New Roman"/>
                      <w:color w:val="auto"/>
                      <w:kern w:val="0"/>
                      <w:szCs w:val="21"/>
                      <w:lang w:bidi="ar"/>
                    </w:rPr>
                  </w:pPr>
                  <w:r>
                    <w:rPr>
                      <w:rFonts w:ascii="Times New Roman" w:hAnsi="Times New Roman"/>
                      <w:color w:val="auto"/>
                      <w:kern w:val="0"/>
                      <w:szCs w:val="21"/>
                      <w:lang w:bidi="ar"/>
                    </w:rPr>
                    <w:t>井场</w:t>
                  </w:r>
                  <w:r>
                    <w:rPr>
                      <w:rFonts w:hint="eastAsia" w:ascii="Times New Roman" w:hAnsi="Times New Roman"/>
                      <w:color w:val="auto"/>
                      <w:kern w:val="0"/>
                      <w:szCs w:val="21"/>
                      <w:lang w:bidi="ar"/>
                    </w:rPr>
                    <w:t>厂界下风向10m范围内</w:t>
                  </w:r>
                </w:p>
              </w:tc>
              <w:tc>
                <w:tcPr>
                  <w:tcW w:w="1096" w:type="pct"/>
                  <w:shd w:val="clear" w:color="auto" w:fill="auto"/>
                  <w:vAlign w:val="center"/>
                </w:tcPr>
                <w:p>
                  <w:pPr>
                    <w:adjustRightInd w:val="0"/>
                    <w:snapToGrid w:val="0"/>
                    <w:ind w:firstLine="164"/>
                    <w:jc w:val="center"/>
                    <w:rPr>
                      <w:rFonts w:ascii="Times New Roman" w:hAnsi="Times New Roman"/>
                      <w:color w:val="auto"/>
                      <w:szCs w:val="21"/>
                    </w:rPr>
                  </w:pPr>
                  <w:r>
                    <w:rPr>
                      <w:rFonts w:ascii="Times New Roman" w:hAnsi="Times New Roman"/>
                      <w:color w:val="auto"/>
                      <w:kern w:val="0"/>
                      <w:szCs w:val="21"/>
                      <w:lang w:bidi="ar"/>
                    </w:rPr>
                    <w:t>非甲烷总烃</w:t>
                  </w:r>
                </w:p>
              </w:tc>
              <w:tc>
                <w:tcPr>
                  <w:tcW w:w="571" w:type="pct"/>
                  <w:vMerge w:val="restart"/>
                  <w:shd w:val="clear" w:color="auto" w:fill="auto"/>
                  <w:vAlign w:val="center"/>
                </w:tcPr>
                <w:p>
                  <w:pPr>
                    <w:adjustRightInd w:val="0"/>
                    <w:snapToGrid w:val="0"/>
                    <w:jc w:val="center"/>
                    <w:rPr>
                      <w:rFonts w:ascii="Times New Roman" w:hAnsi="Times New Roman"/>
                      <w:color w:val="auto"/>
                      <w:kern w:val="0"/>
                      <w:szCs w:val="21"/>
                      <w:lang w:bidi="ar"/>
                    </w:rPr>
                  </w:pPr>
                  <w:r>
                    <w:rPr>
                      <w:rFonts w:ascii="Times New Roman" w:hAnsi="Times New Roman"/>
                      <w:color w:val="auto"/>
                      <w:szCs w:val="21"/>
                      <w:lang w:bidi="ar"/>
                    </w:rPr>
                    <w:t>竣工验收后开始</w:t>
                  </w:r>
                </w:p>
              </w:tc>
              <w:tc>
                <w:tcPr>
                  <w:tcW w:w="555" w:type="pct"/>
                  <w:vMerge w:val="restart"/>
                  <w:shd w:val="clear" w:color="auto" w:fill="auto"/>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lang w:bidi="ar"/>
                    </w:rPr>
                    <w:t>委托监测或建设单位自行监测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71" w:type="pct"/>
                  <w:vMerge w:val="continue"/>
                  <w:shd w:val="clear" w:color="auto" w:fill="auto"/>
                  <w:vAlign w:val="center"/>
                </w:tcPr>
                <w:p>
                  <w:pPr>
                    <w:overflowPunct w:val="0"/>
                    <w:adjustRightInd w:val="0"/>
                    <w:snapToGrid w:val="0"/>
                    <w:jc w:val="center"/>
                    <w:rPr>
                      <w:rFonts w:ascii="Times New Roman" w:hAnsi="Times New Roman"/>
                      <w:color w:val="auto"/>
                      <w:szCs w:val="21"/>
                      <w:lang w:bidi="ar"/>
                    </w:rPr>
                  </w:pPr>
                </w:p>
              </w:tc>
              <w:tc>
                <w:tcPr>
                  <w:tcW w:w="574"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噪声</w:t>
                  </w:r>
                </w:p>
              </w:tc>
              <w:tc>
                <w:tcPr>
                  <w:tcW w:w="652" w:type="pct"/>
                  <w:shd w:val="clear" w:color="auto" w:fill="auto"/>
                  <w:vAlign w:val="center"/>
                </w:tcPr>
                <w:p>
                  <w:pPr>
                    <w:adjustRightInd w:val="0"/>
                    <w:snapToGrid w:val="0"/>
                    <w:ind w:firstLine="164"/>
                    <w:jc w:val="center"/>
                    <w:rPr>
                      <w:rFonts w:ascii="Times New Roman" w:hAnsi="Times New Roman"/>
                      <w:color w:val="auto"/>
                      <w:szCs w:val="21"/>
                      <w:lang w:bidi="ar"/>
                    </w:rPr>
                  </w:pPr>
                  <w:r>
                    <w:rPr>
                      <w:rFonts w:ascii="Times New Roman" w:hAnsi="Times New Roman"/>
                      <w:color w:val="auto"/>
                      <w:szCs w:val="21"/>
                    </w:rPr>
                    <w:t>1次/季度</w:t>
                  </w:r>
                </w:p>
              </w:tc>
              <w:tc>
                <w:tcPr>
                  <w:tcW w:w="979" w:type="pct"/>
                  <w:shd w:val="clear" w:color="auto" w:fill="auto"/>
                  <w:vAlign w:val="center"/>
                </w:tcPr>
                <w:p>
                  <w:pPr>
                    <w:adjustRightInd w:val="0"/>
                    <w:snapToGrid w:val="0"/>
                    <w:ind w:firstLine="164"/>
                    <w:jc w:val="center"/>
                    <w:rPr>
                      <w:rFonts w:ascii="Times New Roman" w:hAnsi="Times New Roman"/>
                      <w:color w:val="auto"/>
                      <w:kern w:val="0"/>
                      <w:szCs w:val="21"/>
                      <w:lang w:bidi="ar"/>
                    </w:rPr>
                  </w:pPr>
                  <w:r>
                    <w:rPr>
                      <w:rFonts w:ascii="Times New Roman" w:hAnsi="Times New Roman"/>
                      <w:color w:val="auto"/>
                      <w:kern w:val="0"/>
                      <w:szCs w:val="21"/>
                      <w:lang w:bidi="ar"/>
                    </w:rPr>
                    <w:t>井场</w:t>
                  </w:r>
                  <w:r>
                    <w:rPr>
                      <w:rFonts w:hint="eastAsia" w:ascii="Times New Roman" w:hAnsi="Times New Roman"/>
                      <w:color w:val="auto"/>
                      <w:kern w:val="0"/>
                      <w:szCs w:val="21"/>
                      <w:lang w:bidi="ar"/>
                    </w:rPr>
                    <w:t>厂界</w:t>
                  </w:r>
                </w:p>
              </w:tc>
              <w:tc>
                <w:tcPr>
                  <w:tcW w:w="1096" w:type="pct"/>
                  <w:shd w:val="clear" w:color="auto" w:fill="auto"/>
                  <w:vAlign w:val="center"/>
                </w:tcPr>
                <w:p>
                  <w:pPr>
                    <w:adjustRightInd w:val="0"/>
                    <w:snapToGrid w:val="0"/>
                    <w:ind w:firstLine="164"/>
                    <w:jc w:val="center"/>
                    <w:rPr>
                      <w:rFonts w:ascii="Times New Roman" w:hAnsi="Times New Roman"/>
                      <w:color w:val="auto"/>
                      <w:szCs w:val="21"/>
                      <w:lang w:bidi="ar"/>
                    </w:rPr>
                  </w:pPr>
                  <w:r>
                    <w:rPr>
                      <w:rFonts w:ascii="Times New Roman" w:hAnsi="Times New Roman"/>
                      <w:color w:val="auto"/>
                      <w:szCs w:val="21"/>
                    </w:rPr>
                    <w:t>等效连续A声级</w:t>
                  </w:r>
                </w:p>
              </w:tc>
              <w:tc>
                <w:tcPr>
                  <w:tcW w:w="571"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c>
                <w:tcPr>
                  <w:tcW w:w="555"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71" w:type="pct"/>
                  <w:vMerge w:val="restart"/>
                  <w:shd w:val="clear" w:color="auto" w:fill="auto"/>
                  <w:vAlign w:val="center"/>
                </w:tcPr>
                <w:p>
                  <w:pPr>
                    <w:overflowPunct w:val="0"/>
                    <w:adjustRightInd w:val="0"/>
                    <w:snapToGrid w:val="0"/>
                    <w:jc w:val="center"/>
                    <w:rPr>
                      <w:rFonts w:ascii="Times New Roman" w:hAnsi="Times New Roman"/>
                      <w:color w:val="auto"/>
                      <w:szCs w:val="21"/>
                      <w:lang w:bidi="ar"/>
                    </w:rPr>
                  </w:pPr>
                  <w:r>
                    <w:rPr>
                      <w:rFonts w:ascii="Times New Roman" w:hAnsi="Times New Roman"/>
                      <w:color w:val="auto"/>
                      <w:szCs w:val="21"/>
                      <w:lang w:bidi="ar"/>
                    </w:rPr>
                    <w:t>环境质量</w:t>
                  </w:r>
                </w:p>
              </w:tc>
              <w:tc>
                <w:tcPr>
                  <w:tcW w:w="574"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地下水</w:t>
                  </w:r>
                </w:p>
              </w:tc>
              <w:tc>
                <w:tcPr>
                  <w:tcW w:w="652" w:type="pct"/>
                  <w:shd w:val="clear" w:color="auto" w:fill="auto"/>
                  <w:vAlign w:val="center"/>
                </w:tcPr>
                <w:p>
                  <w:pPr>
                    <w:adjustRightInd w:val="0"/>
                    <w:snapToGrid w:val="0"/>
                    <w:ind w:firstLine="164"/>
                    <w:jc w:val="center"/>
                    <w:rPr>
                      <w:rFonts w:ascii="Times New Roman" w:hAnsi="Times New Roman"/>
                      <w:color w:val="auto"/>
                      <w:szCs w:val="21"/>
                    </w:rPr>
                  </w:pPr>
                  <w:r>
                    <w:rPr>
                      <w:rFonts w:ascii="Times New Roman" w:hAnsi="Times New Roman"/>
                      <w:color w:val="auto"/>
                      <w:szCs w:val="21"/>
                    </w:rPr>
                    <w:t>1次/年</w:t>
                  </w:r>
                </w:p>
              </w:tc>
              <w:tc>
                <w:tcPr>
                  <w:tcW w:w="979" w:type="pct"/>
                  <w:shd w:val="clear" w:color="auto" w:fill="auto"/>
                  <w:vAlign w:val="center"/>
                </w:tcPr>
                <w:p>
                  <w:pPr>
                    <w:adjustRightInd w:val="0"/>
                    <w:snapToGrid w:val="0"/>
                    <w:ind w:firstLine="164"/>
                    <w:jc w:val="center"/>
                    <w:rPr>
                      <w:rFonts w:ascii="Times New Roman" w:hAnsi="Times New Roman"/>
                      <w:color w:val="auto"/>
                      <w:kern w:val="0"/>
                      <w:szCs w:val="21"/>
                      <w:lang w:val="zh-CN" w:bidi="ar"/>
                    </w:rPr>
                  </w:pPr>
                  <w:r>
                    <w:rPr>
                      <w:rFonts w:hint="eastAsia" w:ascii="Times New Roman" w:hAnsi="Times New Roman"/>
                      <w:color w:val="auto"/>
                      <w:kern w:val="0"/>
                      <w:szCs w:val="21"/>
                      <w:lang w:bidi="ar"/>
                    </w:rPr>
                    <w:t>项目场地及其影响区</w:t>
                  </w:r>
                </w:p>
              </w:tc>
              <w:tc>
                <w:tcPr>
                  <w:tcW w:w="1096" w:type="pct"/>
                  <w:shd w:val="clear" w:color="auto" w:fill="auto"/>
                  <w:vAlign w:val="center"/>
                </w:tcPr>
                <w:p>
                  <w:pPr>
                    <w:adjustRightInd w:val="0"/>
                    <w:snapToGrid w:val="0"/>
                    <w:jc w:val="center"/>
                    <w:rPr>
                      <w:rFonts w:ascii="Times New Roman" w:hAnsi="Times New Roman"/>
                      <w:color w:val="auto"/>
                      <w:kern w:val="0"/>
                      <w:szCs w:val="21"/>
                      <w:lang w:bidi="ar"/>
                    </w:rPr>
                  </w:pPr>
                  <w:r>
                    <w:rPr>
                      <w:rFonts w:ascii="Times New Roman" w:hAnsi="Times New Roman"/>
                      <w:color w:val="auto"/>
                      <w:kern w:val="0"/>
                      <w:szCs w:val="21"/>
                      <w:lang w:bidi="ar"/>
                    </w:rPr>
                    <w:t>pH、石油类</w:t>
                  </w:r>
                  <w:r>
                    <w:rPr>
                      <w:rFonts w:hint="eastAsia" w:ascii="Times New Roman" w:hAnsi="Times New Roman"/>
                      <w:color w:val="auto"/>
                      <w:kern w:val="0"/>
                      <w:szCs w:val="21"/>
                      <w:lang w:bidi="ar"/>
                    </w:rPr>
                    <w:t>、</w:t>
                  </w:r>
                  <w:r>
                    <w:rPr>
                      <w:bCs/>
                      <w:color w:val="auto"/>
                      <w:szCs w:val="21"/>
                    </w:rPr>
                    <w:t>挥发性酚</w:t>
                  </w:r>
                  <w:r>
                    <w:rPr>
                      <w:rFonts w:hint="eastAsia"/>
                      <w:bCs/>
                      <w:color w:val="auto"/>
                      <w:szCs w:val="21"/>
                    </w:rPr>
                    <w:t>、</w:t>
                  </w:r>
                  <w:r>
                    <w:rPr>
                      <w:rFonts w:ascii="Times New Roman" w:hAnsi="Times New Roman"/>
                      <w:bCs/>
                      <w:color w:val="auto"/>
                      <w:szCs w:val="21"/>
                    </w:rPr>
                    <w:t>COD</w:t>
                  </w:r>
                  <w:r>
                    <w:rPr>
                      <w:bCs/>
                      <w:color w:val="auto"/>
                      <w:szCs w:val="21"/>
                    </w:rPr>
                    <w:t>等，其余监测点和监测项目可结合</w:t>
                  </w:r>
                  <w:r>
                    <w:rPr>
                      <w:rFonts w:hint="eastAsia"/>
                      <w:bCs/>
                      <w:color w:val="auto"/>
                      <w:szCs w:val="21"/>
                    </w:rPr>
                    <w:t>春光</w:t>
                  </w:r>
                  <w:r>
                    <w:rPr>
                      <w:bCs/>
                      <w:color w:val="auto"/>
                      <w:szCs w:val="21"/>
                    </w:rPr>
                    <w:t>油田例行监测计划增加</w:t>
                  </w:r>
                </w:p>
              </w:tc>
              <w:tc>
                <w:tcPr>
                  <w:tcW w:w="571"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c>
                <w:tcPr>
                  <w:tcW w:w="555"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71" w:type="pct"/>
                  <w:vMerge w:val="continue"/>
                  <w:shd w:val="clear" w:color="auto" w:fill="auto"/>
                  <w:vAlign w:val="center"/>
                </w:tcPr>
                <w:p>
                  <w:pPr>
                    <w:overflowPunct w:val="0"/>
                    <w:adjustRightInd w:val="0"/>
                    <w:snapToGrid w:val="0"/>
                    <w:ind w:firstLine="164"/>
                    <w:jc w:val="center"/>
                    <w:rPr>
                      <w:rFonts w:ascii="Times New Roman" w:hAnsi="Times New Roman"/>
                      <w:color w:val="auto"/>
                      <w:szCs w:val="21"/>
                      <w:lang w:bidi="ar"/>
                    </w:rPr>
                  </w:pPr>
                </w:p>
              </w:tc>
              <w:tc>
                <w:tcPr>
                  <w:tcW w:w="574" w:type="pct"/>
                  <w:shd w:val="clear" w:color="auto" w:fill="auto"/>
                  <w:vAlign w:val="center"/>
                </w:tcPr>
                <w:p>
                  <w:pPr>
                    <w:overflowPunct w:val="0"/>
                    <w:adjustRightInd w:val="0"/>
                    <w:snapToGrid w:val="0"/>
                    <w:ind w:firstLine="164"/>
                    <w:jc w:val="center"/>
                    <w:rPr>
                      <w:rFonts w:ascii="Times New Roman" w:hAnsi="Times New Roman"/>
                      <w:color w:val="auto"/>
                      <w:szCs w:val="21"/>
                      <w:lang w:bidi="ar"/>
                    </w:rPr>
                  </w:pPr>
                  <w:r>
                    <w:rPr>
                      <w:rFonts w:ascii="Times New Roman" w:hAnsi="Times New Roman"/>
                      <w:color w:val="auto"/>
                      <w:szCs w:val="21"/>
                      <w:lang w:bidi="ar"/>
                    </w:rPr>
                    <w:t>土壤</w:t>
                  </w:r>
                </w:p>
              </w:tc>
              <w:tc>
                <w:tcPr>
                  <w:tcW w:w="652" w:type="pct"/>
                  <w:shd w:val="clear" w:color="auto" w:fill="auto"/>
                  <w:vAlign w:val="center"/>
                </w:tcPr>
                <w:p>
                  <w:pPr>
                    <w:adjustRightInd w:val="0"/>
                    <w:snapToGrid w:val="0"/>
                    <w:ind w:firstLine="164"/>
                    <w:jc w:val="center"/>
                    <w:rPr>
                      <w:rFonts w:ascii="Times New Roman" w:hAnsi="Times New Roman"/>
                      <w:color w:val="auto"/>
                      <w:szCs w:val="21"/>
                    </w:rPr>
                  </w:pPr>
                  <w:r>
                    <w:rPr>
                      <w:rFonts w:ascii="Times New Roman" w:hAnsi="Times New Roman"/>
                      <w:color w:val="auto"/>
                      <w:szCs w:val="21"/>
                    </w:rPr>
                    <w:t>1次/</w:t>
                  </w:r>
                  <w:r>
                    <w:rPr>
                      <w:rFonts w:hint="eastAsia" w:ascii="Times New Roman" w:hAnsi="Times New Roman"/>
                      <w:color w:val="auto"/>
                      <w:szCs w:val="21"/>
                    </w:rPr>
                    <w:t>3</w:t>
                  </w:r>
                  <w:r>
                    <w:rPr>
                      <w:rFonts w:ascii="Times New Roman" w:hAnsi="Times New Roman"/>
                      <w:color w:val="auto"/>
                      <w:szCs w:val="21"/>
                    </w:rPr>
                    <w:t>年</w:t>
                  </w:r>
                </w:p>
              </w:tc>
              <w:tc>
                <w:tcPr>
                  <w:tcW w:w="979" w:type="pct"/>
                  <w:shd w:val="clear" w:color="auto" w:fill="auto"/>
                  <w:vAlign w:val="center"/>
                </w:tcPr>
                <w:p>
                  <w:pPr>
                    <w:adjustRightInd w:val="0"/>
                    <w:snapToGrid w:val="0"/>
                    <w:ind w:firstLine="164"/>
                    <w:jc w:val="center"/>
                    <w:rPr>
                      <w:rFonts w:ascii="Times New Roman" w:hAnsi="Times New Roman"/>
                      <w:color w:val="auto"/>
                      <w:kern w:val="0"/>
                      <w:szCs w:val="21"/>
                      <w:lang w:val="zh-CN" w:bidi="ar"/>
                    </w:rPr>
                  </w:pPr>
                  <w:r>
                    <w:rPr>
                      <w:rFonts w:ascii="Times New Roman" w:hAnsi="Times New Roman"/>
                      <w:color w:val="auto"/>
                      <w:kern w:val="0"/>
                      <w:szCs w:val="21"/>
                      <w:lang w:val="zh-CN" w:bidi="ar"/>
                    </w:rPr>
                    <w:t>项目周边农田</w:t>
                  </w:r>
                </w:p>
              </w:tc>
              <w:tc>
                <w:tcPr>
                  <w:tcW w:w="1096" w:type="pct"/>
                  <w:shd w:val="clear" w:color="auto" w:fill="auto"/>
                  <w:vAlign w:val="center"/>
                </w:tcPr>
                <w:p>
                  <w:pPr>
                    <w:adjustRightInd w:val="0"/>
                    <w:snapToGrid w:val="0"/>
                    <w:ind w:firstLine="164"/>
                    <w:jc w:val="center"/>
                    <w:rPr>
                      <w:rFonts w:ascii="Times New Roman" w:hAnsi="Times New Roman"/>
                      <w:color w:val="auto"/>
                      <w:kern w:val="0"/>
                      <w:szCs w:val="21"/>
                      <w:lang w:bidi="ar"/>
                    </w:rPr>
                  </w:pPr>
                  <w:r>
                    <w:rPr>
                      <w:rFonts w:hint="eastAsia" w:ascii="宋体" w:hAnsi="宋体" w:cs="宋体"/>
                      <w:color w:val="auto"/>
                      <w:kern w:val="0"/>
                      <w:szCs w:val="21"/>
                      <w:lang w:bidi="ar"/>
                    </w:rPr>
                    <w:t>石油烃、</w:t>
                  </w:r>
                  <w:r>
                    <w:rPr>
                      <w:rFonts w:ascii="Times New Roman" w:hAnsi="Times New Roman"/>
                      <w:color w:val="auto"/>
                      <w:szCs w:val="21"/>
                    </w:rPr>
                    <w:t>pH</w:t>
                  </w:r>
                  <w:r>
                    <w:rPr>
                      <w:rFonts w:hint="eastAsia" w:ascii="宋体" w:hAnsi="宋体" w:cs="宋体"/>
                      <w:color w:val="auto"/>
                      <w:szCs w:val="21"/>
                    </w:rPr>
                    <w:t>、铬、铜、铅、镉、锌、砷、汞、镍</w:t>
                  </w:r>
                </w:p>
              </w:tc>
              <w:tc>
                <w:tcPr>
                  <w:tcW w:w="571"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c>
                <w:tcPr>
                  <w:tcW w:w="555" w:type="pct"/>
                  <w:vMerge w:val="continue"/>
                  <w:shd w:val="clear" w:color="auto" w:fill="auto"/>
                  <w:vAlign w:val="center"/>
                </w:tcPr>
                <w:p>
                  <w:pPr>
                    <w:adjustRightInd w:val="0"/>
                    <w:snapToGrid w:val="0"/>
                    <w:ind w:firstLine="164"/>
                    <w:jc w:val="center"/>
                    <w:rPr>
                      <w:rFonts w:ascii="Times New Roman" w:hAnsi="Times New Roman"/>
                      <w:color w:val="auto"/>
                      <w:kern w:val="0"/>
                      <w:szCs w:val="21"/>
                    </w:rPr>
                  </w:pPr>
                </w:p>
              </w:tc>
            </w:tr>
          </w:tbl>
          <w:p>
            <w:pPr>
              <w:pStyle w:val="48"/>
              <w:spacing w:line="496" w:lineRule="exact"/>
              <w:ind w:firstLine="482"/>
              <w:jc w:val="both"/>
              <w:rPr>
                <w:rFonts w:ascii="Times New Roman" w:hAnsi="Times New Roman"/>
                <w:b/>
                <w:color w:val="auto"/>
              </w:rPr>
            </w:pPr>
            <w:r>
              <w:rPr>
                <w:rFonts w:hint="eastAsia" w:ascii="Times New Roman" w:hAnsi="Times New Roman"/>
                <w:b/>
                <w:color w:val="auto"/>
              </w:rPr>
              <w:t>10.“三同时”验收</w:t>
            </w:r>
          </w:p>
          <w:p>
            <w:pPr>
              <w:pStyle w:val="48"/>
              <w:spacing w:line="360" w:lineRule="auto"/>
              <w:ind w:firstLine="480"/>
              <w:jc w:val="both"/>
              <w:rPr>
                <w:rFonts w:ascii="Times New Roman" w:hAnsi="Times New Roman"/>
                <w:color w:val="auto"/>
              </w:rPr>
            </w:pPr>
            <w:r>
              <w:rPr>
                <w:color w:val="auto"/>
              </w:rPr>
              <w:t>根据建设单位项目“三同时”原则，在项目建设过程中，环境污染防治设施与主体工程同时设计、同时施工、同时投入使用，拟建项目建成运行时，应对环保设施进行验收。</w:t>
            </w:r>
            <w:r>
              <w:rPr>
                <w:rFonts w:hint="eastAsia"/>
                <w:color w:val="auto"/>
              </w:rPr>
              <w:t>本项目“三同时”竣工验收一览表</w:t>
            </w:r>
            <w:r>
              <w:rPr>
                <w:rFonts w:ascii="Times New Roman" w:hAnsi="Times New Roman"/>
                <w:color w:val="auto"/>
              </w:rPr>
              <w:t>见表5-</w:t>
            </w:r>
            <w:r>
              <w:rPr>
                <w:rFonts w:hint="eastAsia" w:ascii="Times New Roman" w:hAnsi="Times New Roman"/>
                <w:color w:val="auto"/>
              </w:rPr>
              <w:t>3</w:t>
            </w:r>
            <w:r>
              <w:rPr>
                <w:rFonts w:ascii="Times New Roman" w:hAnsi="Times New Roman"/>
                <w:color w:val="auto"/>
              </w:rPr>
              <w:t>。</w:t>
            </w: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p>
          <w:p>
            <w:pPr>
              <w:pStyle w:val="48"/>
              <w:spacing w:line="496" w:lineRule="exact"/>
              <w:ind w:firstLine="0" w:firstLineChars="0"/>
              <w:jc w:val="both"/>
              <w:rPr>
                <w:rFonts w:ascii="Times New Roman" w:hAnsi="Times New Roman"/>
                <w:b/>
                <w:color w:val="auto"/>
              </w:rPr>
            </w:pPr>
          </w:p>
        </w:tc>
      </w:tr>
    </w:tbl>
    <w:p>
      <w:pPr>
        <w:adjustRightInd w:val="0"/>
        <w:snapToGrid w:val="0"/>
        <w:jc w:val="center"/>
        <w:rPr>
          <w:rFonts w:ascii="Times New Roman" w:hAnsi="Times New Roman"/>
          <w:bCs/>
          <w:spacing w:val="10"/>
          <w:sz w:val="24"/>
        </w:rPr>
        <w:sectPr>
          <w:pgSz w:w="11907" w:h="16840"/>
          <w:pgMar w:top="1418" w:right="1588" w:bottom="1418" w:left="1588" w:header="851" w:footer="1077" w:gutter="0"/>
          <w:cols w:space="720" w:num="1"/>
          <w:docGrid w:linePitch="312"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4220" w:type="dxa"/>
          </w:tcPr>
          <w:p>
            <w:pPr>
              <w:adjustRightInd w:val="0"/>
              <w:snapToGrid w:val="0"/>
              <w:jc w:val="center"/>
              <w:rPr>
                <w:rFonts w:ascii="Times New Roman" w:hAnsi="Times New Roman"/>
                <w:bCs/>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14220" w:type="dxa"/>
          </w:tcPr>
          <w:p>
            <w:pPr>
              <w:ind w:firstLine="422" w:firstLineChars="200"/>
              <w:jc w:val="center"/>
              <w:rPr>
                <w:rFonts w:ascii="Times New Roman" w:hAnsi="Times New Roman"/>
                <w:b/>
                <w:color w:val="auto"/>
                <w:kern w:val="0"/>
                <w:szCs w:val="21"/>
              </w:rPr>
            </w:pPr>
            <w:r>
              <w:rPr>
                <w:rFonts w:hint="eastAsia" w:ascii="Times New Roman" w:hAnsi="Times New Roman"/>
                <w:b/>
                <w:color w:val="auto"/>
                <w:kern w:val="0"/>
                <w:szCs w:val="21"/>
              </w:rPr>
              <w:t>表5-3 本项目“三同时”竣工验收一览表</w:t>
            </w:r>
          </w:p>
          <w:tbl>
            <w:tblPr>
              <w:tblStyle w:val="37"/>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Layout w:type="autofit"/>
              <w:tblCellMar>
                <w:top w:w="0" w:type="dxa"/>
                <w:left w:w="108" w:type="dxa"/>
                <w:bottom w:w="0" w:type="dxa"/>
                <w:right w:w="108" w:type="dxa"/>
              </w:tblCellMar>
            </w:tblPr>
            <w:tblGrid>
              <w:gridCol w:w="938"/>
              <w:gridCol w:w="1109"/>
              <w:gridCol w:w="3386"/>
              <w:gridCol w:w="1823"/>
              <w:gridCol w:w="2442"/>
              <w:gridCol w:w="2488"/>
              <w:gridCol w:w="1810"/>
            </w:tblGrid>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90" w:hRule="atLeast"/>
                <w:jc w:val="center"/>
              </w:trPr>
              <w:tc>
                <w:tcPr>
                  <w:tcW w:w="335"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阶段</w:t>
                  </w: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项目</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措施内容</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处理效果</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验收内容</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验收标准</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完成时限</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1139" w:hRule="atLeast"/>
                <w:jc w:val="center"/>
              </w:trPr>
              <w:tc>
                <w:tcPr>
                  <w:tcW w:w="335" w:type="pct"/>
                  <w:vMerge w:val="restar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施工期</w:t>
                  </w:r>
                </w:p>
              </w:tc>
              <w:tc>
                <w:tcPr>
                  <w:tcW w:w="396" w:type="pct"/>
                  <w:vMerge w:val="restar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固体废物</w:t>
                  </w:r>
                </w:p>
              </w:tc>
              <w:tc>
                <w:tcPr>
                  <w:tcW w:w="1209" w:type="pct"/>
                  <w:tcBorders>
                    <w:tl2br w:val="nil"/>
                    <w:tr2bl w:val="nil"/>
                  </w:tcBorders>
                  <w:shd w:val="clear" w:color="auto" w:fill="FFFFFF"/>
                  <w:vAlign w:val="center"/>
                </w:tcPr>
                <w:p>
                  <w:pPr>
                    <w:pStyle w:val="48"/>
                    <w:spacing w:line="240" w:lineRule="auto"/>
                    <w:ind w:firstLine="0" w:firstLineChars="0"/>
                    <w:jc w:val="both"/>
                    <w:rPr>
                      <w:rFonts w:ascii="Times New Roman" w:hAnsi="Times New Roman"/>
                      <w:color w:val="auto"/>
                      <w:sz w:val="21"/>
                      <w:szCs w:val="21"/>
                    </w:rPr>
                  </w:pPr>
                  <w:r>
                    <w:rPr>
                      <w:rFonts w:ascii="Times New Roman" w:hAnsi="Times New Roman"/>
                      <w:color w:val="auto"/>
                      <w:kern w:val="0"/>
                      <w:sz w:val="21"/>
                      <w:szCs w:val="21"/>
                      <w:lang w:bidi="ar"/>
                    </w:rPr>
                    <w:t>施工</w:t>
                  </w:r>
                  <w:r>
                    <w:rPr>
                      <w:rFonts w:hint="eastAsia" w:ascii="Times New Roman" w:hAnsi="Times New Roman"/>
                      <w:color w:val="auto"/>
                      <w:kern w:val="0"/>
                      <w:sz w:val="21"/>
                      <w:szCs w:val="21"/>
                      <w:lang w:bidi="ar"/>
                    </w:rPr>
                    <w:t>废边角料、废包装物</w:t>
                  </w:r>
                  <w:r>
                    <w:rPr>
                      <w:rFonts w:ascii="Times New Roman" w:hAnsi="Times New Roman"/>
                      <w:color w:val="auto"/>
                      <w:kern w:val="0"/>
                      <w:sz w:val="21"/>
                      <w:szCs w:val="21"/>
                      <w:lang w:bidi="ar"/>
                    </w:rPr>
                    <w:t>部分回收利用，</w:t>
                  </w:r>
                  <w:r>
                    <w:rPr>
                      <w:rFonts w:hint="eastAsia" w:ascii="Times New Roman" w:hAnsi="Times New Roman"/>
                      <w:color w:val="auto"/>
                      <w:kern w:val="0"/>
                      <w:sz w:val="21"/>
                      <w:szCs w:val="21"/>
                      <w:lang w:bidi="ar"/>
                    </w:rPr>
                    <w:t>不能回收利用的应运至当地环卫部门指定的生活垃圾填埋场建筑垃圾填埋区进行处置</w:t>
                  </w:r>
                  <w:r>
                    <w:rPr>
                      <w:rFonts w:ascii="Times New Roman" w:hAnsi="Times New Roman"/>
                      <w:color w:val="auto"/>
                      <w:kern w:val="0"/>
                      <w:sz w:val="21"/>
                      <w:szCs w:val="21"/>
                      <w:lang w:bidi="ar"/>
                    </w:rPr>
                    <w:t>。</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无乱堆、乱放、乱弃现象</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hint="eastAsia" w:ascii="Times New Roman" w:hAnsi="Times New Roman"/>
                      <w:color w:val="auto"/>
                      <w:kern w:val="0"/>
                      <w:szCs w:val="21"/>
                      <w:lang w:bidi="ar"/>
                    </w:rPr>
                    <w:t>——</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hint="eastAsia" w:ascii="Times New Roman" w:hAnsi="Times New Roman"/>
                      <w:color w:val="auto"/>
                      <w:kern w:val="0"/>
                      <w:szCs w:val="21"/>
                      <w:lang w:bidi="ar"/>
                    </w:rPr>
                    <w:t>——</w:t>
                  </w:r>
                </w:p>
              </w:tc>
              <w:tc>
                <w:tcPr>
                  <w:tcW w:w="646" w:type="pct"/>
                  <w:vMerge w:val="restar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完井后实施</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745" w:hRule="atLeast"/>
                <w:jc w:val="center"/>
              </w:trPr>
              <w:tc>
                <w:tcPr>
                  <w:tcW w:w="335" w:type="pct"/>
                  <w:vMerge w:val="continue"/>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p>
              </w:tc>
              <w:tc>
                <w:tcPr>
                  <w:tcW w:w="396" w:type="pct"/>
                  <w:vMerge w:val="continue"/>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p>
              </w:tc>
              <w:tc>
                <w:tcPr>
                  <w:tcW w:w="1209" w:type="pct"/>
                  <w:tcBorders>
                    <w:tl2br w:val="nil"/>
                    <w:tr2bl w:val="nil"/>
                  </w:tcBorders>
                  <w:shd w:val="clear" w:color="auto" w:fill="FFFFFF"/>
                  <w:vAlign w:val="center"/>
                </w:tcPr>
                <w:p>
                  <w:pPr>
                    <w:pStyle w:val="48"/>
                    <w:spacing w:line="240" w:lineRule="auto"/>
                    <w:ind w:firstLine="0" w:firstLineChars="0"/>
                    <w:jc w:val="both"/>
                    <w:rPr>
                      <w:rFonts w:ascii="Times New Roman" w:hAnsi="Times New Roman"/>
                      <w:color w:val="auto"/>
                      <w:kern w:val="0"/>
                      <w:sz w:val="21"/>
                      <w:szCs w:val="21"/>
                      <w:lang w:bidi="ar"/>
                    </w:rPr>
                  </w:pPr>
                  <w:r>
                    <w:rPr>
                      <w:rFonts w:hint="eastAsia" w:ascii="Times New Roman" w:hAnsi="Times New Roman"/>
                      <w:color w:val="auto"/>
                      <w:kern w:val="0"/>
                      <w:sz w:val="21"/>
                      <w:szCs w:val="21"/>
                      <w:lang w:bidi="ar"/>
                    </w:rPr>
                    <w:t>泥浆和岩屑全部委托山东奥友环保工程有限责任公司进行不落地作业，由罐体收集后运离井场进行专业处理。</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不落地</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bCs/>
                      <w:color w:val="auto"/>
                      <w:szCs w:val="21"/>
                    </w:rPr>
                    <w:t>满足《油气田钻井固体废物综合利用污染控制要求》(DB65/T 3997-2017)</w:t>
                  </w:r>
                </w:p>
              </w:tc>
              <w:tc>
                <w:tcPr>
                  <w:tcW w:w="646" w:type="pct"/>
                  <w:vMerge w:val="continue"/>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704" w:hRule="atLeast"/>
                <w:jc w:val="center"/>
              </w:trPr>
              <w:tc>
                <w:tcPr>
                  <w:tcW w:w="335"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废水</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试压废水：收集后用于洒水降尘、场地绿化</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不外排</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hint="eastAsia" w:ascii="Times New Roman" w:hAnsi="Times New Roman"/>
                      <w:color w:val="auto"/>
                      <w:kern w:val="0"/>
                      <w:szCs w:val="21"/>
                      <w:lang w:bidi="ar"/>
                    </w:rPr>
                    <w:t>——</w:t>
                  </w:r>
                </w:p>
              </w:tc>
              <w:tc>
                <w:tcPr>
                  <w:tcW w:w="888" w:type="pc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与主体工程同步</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5"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废气</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1)原材料运输、堆放要求遮盖</w:t>
                  </w:r>
                  <w:r>
                    <w:rPr>
                      <w:rFonts w:hint="eastAsia" w:ascii="Times New Roman" w:hAnsi="Times New Roman"/>
                      <w:color w:val="auto"/>
                      <w:kern w:val="0"/>
                      <w:szCs w:val="21"/>
                      <w:lang w:bidi="ar"/>
                    </w:rPr>
                    <w:t>；</w:t>
                  </w:r>
                  <w:r>
                    <w:rPr>
                      <w:rFonts w:ascii="Times New Roman" w:hAnsi="Times New Roman"/>
                      <w:color w:val="auto"/>
                      <w:kern w:val="0"/>
                      <w:szCs w:val="21"/>
                      <w:lang w:bidi="ar"/>
                    </w:rPr>
                    <w:t>及时清理场地上弃渣料，采取覆盖</w:t>
                  </w:r>
                  <w:r>
                    <w:rPr>
                      <w:rFonts w:hint="eastAsia" w:ascii="Times New Roman" w:hAnsi="Times New Roman"/>
                      <w:color w:val="auto"/>
                      <w:kern w:val="0"/>
                      <w:szCs w:val="21"/>
                      <w:lang w:bidi="ar"/>
                    </w:rPr>
                    <w:t>；</w:t>
                  </w:r>
                  <w:r>
                    <w:rPr>
                      <w:rFonts w:ascii="Times New Roman" w:hAnsi="Times New Roman"/>
                      <w:color w:val="auto"/>
                      <w:kern w:val="0"/>
                      <w:szCs w:val="21"/>
                      <w:lang w:bidi="ar"/>
                    </w:rPr>
                    <w:t>2)加强施工管理，尽可能缩短施工时间</w:t>
                  </w:r>
                  <w:r>
                    <w:rPr>
                      <w:rFonts w:hint="eastAsia" w:ascii="Times New Roman" w:hAnsi="Times New Roman"/>
                      <w:color w:val="auto"/>
                      <w:kern w:val="0"/>
                      <w:szCs w:val="21"/>
                      <w:lang w:bidi="ar"/>
                    </w:rPr>
                    <w:t>；</w:t>
                  </w:r>
                </w:p>
              </w:tc>
              <w:tc>
                <w:tcPr>
                  <w:tcW w:w="651" w:type="pc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872" w:type="pc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888" w:type="pc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与主体工程同步</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5"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噪声</w:t>
                  </w:r>
                </w:p>
              </w:tc>
              <w:tc>
                <w:tcPr>
                  <w:tcW w:w="1209" w:type="pct"/>
                  <w:tcBorders>
                    <w:tl2br w:val="nil"/>
                    <w:tr2bl w:val="nil"/>
                  </w:tcBorders>
                  <w:shd w:val="clear" w:color="auto" w:fill="FFFFFF"/>
                  <w:vAlign w:val="center"/>
                </w:tcPr>
                <w:p>
                  <w:pPr>
                    <w:textAlignment w:val="center"/>
                    <w:rPr>
                      <w:rFonts w:ascii="Times New Roman" w:hAnsi="Times New Roman"/>
                      <w:color w:val="auto"/>
                      <w:kern w:val="0"/>
                      <w:szCs w:val="21"/>
                      <w:lang w:bidi="ar"/>
                    </w:rPr>
                  </w:pPr>
                  <w:r>
                    <w:rPr>
                      <w:rFonts w:ascii="Times New Roman" w:hAnsi="Times New Roman"/>
                      <w:color w:val="auto"/>
                      <w:kern w:val="0"/>
                      <w:szCs w:val="21"/>
                      <w:lang w:bidi="ar"/>
                    </w:rPr>
                    <w:t>1)合理选择施工时间</w:t>
                  </w:r>
                  <w:r>
                    <w:rPr>
                      <w:rFonts w:hint="eastAsia" w:ascii="Times New Roman" w:hAnsi="Times New Roman"/>
                      <w:color w:val="auto"/>
                      <w:kern w:val="0"/>
                      <w:szCs w:val="21"/>
                      <w:lang w:bidi="ar"/>
                    </w:rPr>
                    <w:t>；</w:t>
                  </w:r>
                </w:p>
                <w:p>
                  <w:pPr>
                    <w:textAlignment w:val="center"/>
                    <w:rPr>
                      <w:rFonts w:ascii="Times New Roman" w:hAnsi="Times New Roman"/>
                      <w:color w:val="auto"/>
                      <w:szCs w:val="21"/>
                    </w:rPr>
                  </w:pPr>
                  <w:r>
                    <w:rPr>
                      <w:rFonts w:ascii="Times New Roman" w:hAnsi="Times New Roman"/>
                      <w:color w:val="auto"/>
                      <w:kern w:val="0"/>
                      <w:szCs w:val="21"/>
                      <w:lang w:bidi="ar"/>
                    </w:rPr>
                    <w:t>2)选择低噪声设备</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无噪声扰民现象发生</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hint="eastAsia" w:ascii="Times New Roman" w:hAnsi="Times New Roman"/>
                      <w:color w:val="auto"/>
                      <w:kern w:val="0"/>
                      <w:szCs w:val="21"/>
                      <w:lang w:bidi="ar"/>
                    </w:rPr>
                    <w:t>——</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执行</w:t>
                  </w:r>
                  <w:r>
                    <w:rPr>
                      <w:rFonts w:hint="eastAsia" w:ascii="Times New Roman" w:hAnsi="Times New Roman"/>
                      <w:color w:val="auto"/>
                      <w:kern w:val="0"/>
                      <w:szCs w:val="21"/>
                      <w:lang w:bidi="ar"/>
                    </w:rPr>
                    <w:t>《</w:t>
                  </w:r>
                  <w:r>
                    <w:rPr>
                      <w:rFonts w:ascii="Times New Roman" w:hAnsi="Times New Roman"/>
                      <w:color w:val="auto"/>
                      <w:kern w:val="0"/>
                      <w:szCs w:val="21"/>
                      <w:lang w:bidi="ar"/>
                    </w:rPr>
                    <w:t>建筑施工场界环境噪声排</w:t>
                  </w:r>
                  <w:r>
                    <w:rPr>
                      <w:rFonts w:hint="eastAsia" w:ascii="Times New Roman" w:hAnsi="Times New Roman"/>
                      <w:color w:val="auto"/>
                      <w:kern w:val="0"/>
                      <w:szCs w:val="21"/>
                      <w:lang w:bidi="ar"/>
                    </w:rPr>
                    <w:t>放</w:t>
                  </w:r>
                  <w:r>
                    <w:rPr>
                      <w:rFonts w:ascii="Times New Roman" w:hAnsi="Times New Roman"/>
                      <w:color w:val="auto"/>
                      <w:kern w:val="0"/>
                      <w:szCs w:val="21"/>
                      <w:lang w:bidi="ar"/>
                    </w:rPr>
                    <w:t>标准》(GB12523-2011)要求</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与主体工程同步</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5"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szCs w:val="21"/>
                    </w:rPr>
                    <w:t>运营期</w:t>
                  </w: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固体废物</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油泥砂</w:t>
                  </w:r>
                  <w:r>
                    <w:rPr>
                      <w:rFonts w:hint="eastAsia" w:ascii="Times New Roman" w:hAnsi="Times New Roman"/>
                      <w:color w:val="auto"/>
                      <w:kern w:val="0"/>
                      <w:szCs w:val="21"/>
                      <w:lang w:bidi="ar"/>
                    </w:rPr>
                    <w:t>：交由</w:t>
                  </w:r>
                  <w:r>
                    <w:rPr>
                      <w:rFonts w:ascii="Times New Roman" w:hAnsi="Times New Roman"/>
                      <w:color w:val="auto"/>
                      <w:kern w:val="0"/>
                      <w:szCs w:val="21"/>
                    </w:rPr>
                    <w:t>新疆锦恒利废矿物油处置有限公司进行回收处理</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外委处理，无外排</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拉运台账</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执行《危险物收集</w:t>
                  </w:r>
                  <w:r>
                    <w:rPr>
                      <w:rFonts w:hint="eastAsia" w:ascii="Times New Roman" w:hAnsi="Times New Roman"/>
                      <w:color w:val="auto"/>
                      <w:kern w:val="0"/>
                      <w:szCs w:val="21"/>
                      <w:lang w:bidi="ar"/>
                    </w:rPr>
                    <w:t xml:space="preserve"> </w:t>
                  </w:r>
                  <w:r>
                    <w:rPr>
                      <w:rFonts w:ascii="Times New Roman" w:hAnsi="Times New Roman"/>
                      <w:color w:val="auto"/>
                      <w:kern w:val="0"/>
                      <w:szCs w:val="21"/>
                      <w:lang w:bidi="ar"/>
                    </w:rPr>
                    <w:t>贮存运输技术规范》(HJ2025-2012)、危险废物贮存污染控制标准》(GB18597-2001)</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运营期</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adjustRightInd w:val="0"/>
              <w:snapToGrid w:val="0"/>
              <w:jc w:val="center"/>
              <w:rPr>
                <w:rFonts w:ascii="Times New Roman" w:hAnsi="Times New Roman"/>
                <w:bCs/>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8" w:hRule="atLeast"/>
        </w:trPr>
        <w:tc>
          <w:tcPr>
            <w:tcW w:w="14220" w:type="dxa"/>
          </w:tcPr>
          <w:p>
            <w:pPr>
              <w:ind w:firstLine="422" w:firstLineChars="200"/>
              <w:jc w:val="center"/>
              <w:rPr>
                <w:color w:val="auto"/>
              </w:rPr>
            </w:pPr>
            <w:r>
              <w:rPr>
                <w:rFonts w:hint="eastAsia" w:ascii="Times New Roman" w:hAnsi="Times New Roman"/>
                <w:b/>
                <w:color w:val="auto"/>
                <w:kern w:val="0"/>
                <w:szCs w:val="21"/>
              </w:rPr>
              <w:t>续表5-3 本项目“三同时”竣工验收一览表</w:t>
            </w:r>
          </w:p>
          <w:tbl>
            <w:tblPr>
              <w:tblStyle w:val="37"/>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Layout w:type="autofit"/>
              <w:tblCellMar>
                <w:top w:w="0" w:type="dxa"/>
                <w:left w:w="108" w:type="dxa"/>
                <w:bottom w:w="0" w:type="dxa"/>
                <w:right w:w="108" w:type="dxa"/>
              </w:tblCellMar>
            </w:tblPr>
            <w:tblGrid>
              <w:gridCol w:w="938"/>
              <w:gridCol w:w="1109"/>
              <w:gridCol w:w="3386"/>
              <w:gridCol w:w="1823"/>
              <w:gridCol w:w="2442"/>
              <w:gridCol w:w="2488"/>
              <w:gridCol w:w="1810"/>
            </w:tblGrid>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5"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阶段</w:t>
                  </w: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项目</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措施内容</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处理效果</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验收内容</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验收标准</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完成时限</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5" w:type="pct"/>
                  <w:vMerge w:val="restar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运营期</w:t>
                  </w:r>
                </w:p>
              </w:tc>
              <w:tc>
                <w:tcPr>
                  <w:tcW w:w="396" w:type="pct"/>
                  <w:vMerge w:val="restar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废水</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采出水：依托春光联合站内污水处理系统处理达标后，回注地层，无外排</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回注地层，不外排</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废水无外排，联合站正常运行</w:t>
                  </w:r>
                </w:p>
              </w:tc>
              <w:tc>
                <w:tcPr>
                  <w:tcW w:w="888" w:type="pct"/>
                  <w:vMerge w:val="restar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执行《碎屑岩油藏注水水质指标及分析方法》(SY/T5329-2012)中推荐水质指标</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己运行</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300" w:hRule="atLeast"/>
                <w:jc w:val="center"/>
              </w:trPr>
              <w:tc>
                <w:tcPr>
                  <w:tcW w:w="335"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396"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井下作业废水：拉运至春光联合站内污水处理系统处理达标后，回注地层，无外排</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回注地层，不外排</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废水无外排，联合站正常运行</w:t>
                  </w:r>
                </w:p>
              </w:tc>
              <w:tc>
                <w:tcPr>
                  <w:tcW w:w="888"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已运行</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1614" w:hRule="atLeast"/>
                <w:jc w:val="center"/>
              </w:trPr>
              <w:tc>
                <w:tcPr>
                  <w:tcW w:w="335"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39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废气</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井场无组织挥发烃：采用密闭管线输送</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hint="eastAsia" w:ascii="Times New Roman" w:hAnsi="Times New Roman"/>
                      <w:color w:val="auto"/>
                      <w:szCs w:val="21"/>
                    </w:rPr>
                    <w:t>——</w:t>
                  </w:r>
                </w:p>
              </w:tc>
              <w:tc>
                <w:tcPr>
                  <w:tcW w:w="872" w:type="pct"/>
                  <w:tcBorders>
                    <w:tl2br w:val="nil"/>
                    <w:tr2bl w:val="nil"/>
                  </w:tcBorders>
                  <w:shd w:val="clear" w:color="auto" w:fill="FFFFFF"/>
                  <w:vAlign w:val="center"/>
                </w:tcPr>
                <w:p>
                  <w:pPr>
                    <w:jc w:val="center"/>
                    <w:rPr>
                      <w:rFonts w:ascii="Times New Roman" w:hAnsi="Times New Roman"/>
                      <w:color w:val="auto"/>
                      <w:szCs w:val="21"/>
                    </w:rPr>
                  </w:pPr>
                  <w:r>
                    <w:rPr>
                      <w:rFonts w:hint="eastAsia" w:ascii="Times New Roman" w:hAnsi="Times New Roman"/>
                      <w:color w:val="auto"/>
                      <w:szCs w:val="21"/>
                    </w:rPr>
                    <w:t>——</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非甲烷总</w:t>
                  </w:r>
                  <w:r>
                    <w:rPr>
                      <w:rFonts w:hint="eastAsia" w:ascii="Times New Roman" w:hAnsi="Times New Roman"/>
                      <w:color w:val="auto"/>
                      <w:kern w:val="0"/>
                      <w:szCs w:val="21"/>
                      <w:lang w:bidi="ar"/>
                    </w:rPr>
                    <w:t>烃</w:t>
                  </w:r>
                  <w:r>
                    <w:rPr>
                      <w:rFonts w:ascii="Times New Roman" w:hAnsi="Times New Roman"/>
                      <w:color w:val="auto"/>
                      <w:kern w:val="0"/>
                      <w:szCs w:val="21"/>
                      <w:lang w:bidi="ar"/>
                    </w:rPr>
                    <w:t>执行《陆上石油天然气开采工业大气污染物排放标准》(GB39728-2020)中挥发性有机物厂界监控点浓度限值(4.0mg/m</w:t>
                  </w:r>
                  <w:r>
                    <w:rPr>
                      <w:rFonts w:hint="eastAsia" w:ascii="Times New Roman" w:hAnsi="Times New Roman"/>
                      <w:color w:val="auto"/>
                      <w:kern w:val="0"/>
                      <w:szCs w:val="21"/>
                      <w:vertAlign w:val="superscript"/>
                      <w:lang w:bidi="ar"/>
                    </w:rPr>
                    <w:t>3</w:t>
                  </w:r>
                  <w:r>
                    <w:rPr>
                      <w:rFonts w:ascii="Times New Roman" w:hAnsi="Times New Roman"/>
                      <w:color w:val="auto"/>
                      <w:kern w:val="0"/>
                      <w:szCs w:val="21"/>
                      <w:lang w:bidi="ar"/>
                    </w:rPr>
                    <w:t>)</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szCs w:val="21"/>
                    </w:rPr>
                  </w:pPr>
                  <w:r>
                    <w:rPr>
                      <w:rFonts w:ascii="Times New Roman" w:hAnsi="Times New Roman"/>
                      <w:color w:val="auto"/>
                      <w:kern w:val="0"/>
                      <w:szCs w:val="21"/>
                      <w:lang w:bidi="ar"/>
                    </w:rPr>
                    <w:t>运营期</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1169" w:hRule="atLeast"/>
                <w:jc w:val="center"/>
              </w:trPr>
              <w:tc>
                <w:tcPr>
                  <w:tcW w:w="335" w:type="pct"/>
                  <w:vMerge w:val="continue"/>
                  <w:tcBorders>
                    <w:tl2br w:val="nil"/>
                    <w:tr2bl w:val="nil"/>
                  </w:tcBorders>
                  <w:shd w:val="clear" w:color="auto" w:fill="FFFFFF"/>
                  <w:vAlign w:val="center"/>
                </w:tcPr>
                <w:p>
                  <w:pPr>
                    <w:jc w:val="center"/>
                    <w:rPr>
                      <w:rFonts w:ascii="Times New Roman" w:hAnsi="Times New Roman"/>
                      <w:color w:val="auto"/>
                      <w:szCs w:val="21"/>
                    </w:rPr>
                  </w:pPr>
                </w:p>
              </w:tc>
              <w:tc>
                <w:tcPr>
                  <w:tcW w:w="396"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噪声</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井场</w:t>
                  </w:r>
                </w:p>
              </w:tc>
              <w:tc>
                <w:tcPr>
                  <w:tcW w:w="651"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井场厂界达标</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井场厂界噪声值</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执行《工业企业厂界环境噪声排放标准》(GB12348-2008)中的2类标准</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运营期</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822" w:hRule="atLeast"/>
                <w:jc w:val="center"/>
              </w:trPr>
              <w:tc>
                <w:tcPr>
                  <w:tcW w:w="731" w:type="pct"/>
                  <w:gridSpan w:val="2"/>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生态环境</w:t>
                  </w:r>
                </w:p>
              </w:tc>
              <w:tc>
                <w:tcPr>
                  <w:tcW w:w="1860" w:type="pct"/>
                  <w:gridSpan w:val="2"/>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1)合理制定施工计划，严格施工现场管理，减少对生态环境的扰动：2)制定合理、可行的生态恢复计划，并按计划落实</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临时占地完成生态恢复</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恢复地表植被，农田复垦</w:t>
                  </w:r>
                </w:p>
              </w:tc>
              <w:tc>
                <w:tcPr>
                  <w:tcW w:w="646"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施工结束</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583" w:hRule="atLeast"/>
                <w:jc w:val="center"/>
              </w:trPr>
              <w:tc>
                <w:tcPr>
                  <w:tcW w:w="731" w:type="pct"/>
                  <w:gridSpan w:val="2"/>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环境风险</w:t>
                  </w:r>
                </w:p>
              </w:tc>
              <w:tc>
                <w:tcPr>
                  <w:tcW w:w="1860" w:type="pct"/>
                  <w:gridSpan w:val="2"/>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风险防范措施及应急预案</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应急预案己制定</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应急预案文件</w:t>
                  </w:r>
                </w:p>
              </w:tc>
              <w:tc>
                <w:tcPr>
                  <w:tcW w:w="646" w:type="pct"/>
                  <w:tcBorders>
                    <w:tl2br w:val="nil"/>
                    <w:tr2bl w:val="nil"/>
                  </w:tcBorders>
                  <w:shd w:val="clear" w:color="auto" w:fill="FFFFFF"/>
                  <w:vAlign w:val="center"/>
                </w:tcPr>
                <w:p>
                  <w:pPr>
                    <w:jc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000000" w:sz="4" w:space="0"/>
                </w:tblBorders>
                <w:tblCellMar>
                  <w:top w:w="0" w:type="dxa"/>
                  <w:left w:w="108" w:type="dxa"/>
                  <w:bottom w:w="0" w:type="dxa"/>
                  <w:right w:w="108" w:type="dxa"/>
                </w:tblCellMar>
              </w:tblPrEx>
              <w:trPr>
                <w:trHeight w:val="1222" w:hRule="atLeast"/>
                <w:jc w:val="center"/>
              </w:trPr>
              <w:tc>
                <w:tcPr>
                  <w:tcW w:w="731" w:type="pct"/>
                  <w:gridSpan w:val="2"/>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环境管理与</w:t>
                  </w:r>
                </w:p>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环境监测</w:t>
                  </w:r>
                </w:p>
              </w:tc>
              <w:tc>
                <w:tcPr>
                  <w:tcW w:w="1209"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委托有关部门或设备生产厂家，对有关人员进行操作技能培训，培训合格后上岗：制定环境管理制度与监测计划，委托有资质的单位定期进行监测，建立健全设备运行记录</w:t>
                  </w:r>
                </w:p>
              </w:tc>
              <w:tc>
                <w:tcPr>
                  <w:tcW w:w="651" w:type="pct"/>
                  <w:tcBorders>
                    <w:tl2br w:val="nil"/>
                    <w:tr2bl w:val="nil"/>
                  </w:tcBorders>
                  <w:shd w:val="clear" w:color="auto" w:fill="FFFFFF"/>
                  <w:vAlign w:val="center"/>
                </w:tcPr>
                <w:p>
                  <w:pPr>
                    <w:jc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872"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环境管理制度：监测计划</w:t>
                  </w:r>
                </w:p>
              </w:tc>
              <w:tc>
                <w:tcPr>
                  <w:tcW w:w="888" w:type="pct"/>
                  <w:tcBorders>
                    <w:tl2br w:val="nil"/>
                    <w:tr2bl w:val="nil"/>
                  </w:tcBorders>
                  <w:shd w:val="clear" w:color="auto" w:fill="FFFFFF"/>
                  <w:vAlign w:val="center"/>
                </w:tcPr>
                <w:p>
                  <w:pPr>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646" w:type="pct"/>
                  <w:tcBorders>
                    <w:tl2br w:val="nil"/>
                    <w:tr2bl w:val="nil"/>
                  </w:tcBorders>
                  <w:shd w:val="clear" w:color="auto" w:fill="FFFFFF"/>
                  <w:vAlign w:val="center"/>
                </w:tcPr>
                <w:p>
                  <w:pPr>
                    <w:jc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r>
          </w:tbl>
          <w:p>
            <w:pPr>
              <w:adjustRightInd w:val="0"/>
              <w:snapToGrid w:val="0"/>
              <w:jc w:val="center"/>
              <w:rPr>
                <w:rFonts w:ascii="Times New Roman" w:hAnsi="Times New Roman"/>
                <w:bCs/>
                <w:color w:val="auto"/>
                <w:spacing w:val="10"/>
                <w:sz w:val="24"/>
              </w:rPr>
            </w:pPr>
          </w:p>
        </w:tc>
      </w:tr>
    </w:tbl>
    <w:p>
      <w:pPr>
        <w:adjustRightInd w:val="0"/>
        <w:snapToGrid w:val="0"/>
        <w:jc w:val="center"/>
        <w:rPr>
          <w:rFonts w:ascii="Times New Roman" w:hAnsi="Times New Roman"/>
          <w:bCs/>
          <w:spacing w:val="10"/>
          <w:sz w:val="24"/>
        </w:rPr>
        <w:sectPr>
          <w:pgSz w:w="16840" w:h="11907" w:orient="landscape"/>
          <w:pgMar w:top="1588" w:right="1418" w:bottom="1588" w:left="1418" w:header="851" w:footer="1077" w:gutter="0"/>
          <w:cols w:space="720" w:num="1"/>
          <w:docGrid w:linePitch="312" w:charSpace="0"/>
        </w:sectPr>
      </w:pPr>
    </w:p>
    <w:tbl>
      <w:tblPr>
        <w:tblStyle w:val="3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8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tcMar>
              <w:left w:w="28" w:type="dxa"/>
              <w:right w:w="28" w:type="dxa"/>
            </w:tcMar>
            <w:vAlign w:val="center"/>
          </w:tcPr>
          <w:p>
            <w:pPr>
              <w:adjustRightInd w:val="0"/>
              <w:snapToGrid w:val="0"/>
              <w:jc w:val="center"/>
              <w:rPr>
                <w:rFonts w:ascii="Times New Roman" w:hAnsi="Times New Roman"/>
                <w:bCs/>
                <w:color w:val="auto"/>
                <w:spacing w:val="10"/>
                <w:sz w:val="24"/>
              </w:rPr>
            </w:pPr>
            <w:r>
              <w:rPr>
                <w:rFonts w:ascii="Times New Roman" w:hAnsi="Times New Roman"/>
                <w:bCs/>
                <w:color w:val="auto"/>
                <w:spacing w:val="10"/>
                <w:sz w:val="24"/>
              </w:rPr>
              <w:br w:type="page"/>
            </w:r>
            <w:r>
              <w:rPr>
                <w:rFonts w:ascii="Times New Roman" w:hAnsi="Times New Roman"/>
                <w:bCs/>
                <w:color w:val="auto"/>
                <w:spacing w:val="10"/>
                <w:sz w:val="24"/>
              </w:rPr>
              <w:t>环保投资</w:t>
            </w:r>
          </w:p>
        </w:tc>
        <w:tc>
          <w:tcPr>
            <w:tcW w:w="8295" w:type="dxa"/>
            <w:vAlign w:val="center"/>
          </w:tcPr>
          <w:p>
            <w:pPr>
              <w:pStyle w:val="48"/>
              <w:ind w:firstLine="480"/>
              <w:jc w:val="both"/>
              <w:rPr>
                <w:rFonts w:ascii="Times New Roman" w:hAnsi="Times New Roman"/>
                <w:color w:val="auto"/>
                <w:kern w:val="0"/>
              </w:rPr>
            </w:pPr>
            <w:r>
              <w:rPr>
                <w:rFonts w:ascii="Times New Roman" w:hAnsi="Times New Roman"/>
                <w:color w:val="auto"/>
                <w:kern w:val="0"/>
              </w:rPr>
              <w:t>项目总投资为</w:t>
            </w:r>
            <w:r>
              <w:rPr>
                <w:rFonts w:ascii="Times New Roman" w:hAnsi="Times New Roman"/>
                <w:color w:val="auto"/>
              </w:rPr>
              <w:t>6548</w:t>
            </w:r>
            <w:r>
              <w:rPr>
                <w:rFonts w:ascii="Times New Roman" w:hAnsi="Times New Roman"/>
                <w:color w:val="auto"/>
                <w:kern w:val="0"/>
              </w:rPr>
              <w:t>万元，环保投资共为</w:t>
            </w:r>
            <w:r>
              <w:rPr>
                <w:rFonts w:hint="eastAsia" w:ascii="Times New Roman" w:hAnsi="Times New Roman"/>
                <w:color w:val="auto"/>
                <w:kern w:val="0"/>
              </w:rPr>
              <w:t>447</w:t>
            </w:r>
            <w:r>
              <w:rPr>
                <w:rFonts w:ascii="Times New Roman" w:hAnsi="Times New Roman"/>
                <w:color w:val="auto"/>
                <w:kern w:val="0"/>
              </w:rPr>
              <w:t>万元，占总投资的</w:t>
            </w:r>
            <w:r>
              <w:rPr>
                <w:rFonts w:hint="eastAsia" w:ascii="Times New Roman" w:hAnsi="Times New Roman"/>
                <w:color w:val="auto"/>
                <w:kern w:val="0"/>
              </w:rPr>
              <w:t>6.83</w:t>
            </w:r>
            <w:r>
              <w:rPr>
                <w:rFonts w:ascii="Times New Roman" w:hAnsi="Times New Roman"/>
                <w:color w:val="auto"/>
                <w:kern w:val="0"/>
              </w:rPr>
              <w:t>%，项目环保工程清单及投资</w:t>
            </w:r>
            <w:r>
              <w:rPr>
                <w:rFonts w:ascii="Times New Roman" w:hAnsi="Times New Roman"/>
                <w:color w:val="auto"/>
              </w:rPr>
              <w:t>见表5-</w:t>
            </w:r>
            <w:r>
              <w:rPr>
                <w:rFonts w:hint="eastAsia" w:ascii="Times New Roman" w:hAnsi="Times New Roman"/>
                <w:color w:val="auto"/>
              </w:rPr>
              <w:t>4</w:t>
            </w:r>
            <w:r>
              <w:rPr>
                <w:rFonts w:ascii="Times New Roman" w:hAnsi="Times New Roman"/>
                <w:color w:val="auto"/>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表5-</w:t>
            </w:r>
            <w:r>
              <w:rPr>
                <w:rFonts w:hint="eastAsia" w:ascii="Times New Roman" w:hAnsi="Times New Roman"/>
                <w:b/>
                <w:color w:val="auto"/>
                <w:kern w:val="0"/>
                <w:szCs w:val="21"/>
              </w:rPr>
              <w:t>4</w:t>
            </w:r>
            <w:r>
              <w:rPr>
                <w:rFonts w:ascii="Times New Roman" w:hAnsi="Times New Roman"/>
                <w:b/>
                <w:color w:val="auto"/>
                <w:kern w:val="0"/>
                <w:szCs w:val="21"/>
              </w:rPr>
              <w:t xml:space="preserve">  项目环保投资一览表</w:t>
            </w:r>
          </w:p>
          <w:tbl>
            <w:tblPr>
              <w:tblStyle w:val="37"/>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28" w:type="dxa"/>
                <w:bottom w:w="0" w:type="dxa"/>
                <w:right w:w="28" w:type="dxa"/>
              </w:tblCellMar>
            </w:tblPr>
            <w:tblGrid>
              <w:gridCol w:w="457"/>
              <w:gridCol w:w="709"/>
              <w:gridCol w:w="1560"/>
              <w:gridCol w:w="4391"/>
              <w:gridCol w:w="956"/>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283" w:type="pct"/>
                  <w:vAlign w:val="center"/>
                </w:tcPr>
                <w:p>
                  <w:pPr>
                    <w:jc w:val="center"/>
                    <w:rPr>
                      <w:rFonts w:ascii="Times New Roman" w:hAnsi="Times New Roman"/>
                      <w:color w:val="auto"/>
                      <w:kern w:val="0"/>
                      <w:szCs w:val="21"/>
                    </w:rPr>
                  </w:pPr>
                  <w:r>
                    <w:rPr>
                      <w:rFonts w:ascii="Times New Roman" w:hAnsi="Times New Roman"/>
                      <w:color w:val="auto"/>
                      <w:kern w:val="0"/>
                      <w:szCs w:val="21"/>
                    </w:rPr>
                    <w:t>阶段</w:t>
                  </w:r>
                </w:p>
              </w:tc>
              <w:tc>
                <w:tcPr>
                  <w:tcW w:w="439" w:type="pct"/>
                  <w:vAlign w:val="center"/>
                </w:tcPr>
                <w:p>
                  <w:pPr>
                    <w:jc w:val="center"/>
                    <w:rPr>
                      <w:rFonts w:ascii="Times New Roman" w:hAnsi="Times New Roman"/>
                      <w:color w:val="auto"/>
                      <w:kern w:val="0"/>
                      <w:szCs w:val="21"/>
                    </w:rPr>
                  </w:pPr>
                  <w:r>
                    <w:rPr>
                      <w:rFonts w:ascii="Times New Roman" w:hAnsi="Times New Roman"/>
                      <w:color w:val="auto"/>
                      <w:kern w:val="0"/>
                      <w:szCs w:val="21"/>
                    </w:rPr>
                    <w:t>环境要素</w:t>
                  </w:r>
                </w:p>
              </w:tc>
              <w:tc>
                <w:tcPr>
                  <w:tcW w:w="966" w:type="pct"/>
                  <w:vAlign w:val="center"/>
                </w:tcPr>
                <w:p>
                  <w:pPr>
                    <w:jc w:val="center"/>
                    <w:rPr>
                      <w:rFonts w:ascii="Times New Roman" w:hAnsi="Times New Roman"/>
                      <w:color w:val="auto"/>
                      <w:kern w:val="0"/>
                      <w:szCs w:val="21"/>
                    </w:rPr>
                  </w:pPr>
                  <w:r>
                    <w:rPr>
                      <w:rFonts w:ascii="Times New Roman" w:hAnsi="Times New Roman"/>
                      <w:color w:val="auto"/>
                      <w:kern w:val="0"/>
                      <w:szCs w:val="21"/>
                    </w:rPr>
                    <w:t>项目名称</w:t>
                  </w:r>
                </w:p>
              </w:tc>
              <w:tc>
                <w:tcPr>
                  <w:tcW w:w="2719" w:type="pct"/>
                  <w:vAlign w:val="center"/>
                </w:tcPr>
                <w:p>
                  <w:pPr>
                    <w:jc w:val="center"/>
                    <w:rPr>
                      <w:rFonts w:ascii="Times New Roman" w:hAnsi="Times New Roman"/>
                      <w:color w:val="auto"/>
                      <w:kern w:val="0"/>
                      <w:szCs w:val="21"/>
                    </w:rPr>
                  </w:pPr>
                  <w:r>
                    <w:rPr>
                      <w:rFonts w:ascii="Times New Roman" w:hAnsi="Times New Roman"/>
                      <w:color w:val="auto"/>
                      <w:kern w:val="0"/>
                      <w:szCs w:val="21"/>
                    </w:rPr>
                    <w:t>环保措施</w:t>
                  </w:r>
                </w:p>
              </w:tc>
              <w:tc>
                <w:tcPr>
                  <w:tcW w:w="592" w:type="pct"/>
                  <w:vAlign w:val="center"/>
                </w:tcPr>
                <w:p>
                  <w:pPr>
                    <w:jc w:val="center"/>
                    <w:rPr>
                      <w:rFonts w:ascii="Times New Roman" w:hAnsi="Times New Roman"/>
                      <w:color w:val="auto"/>
                      <w:kern w:val="0"/>
                      <w:szCs w:val="21"/>
                    </w:rPr>
                  </w:pPr>
                  <w:r>
                    <w:rPr>
                      <w:rFonts w:ascii="Times New Roman" w:hAnsi="Times New Roman"/>
                      <w:color w:val="auto"/>
                      <w:kern w:val="0"/>
                      <w:szCs w:val="21"/>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283" w:type="pct"/>
                  <w:vMerge w:val="restart"/>
                  <w:vAlign w:val="center"/>
                </w:tcPr>
                <w:p>
                  <w:pPr>
                    <w:jc w:val="center"/>
                    <w:rPr>
                      <w:rFonts w:ascii="Times New Roman" w:hAnsi="Times New Roman"/>
                      <w:color w:val="auto"/>
                      <w:kern w:val="0"/>
                      <w:szCs w:val="21"/>
                    </w:rPr>
                  </w:pPr>
                  <w:r>
                    <w:rPr>
                      <w:rFonts w:ascii="Times New Roman" w:hAnsi="Times New Roman"/>
                      <w:color w:val="auto"/>
                      <w:kern w:val="0"/>
                      <w:szCs w:val="21"/>
                    </w:rPr>
                    <w:t>施</w:t>
                  </w:r>
                </w:p>
                <w:p>
                  <w:pPr>
                    <w:jc w:val="center"/>
                    <w:rPr>
                      <w:rFonts w:ascii="Times New Roman" w:hAnsi="Times New Roman"/>
                      <w:color w:val="auto"/>
                      <w:kern w:val="0"/>
                      <w:szCs w:val="21"/>
                    </w:rPr>
                  </w:pPr>
                  <w:r>
                    <w:rPr>
                      <w:rFonts w:ascii="Times New Roman" w:hAnsi="Times New Roman"/>
                      <w:color w:val="auto"/>
                      <w:kern w:val="0"/>
                      <w:szCs w:val="21"/>
                    </w:rPr>
                    <w:t>工</w:t>
                  </w:r>
                </w:p>
                <w:p>
                  <w:pPr>
                    <w:jc w:val="center"/>
                    <w:rPr>
                      <w:rFonts w:ascii="Times New Roman" w:hAnsi="Times New Roman"/>
                      <w:color w:val="auto"/>
                      <w:kern w:val="0"/>
                      <w:szCs w:val="21"/>
                    </w:rPr>
                  </w:pPr>
                  <w:r>
                    <w:rPr>
                      <w:rFonts w:ascii="Times New Roman" w:hAnsi="Times New Roman"/>
                      <w:color w:val="auto"/>
                      <w:kern w:val="0"/>
                      <w:szCs w:val="21"/>
                    </w:rPr>
                    <w:t>期</w:t>
                  </w:r>
                </w:p>
              </w:tc>
              <w:tc>
                <w:tcPr>
                  <w:tcW w:w="1405" w:type="pct"/>
                  <w:gridSpan w:val="2"/>
                  <w:vAlign w:val="center"/>
                </w:tcPr>
                <w:p>
                  <w:pPr>
                    <w:jc w:val="center"/>
                    <w:rPr>
                      <w:rFonts w:ascii="Times New Roman" w:hAnsi="Times New Roman"/>
                      <w:color w:val="auto"/>
                      <w:kern w:val="0"/>
                      <w:szCs w:val="21"/>
                    </w:rPr>
                  </w:pPr>
                  <w:r>
                    <w:rPr>
                      <w:rFonts w:ascii="Times New Roman" w:hAnsi="Times New Roman"/>
                      <w:color w:val="auto"/>
                      <w:kern w:val="0"/>
                      <w:szCs w:val="21"/>
                    </w:rPr>
                    <w:t>生态环境</w:t>
                  </w:r>
                </w:p>
              </w:tc>
              <w:tc>
                <w:tcPr>
                  <w:tcW w:w="2719" w:type="pct"/>
                  <w:vAlign w:val="center"/>
                </w:tcPr>
                <w:p>
                  <w:pPr>
                    <w:jc w:val="center"/>
                    <w:rPr>
                      <w:rFonts w:ascii="Times New Roman" w:hAnsi="Times New Roman"/>
                      <w:color w:val="auto"/>
                      <w:kern w:val="0"/>
                      <w:szCs w:val="21"/>
                    </w:rPr>
                  </w:pPr>
                  <w:r>
                    <w:rPr>
                      <w:rFonts w:ascii="Times New Roman" w:hAnsi="Times New Roman"/>
                      <w:color w:val="auto"/>
                      <w:kern w:val="0"/>
                      <w:szCs w:val="21"/>
                    </w:rPr>
                    <w:t>完工后将临时占地迹地清理并平整压实、管线、道路等临时占地释放后植被和土壤的恢复</w:t>
                  </w:r>
                </w:p>
              </w:tc>
              <w:tc>
                <w:tcPr>
                  <w:tcW w:w="592" w:type="pct"/>
                  <w:vAlign w:val="center"/>
                </w:tcPr>
                <w:p>
                  <w:pPr>
                    <w:overflowPunct w:val="0"/>
                    <w:adjustRightInd w:val="0"/>
                    <w:snapToGrid w:val="0"/>
                    <w:jc w:val="center"/>
                    <w:rPr>
                      <w:rFonts w:ascii="Times New Roman" w:hAnsi="Times New Roman"/>
                      <w:color w:val="auto"/>
                      <w:spacing w:val="4"/>
                      <w:szCs w:val="22"/>
                      <w:lang w:bidi="ar"/>
                    </w:rPr>
                  </w:pPr>
                  <w:r>
                    <w:rPr>
                      <w:rFonts w:ascii="Times New Roman" w:hAnsi="Times New Roman"/>
                      <w:color w:val="auto"/>
                      <w:spacing w:val="4"/>
                      <w:szCs w:val="22"/>
                      <w:lang w:bidi="ar"/>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283" w:type="pct"/>
                  <w:vMerge w:val="continue"/>
                  <w:vAlign w:val="center"/>
                </w:tcPr>
                <w:p>
                  <w:pPr>
                    <w:jc w:val="center"/>
                    <w:rPr>
                      <w:rFonts w:ascii="Times New Roman" w:hAnsi="Times New Roman"/>
                      <w:color w:val="auto"/>
                      <w:kern w:val="0"/>
                      <w:szCs w:val="21"/>
                    </w:rPr>
                  </w:pPr>
                </w:p>
              </w:tc>
              <w:tc>
                <w:tcPr>
                  <w:tcW w:w="439" w:type="pct"/>
                  <w:vMerge w:val="restart"/>
                  <w:vAlign w:val="center"/>
                </w:tcPr>
                <w:p>
                  <w:pPr>
                    <w:jc w:val="center"/>
                    <w:rPr>
                      <w:rFonts w:ascii="Times New Roman" w:hAnsi="Times New Roman"/>
                      <w:color w:val="auto"/>
                      <w:kern w:val="0"/>
                      <w:szCs w:val="21"/>
                    </w:rPr>
                  </w:pPr>
                  <w:r>
                    <w:rPr>
                      <w:rFonts w:ascii="Times New Roman" w:hAnsi="Times New Roman"/>
                      <w:color w:val="auto"/>
                      <w:kern w:val="0"/>
                      <w:szCs w:val="21"/>
                    </w:rPr>
                    <w:t>废气</w:t>
                  </w:r>
                </w:p>
              </w:tc>
              <w:tc>
                <w:tcPr>
                  <w:tcW w:w="966" w:type="pct"/>
                  <w:vAlign w:val="center"/>
                </w:tcPr>
                <w:p>
                  <w:pPr>
                    <w:jc w:val="center"/>
                    <w:rPr>
                      <w:rFonts w:ascii="Times New Roman" w:hAnsi="Times New Roman"/>
                      <w:color w:val="auto"/>
                      <w:kern w:val="0"/>
                      <w:szCs w:val="21"/>
                    </w:rPr>
                  </w:pPr>
                  <w:r>
                    <w:rPr>
                      <w:rFonts w:ascii="Times New Roman" w:hAnsi="Times New Roman"/>
                      <w:color w:val="auto"/>
                      <w:kern w:val="0"/>
                      <w:szCs w:val="21"/>
                    </w:rPr>
                    <w:t>井场和管线施工产生的施工扬尘</w:t>
                  </w:r>
                </w:p>
              </w:tc>
              <w:tc>
                <w:tcPr>
                  <w:tcW w:w="2719" w:type="pct"/>
                  <w:vAlign w:val="center"/>
                </w:tcPr>
                <w:p>
                  <w:pPr>
                    <w:jc w:val="center"/>
                    <w:rPr>
                      <w:rFonts w:ascii="Times New Roman" w:hAnsi="Times New Roman"/>
                      <w:color w:val="auto"/>
                      <w:kern w:val="0"/>
                      <w:szCs w:val="21"/>
                    </w:rPr>
                  </w:pPr>
                  <w:r>
                    <w:rPr>
                      <w:rFonts w:ascii="Times New Roman" w:hAnsi="Times New Roman"/>
                      <w:color w:val="auto"/>
                      <w:kern w:val="0"/>
                      <w:szCs w:val="21"/>
                    </w:rPr>
                    <w:t>运输车辆应加盖篷布，临时土方覆盖，防尘布（或网），逸散性材料运输采用苫布遮盖</w:t>
                  </w:r>
                </w:p>
              </w:tc>
              <w:tc>
                <w:tcPr>
                  <w:tcW w:w="592" w:type="pct"/>
                  <w:vAlign w:val="center"/>
                </w:tcPr>
                <w:p>
                  <w:pPr>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283" w:type="pct"/>
                  <w:vMerge w:val="continue"/>
                  <w:vAlign w:val="center"/>
                </w:tcPr>
                <w:p>
                  <w:pPr>
                    <w:jc w:val="center"/>
                    <w:rPr>
                      <w:rFonts w:ascii="Times New Roman" w:hAnsi="Times New Roman"/>
                      <w:color w:val="auto"/>
                      <w:kern w:val="0"/>
                      <w:szCs w:val="21"/>
                    </w:rPr>
                  </w:pPr>
                </w:p>
              </w:tc>
              <w:tc>
                <w:tcPr>
                  <w:tcW w:w="439" w:type="pct"/>
                  <w:vMerge w:val="continue"/>
                  <w:vAlign w:val="center"/>
                </w:tcPr>
                <w:p>
                  <w:pPr>
                    <w:jc w:val="center"/>
                    <w:rPr>
                      <w:rFonts w:ascii="Times New Roman" w:hAnsi="Times New Roman"/>
                      <w:color w:val="auto"/>
                      <w:kern w:val="0"/>
                      <w:szCs w:val="21"/>
                    </w:rPr>
                  </w:pPr>
                </w:p>
              </w:tc>
              <w:tc>
                <w:tcPr>
                  <w:tcW w:w="966" w:type="pct"/>
                  <w:vAlign w:val="center"/>
                </w:tcPr>
                <w:p>
                  <w:pPr>
                    <w:jc w:val="center"/>
                    <w:rPr>
                      <w:rFonts w:ascii="Times New Roman" w:hAnsi="Times New Roman"/>
                      <w:color w:val="auto"/>
                      <w:kern w:val="0"/>
                      <w:szCs w:val="21"/>
                    </w:rPr>
                  </w:pPr>
                  <w:r>
                    <w:rPr>
                      <w:rFonts w:ascii="Times New Roman" w:hAnsi="Times New Roman"/>
                      <w:color w:val="auto"/>
                      <w:kern w:val="0"/>
                      <w:szCs w:val="21"/>
                    </w:rPr>
                    <w:t>施工机械</w:t>
                  </w:r>
                  <w:r>
                    <w:rPr>
                      <w:rFonts w:hint="eastAsia" w:ascii="Times New Roman" w:hAnsi="Times New Roman"/>
                      <w:color w:val="auto"/>
                      <w:kern w:val="0"/>
                      <w:szCs w:val="21"/>
                    </w:rPr>
                    <w:t>废</w:t>
                  </w:r>
                  <w:r>
                    <w:rPr>
                      <w:rFonts w:ascii="Times New Roman" w:hAnsi="Times New Roman"/>
                      <w:color w:val="auto"/>
                      <w:kern w:val="0"/>
                      <w:szCs w:val="21"/>
                    </w:rPr>
                    <w:t>气</w:t>
                  </w:r>
                </w:p>
              </w:tc>
              <w:tc>
                <w:tcPr>
                  <w:tcW w:w="2719" w:type="pct"/>
                  <w:vAlign w:val="center"/>
                </w:tcPr>
                <w:p>
                  <w:pPr>
                    <w:jc w:val="center"/>
                    <w:rPr>
                      <w:rFonts w:ascii="Times New Roman" w:hAnsi="Times New Roman"/>
                      <w:color w:val="auto"/>
                      <w:spacing w:val="-4"/>
                      <w:kern w:val="0"/>
                      <w:szCs w:val="21"/>
                    </w:rPr>
                  </w:pPr>
                  <w:r>
                    <w:rPr>
                      <w:rFonts w:ascii="Times New Roman" w:hAnsi="Times New Roman"/>
                      <w:color w:val="auto"/>
                      <w:spacing w:val="-4"/>
                      <w:kern w:val="0"/>
                      <w:szCs w:val="21"/>
                    </w:rPr>
                    <w:t>使用达标油品，加强设备维护</w:t>
                  </w:r>
                </w:p>
              </w:tc>
              <w:tc>
                <w:tcPr>
                  <w:tcW w:w="592" w:type="pct"/>
                  <w:vAlign w:val="center"/>
                </w:tcPr>
                <w:p>
                  <w:pPr>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283" w:type="pct"/>
                  <w:vMerge w:val="continue"/>
                  <w:vAlign w:val="center"/>
                </w:tcPr>
                <w:p>
                  <w:pPr>
                    <w:jc w:val="center"/>
                    <w:rPr>
                      <w:rFonts w:ascii="Times New Roman" w:hAnsi="Times New Roman"/>
                      <w:color w:val="auto"/>
                      <w:kern w:val="0"/>
                      <w:szCs w:val="21"/>
                    </w:rPr>
                  </w:pPr>
                </w:p>
              </w:tc>
              <w:tc>
                <w:tcPr>
                  <w:tcW w:w="439" w:type="pc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废水</w:t>
                  </w:r>
                </w:p>
              </w:tc>
              <w:tc>
                <w:tcPr>
                  <w:tcW w:w="966" w:type="pc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钻井废水</w:t>
                  </w:r>
                </w:p>
              </w:tc>
              <w:tc>
                <w:tcPr>
                  <w:tcW w:w="2719" w:type="pct"/>
                  <w:vAlign w:val="center"/>
                </w:tcPr>
                <w:p>
                  <w:pPr>
                    <w:pStyle w:val="35"/>
                    <w:spacing w:after="0"/>
                    <w:ind w:firstLine="202"/>
                    <w:jc w:val="center"/>
                    <w:rPr>
                      <w:rFonts w:ascii="Times New Roman" w:hAnsi="Times New Roman"/>
                      <w:color w:val="auto"/>
                      <w:spacing w:val="-4"/>
                      <w:kern w:val="0"/>
                      <w:szCs w:val="21"/>
                    </w:rPr>
                  </w:pPr>
                  <w:r>
                    <w:rPr>
                      <w:rFonts w:ascii="Times New Roman" w:hAnsi="Times New Roman"/>
                      <w:color w:val="auto"/>
                      <w:spacing w:val="-4"/>
                      <w:kern w:val="0"/>
                      <w:sz w:val="21"/>
                      <w:szCs w:val="21"/>
                    </w:rPr>
                    <w:t>钻井废水循环利用，不外排</w:t>
                  </w:r>
                </w:p>
              </w:tc>
              <w:tc>
                <w:tcPr>
                  <w:tcW w:w="592" w:type="pc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283" w:type="pct"/>
                  <w:vMerge w:val="continue"/>
                  <w:vAlign w:val="center"/>
                </w:tcPr>
                <w:p>
                  <w:pPr>
                    <w:jc w:val="center"/>
                    <w:rPr>
                      <w:rFonts w:ascii="Times New Roman" w:hAnsi="Times New Roman"/>
                      <w:color w:val="auto"/>
                      <w:kern w:val="0"/>
                      <w:szCs w:val="21"/>
                    </w:rPr>
                  </w:pPr>
                </w:p>
              </w:tc>
              <w:tc>
                <w:tcPr>
                  <w:tcW w:w="439" w:type="pct"/>
                  <w:vMerge w:val="restart"/>
                  <w:vAlign w:val="center"/>
                </w:tcPr>
                <w:p>
                  <w:pPr>
                    <w:jc w:val="center"/>
                    <w:rPr>
                      <w:rFonts w:ascii="Times New Roman" w:hAnsi="Times New Roman"/>
                      <w:color w:val="auto"/>
                      <w:kern w:val="0"/>
                      <w:szCs w:val="21"/>
                    </w:rPr>
                  </w:pPr>
                  <w:r>
                    <w:rPr>
                      <w:rFonts w:ascii="Times New Roman" w:hAnsi="Times New Roman"/>
                      <w:color w:val="auto"/>
                      <w:kern w:val="0"/>
                      <w:szCs w:val="21"/>
                    </w:rPr>
                    <w:t>固废</w:t>
                  </w:r>
                </w:p>
              </w:tc>
              <w:tc>
                <w:tcPr>
                  <w:tcW w:w="966"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钻井岩屑</w:t>
                  </w:r>
                  <w:r>
                    <w:rPr>
                      <w:rFonts w:hint="eastAsia" w:ascii="Times New Roman" w:hAnsi="Times New Roman"/>
                      <w:color w:val="auto"/>
                      <w:kern w:val="0"/>
                      <w:szCs w:val="21"/>
                    </w:rPr>
                    <w:t>和泥浆</w:t>
                  </w:r>
                </w:p>
              </w:tc>
              <w:tc>
                <w:tcPr>
                  <w:tcW w:w="2719"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设不落地系统，岩屑交由岩屑处置单位处置</w:t>
                  </w:r>
                </w:p>
              </w:tc>
              <w:tc>
                <w:tcPr>
                  <w:tcW w:w="592"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180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283" w:type="pct"/>
                  <w:vMerge w:val="continue"/>
                  <w:vAlign w:val="center"/>
                </w:tcPr>
                <w:p>
                  <w:pPr>
                    <w:jc w:val="center"/>
                    <w:rPr>
                      <w:rFonts w:ascii="Times New Roman" w:hAnsi="Times New Roman"/>
                      <w:color w:val="auto"/>
                      <w:kern w:val="0"/>
                      <w:szCs w:val="21"/>
                    </w:rPr>
                  </w:pPr>
                </w:p>
              </w:tc>
              <w:tc>
                <w:tcPr>
                  <w:tcW w:w="439" w:type="pct"/>
                  <w:vMerge w:val="continue"/>
                  <w:vAlign w:val="center"/>
                </w:tcPr>
                <w:p>
                  <w:pPr>
                    <w:jc w:val="center"/>
                    <w:rPr>
                      <w:rFonts w:ascii="Times New Roman" w:hAnsi="Times New Roman"/>
                      <w:color w:val="auto"/>
                      <w:kern w:val="0"/>
                      <w:szCs w:val="21"/>
                    </w:rPr>
                  </w:pPr>
                </w:p>
              </w:tc>
              <w:tc>
                <w:tcPr>
                  <w:tcW w:w="966"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建筑垃圾</w:t>
                  </w:r>
                </w:p>
              </w:tc>
              <w:tc>
                <w:tcPr>
                  <w:tcW w:w="2719"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送至当地</w:t>
                  </w:r>
                  <w:r>
                    <w:rPr>
                      <w:rFonts w:hint="eastAsia" w:ascii="Times New Roman" w:hAnsi="Times New Roman"/>
                      <w:color w:val="auto"/>
                      <w:kern w:val="0"/>
                      <w:szCs w:val="21"/>
                    </w:rPr>
                    <w:t>环卫</w:t>
                  </w:r>
                  <w:r>
                    <w:rPr>
                      <w:rFonts w:ascii="Times New Roman" w:hAnsi="Times New Roman"/>
                      <w:color w:val="auto"/>
                      <w:kern w:val="0"/>
                      <w:szCs w:val="21"/>
                    </w:rPr>
                    <w:t>部门指定地点集中处置</w:t>
                  </w:r>
                </w:p>
              </w:tc>
              <w:tc>
                <w:tcPr>
                  <w:tcW w:w="592"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283" w:type="pct"/>
                  <w:vMerge w:val="continue"/>
                  <w:vAlign w:val="center"/>
                </w:tcPr>
                <w:p>
                  <w:pPr>
                    <w:jc w:val="center"/>
                    <w:rPr>
                      <w:rFonts w:ascii="Times New Roman" w:hAnsi="Times New Roman"/>
                      <w:color w:val="auto"/>
                      <w:kern w:val="0"/>
                      <w:szCs w:val="21"/>
                    </w:rPr>
                  </w:pPr>
                </w:p>
              </w:tc>
              <w:tc>
                <w:tcPr>
                  <w:tcW w:w="439" w:type="pct"/>
                  <w:vMerge w:val="continue"/>
                  <w:vAlign w:val="center"/>
                </w:tcPr>
                <w:p>
                  <w:pPr>
                    <w:jc w:val="center"/>
                    <w:rPr>
                      <w:rFonts w:ascii="Times New Roman" w:hAnsi="Times New Roman"/>
                      <w:color w:val="auto"/>
                      <w:kern w:val="0"/>
                      <w:szCs w:val="21"/>
                    </w:rPr>
                  </w:pPr>
                </w:p>
              </w:tc>
              <w:tc>
                <w:tcPr>
                  <w:tcW w:w="966" w:type="pct"/>
                  <w:tcBorders>
                    <w:bottom w:val="single" w:color="auto" w:sz="4" w:space="0"/>
                  </w:tcBorders>
                  <w:vAlign w:val="center"/>
                </w:tcPr>
                <w:p>
                  <w:pPr>
                    <w:jc w:val="center"/>
                    <w:rPr>
                      <w:rFonts w:ascii="Times New Roman" w:hAnsi="Times New Roman"/>
                      <w:color w:val="auto"/>
                      <w:kern w:val="0"/>
                      <w:szCs w:val="21"/>
                    </w:rPr>
                  </w:pPr>
                  <w:r>
                    <w:rPr>
                      <w:rFonts w:hint="eastAsia" w:ascii="Times New Roman" w:hAnsi="Times New Roman"/>
                      <w:color w:val="auto"/>
                      <w:kern w:val="0"/>
                      <w:szCs w:val="21"/>
                    </w:rPr>
                    <w:t>油泥</w:t>
                  </w:r>
                </w:p>
              </w:tc>
              <w:tc>
                <w:tcPr>
                  <w:tcW w:w="2719"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委托新疆锦恒利废矿物油处置有限公司进行回收处理</w:t>
                  </w:r>
                  <w:r>
                    <w:rPr>
                      <w:rFonts w:hint="eastAsia" w:ascii="Times New Roman" w:hAnsi="Times New Roman"/>
                      <w:color w:val="auto"/>
                      <w:kern w:val="0"/>
                      <w:szCs w:val="21"/>
                    </w:rPr>
                    <w:t xml:space="preserve"> </w:t>
                  </w:r>
                </w:p>
              </w:tc>
              <w:tc>
                <w:tcPr>
                  <w:tcW w:w="592" w:type="pct"/>
                  <w:tcBorders>
                    <w:bottom w:val="single" w:color="auto" w:sz="4" w:space="0"/>
                  </w:tcBorders>
                  <w:vAlign w:val="center"/>
                </w:tcPr>
                <w:p>
                  <w:pPr>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710" w:hRule="atLeast"/>
                <w:jc w:val="center"/>
              </w:trPr>
              <w:tc>
                <w:tcPr>
                  <w:tcW w:w="283" w:type="pct"/>
                  <w:vMerge w:val="continue"/>
                  <w:vAlign w:val="center"/>
                </w:tcPr>
                <w:p>
                  <w:pPr>
                    <w:jc w:val="center"/>
                    <w:rPr>
                      <w:rFonts w:ascii="Times New Roman" w:hAnsi="Times New Roman"/>
                      <w:color w:val="auto"/>
                      <w:kern w:val="0"/>
                      <w:szCs w:val="21"/>
                    </w:rPr>
                  </w:pPr>
                </w:p>
              </w:tc>
              <w:tc>
                <w:tcPr>
                  <w:tcW w:w="439" w:type="pct"/>
                  <w:vMerge w:val="continue"/>
                  <w:vAlign w:val="center"/>
                </w:tcPr>
                <w:p>
                  <w:pPr>
                    <w:jc w:val="center"/>
                    <w:rPr>
                      <w:rFonts w:ascii="Times New Roman" w:hAnsi="Times New Roman"/>
                      <w:color w:val="auto"/>
                      <w:kern w:val="0"/>
                      <w:szCs w:val="21"/>
                    </w:rPr>
                  </w:pPr>
                </w:p>
              </w:tc>
              <w:tc>
                <w:tcPr>
                  <w:tcW w:w="966" w:type="pct"/>
                  <w:vAlign w:val="center"/>
                </w:tcPr>
                <w:p>
                  <w:pPr>
                    <w:jc w:val="center"/>
                    <w:rPr>
                      <w:rFonts w:ascii="Times New Roman" w:hAnsi="Times New Roman"/>
                      <w:color w:val="auto"/>
                      <w:kern w:val="0"/>
                      <w:szCs w:val="21"/>
                    </w:rPr>
                  </w:pPr>
                  <w:r>
                    <w:rPr>
                      <w:rFonts w:ascii="Times New Roman" w:hAnsi="Times New Roman"/>
                      <w:color w:val="auto"/>
                      <w:kern w:val="0"/>
                      <w:szCs w:val="21"/>
                    </w:rPr>
                    <w:t>落地原油</w:t>
                  </w:r>
                </w:p>
              </w:tc>
              <w:tc>
                <w:tcPr>
                  <w:tcW w:w="2719" w:type="pct"/>
                  <w:vAlign w:val="center"/>
                </w:tcPr>
                <w:p>
                  <w:pPr>
                    <w:jc w:val="center"/>
                    <w:rPr>
                      <w:rFonts w:ascii="Times New Roman" w:hAnsi="Times New Roman"/>
                      <w:color w:val="auto"/>
                      <w:kern w:val="0"/>
                      <w:szCs w:val="21"/>
                    </w:rPr>
                  </w:pPr>
                  <w:r>
                    <w:rPr>
                      <w:rFonts w:ascii="Times New Roman" w:hAnsi="Times New Roman"/>
                      <w:color w:val="auto"/>
                      <w:kern w:val="0"/>
                      <w:szCs w:val="21"/>
                    </w:rPr>
                    <w:t>井下作业时带罐作业，落地油100%回收，回收后的落地原油运至春光联合站进行处理</w:t>
                  </w:r>
                </w:p>
              </w:tc>
              <w:tc>
                <w:tcPr>
                  <w:tcW w:w="592" w:type="pct"/>
                  <w:vAlign w:val="center"/>
                </w:tcPr>
                <w:p>
                  <w:pPr>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789" w:hRule="atLeast"/>
                <w:jc w:val="center"/>
              </w:trPr>
              <w:tc>
                <w:tcPr>
                  <w:tcW w:w="283" w:type="pct"/>
                  <w:vMerge w:val="continue"/>
                  <w:vAlign w:val="center"/>
                </w:tcPr>
                <w:p>
                  <w:pPr>
                    <w:jc w:val="center"/>
                    <w:rPr>
                      <w:rFonts w:ascii="Times New Roman" w:hAnsi="Times New Roman"/>
                      <w:color w:val="auto"/>
                      <w:kern w:val="0"/>
                      <w:szCs w:val="21"/>
                    </w:rPr>
                  </w:pPr>
                </w:p>
              </w:tc>
              <w:tc>
                <w:tcPr>
                  <w:tcW w:w="439" w:type="pct"/>
                  <w:vMerge w:val="continue"/>
                  <w:vAlign w:val="center"/>
                </w:tcPr>
                <w:p>
                  <w:pPr>
                    <w:jc w:val="center"/>
                    <w:rPr>
                      <w:rFonts w:ascii="Times New Roman" w:hAnsi="Times New Roman"/>
                      <w:color w:val="auto"/>
                      <w:kern w:val="0"/>
                      <w:szCs w:val="21"/>
                    </w:rPr>
                  </w:pPr>
                </w:p>
              </w:tc>
              <w:tc>
                <w:tcPr>
                  <w:tcW w:w="966" w:type="pc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废机油、沾油废物、废防渗膜</w:t>
                  </w:r>
                </w:p>
              </w:tc>
              <w:tc>
                <w:tcPr>
                  <w:tcW w:w="2719" w:type="pc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按照危险废物进行收集，交有危废处置资质的单位处置</w:t>
                  </w:r>
                </w:p>
              </w:tc>
              <w:tc>
                <w:tcPr>
                  <w:tcW w:w="592" w:type="pc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710" w:hRule="atLeast"/>
                <w:jc w:val="center"/>
              </w:trPr>
              <w:tc>
                <w:tcPr>
                  <w:tcW w:w="283" w:type="pct"/>
                  <w:vMerge w:val="restart"/>
                  <w:vAlign w:val="center"/>
                </w:tcPr>
                <w:p>
                  <w:pPr>
                    <w:jc w:val="center"/>
                    <w:rPr>
                      <w:rFonts w:ascii="Times New Roman" w:hAnsi="Times New Roman"/>
                      <w:color w:val="auto"/>
                      <w:kern w:val="0"/>
                      <w:szCs w:val="21"/>
                    </w:rPr>
                  </w:pPr>
                  <w:r>
                    <w:rPr>
                      <w:rFonts w:ascii="Times New Roman" w:hAnsi="Times New Roman"/>
                      <w:color w:val="auto"/>
                      <w:kern w:val="0"/>
                      <w:szCs w:val="21"/>
                    </w:rPr>
                    <w:t>运</w:t>
                  </w:r>
                </w:p>
                <w:p>
                  <w:pPr>
                    <w:jc w:val="center"/>
                    <w:rPr>
                      <w:rFonts w:ascii="Times New Roman" w:hAnsi="Times New Roman"/>
                      <w:color w:val="auto"/>
                      <w:kern w:val="0"/>
                      <w:szCs w:val="21"/>
                    </w:rPr>
                  </w:pPr>
                  <w:r>
                    <w:rPr>
                      <w:rFonts w:ascii="Times New Roman" w:hAnsi="Times New Roman"/>
                      <w:color w:val="auto"/>
                      <w:kern w:val="0"/>
                      <w:szCs w:val="21"/>
                    </w:rPr>
                    <w:t>营</w:t>
                  </w:r>
                </w:p>
                <w:p>
                  <w:pPr>
                    <w:jc w:val="center"/>
                    <w:rPr>
                      <w:rFonts w:ascii="Times New Roman" w:hAnsi="Times New Roman"/>
                      <w:color w:val="auto"/>
                      <w:kern w:val="0"/>
                      <w:szCs w:val="21"/>
                    </w:rPr>
                  </w:pPr>
                  <w:r>
                    <w:rPr>
                      <w:rFonts w:ascii="Times New Roman" w:hAnsi="Times New Roman"/>
                      <w:color w:val="auto"/>
                      <w:kern w:val="0"/>
                      <w:szCs w:val="21"/>
                    </w:rPr>
                    <w:t>期</w:t>
                  </w:r>
                </w:p>
              </w:tc>
              <w:tc>
                <w:tcPr>
                  <w:tcW w:w="439" w:type="pct"/>
                  <w:vAlign w:val="center"/>
                </w:tcPr>
                <w:p>
                  <w:pPr>
                    <w:jc w:val="center"/>
                    <w:rPr>
                      <w:rFonts w:ascii="Times New Roman" w:hAnsi="Times New Roman"/>
                      <w:color w:val="auto"/>
                      <w:kern w:val="0"/>
                      <w:szCs w:val="21"/>
                    </w:rPr>
                  </w:pPr>
                  <w:r>
                    <w:rPr>
                      <w:rFonts w:ascii="Times New Roman" w:hAnsi="Times New Roman"/>
                      <w:color w:val="auto"/>
                      <w:kern w:val="0"/>
                      <w:szCs w:val="21"/>
                    </w:rPr>
                    <w:t>废气</w:t>
                  </w:r>
                </w:p>
              </w:tc>
              <w:tc>
                <w:tcPr>
                  <w:tcW w:w="966" w:type="pct"/>
                  <w:vAlign w:val="center"/>
                </w:tcPr>
                <w:p>
                  <w:pPr>
                    <w:jc w:val="center"/>
                    <w:rPr>
                      <w:rFonts w:ascii="Times New Roman" w:hAnsi="Times New Roman"/>
                      <w:color w:val="auto"/>
                      <w:kern w:val="0"/>
                      <w:szCs w:val="21"/>
                    </w:rPr>
                  </w:pPr>
                  <w:r>
                    <w:rPr>
                      <w:rFonts w:ascii="Times New Roman" w:hAnsi="Times New Roman"/>
                      <w:color w:val="auto"/>
                      <w:kern w:val="0"/>
                      <w:szCs w:val="21"/>
                    </w:rPr>
                    <w:t>无组织挥发烃类</w:t>
                  </w:r>
                </w:p>
              </w:tc>
              <w:tc>
                <w:tcPr>
                  <w:tcW w:w="2719" w:type="pct"/>
                  <w:vAlign w:val="center"/>
                </w:tcPr>
                <w:p>
                  <w:pPr>
                    <w:jc w:val="center"/>
                    <w:rPr>
                      <w:rFonts w:ascii="Times New Roman" w:hAnsi="Times New Roman"/>
                      <w:color w:val="auto"/>
                      <w:kern w:val="0"/>
                      <w:szCs w:val="21"/>
                    </w:rPr>
                  </w:pPr>
                  <w:r>
                    <w:rPr>
                      <w:rFonts w:ascii="Times New Roman" w:hAnsi="Times New Roman"/>
                      <w:color w:val="auto"/>
                      <w:kern w:val="0"/>
                      <w:szCs w:val="21"/>
                    </w:rPr>
                    <w:t>选用技术质量可靠的设备、仪表控制、阀门等与井场、管线同步建设</w:t>
                  </w:r>
                </w:p>
              </w:tc>
              <w:tc>
                <w:tcPr>
                  <w:tcW w:w="592" w:type="pct"/>
                  <w:vAlign w:val="center"/>
                </w:tcPr>
                <w:p>
                  <w:pPr>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283" w:type="pct"/>
                  <w:vMerge w:val="continue"/>
                  <w:vAlign w:val="center"/>
                </w:tcPr>
                <w:p>
                  <w:pPr>
                    <w:jc w:val="center"/>
                    <w:rPr>
                      <w:rFonts w:ascii="Times New Roman" w:hAnsi="Times New Roman"/>
                      <w:color w:val="auto"/>
                      <w:kern w:val="0"/>
                      <w:szCs w:val="21"/>
                    </w:rPr>
                  </w:pPr>
                </w:p>
              </w:tc>
              <w:tc>
                <w:tcPr>
                  <w:tcW w:w="439" w:type="pct"/>
                  <w:vAlign w:val="center"/>
                </w:tcPr>
                <w:p>
                  <w:pPr>
                    <w:jc w:val="center"/>
                    <w:rPr>
                      <w:rFonts w:ascii="Times New Roman" w:hAnsi="Times New Roman"/>
                      <w:color w:val="auto"/>
                      <w:kern w:val="0"/>
                      <w:szCs w:val="21"/>
                    </w:rPr>
                  </w:pPr>
                  <w:r>
                    <w:rPr>
                      <w:rFonts w:ascii="Times New Roman" w:hAnsi="Times New Roman"/>
                      <w:color w:val="auto"/>
                      <w:kern w:val="0"/>
                      <w:szCs w:val="21"/>
                    </w:rPr>
                    <w:t>废水</w:t>
                  </w:r>
                </w:p>
              </w:tc>
              <w:tc>
                <w:tcPr>
                  <w:tcW w:w="966" w:type="pct"/>
                  <w:vAlign w:val="center"/>
                </w:tcPr>
                <w:p>
                  <w:pPr>
                    <w:jc w:val="center"/>
                    <w:rPr>
                      <w:rFonts w:ascii="Times New Roman" w:hAnsi="Times New Roman"/>
                      <w:color w:val="auto"/>
                      <w:kern w:val="0"/>
                      <w:szCs w:val="21"/>
                    </w:rPr>
                  </w:pPr>
                  <w:r>
                    <w:rPr>
                      <w:rFonts w:ascii="Times New Roman" w:hAnsi="Times New Roman"/>
                      <w:color w:val="auto"/>
                      <w:kern w:val="0"/>
                      <w:szCs w:val="21"/>
                    </w:rPr>
                    <w:t>井下作业废水、含油废水</w:t>
                  </w:r>
                </w:p>
              </w:tc>
              <w:tc>
                <w:tcPr>
                  <w:tcW w:w="2719" w:type="pct"/>
                  <w:vAlign w:val="center"/>
                </w:tcPr>
                <w:p>
                  <w:pPr>
                    <w:adjustRightInd w:val="0"/>
                    <w:snapToGrid w:val="0"/>
                    <w:jc w:val="center"/>
                    <w:rPr>
                      <w:rFonts w:ascii="Times New Roman" w:hAnsi="Times New Roman"/>
                      <w:color w:val="auto"/>
                      <w:spacing w:val="4"/>
                      <w:szCs w:val="22"/>
                    </w:rPr>
                  </w:pPr>
                  <w:r>
                    <w:rPr>
                      <w:rFonts w:ascii="Times New Roman" w:hAnsi="Times New Roman"/>
                      <w:color w:val="auto"/>
                      <w:szCs w:val="22"/>
                      <w:lang w:bidi="ar"/>
                    </w:rPr>
                    <w:t>采用专用废液收集罐收集，集中收集后送至</w:t>
                  </w:r>
                  <w:r>
                    <w:rPr>
                      <w:rFonts w:ascii="Times New Roman" w:hAnsi="Times New Roman"/>
                      <w:color w:val="auto"/>
                      <w:kern w:val="0"/>
                      <w:szCs w:val="21"/>
                    </w:rPr>
                    <w:t>春光联合站</w:t>
                  </w:r>
                  <w:r>
                    <w:rPr>
                      <w:rFonts w:ascii="Times New Roman" w:hAnsi="Times New Roman"/>
                      <w:color w:val="auto"/>
                      <w:szCs w:val="22"/>
                      <w:lang w:bidi="ar"/>
                    </w:rPr>
                    <w:t>采出水处理系统处理</w:t>
                  </w:r>
                </w:p>
              </w:tc>
              <w:tc>
                <w:tcPr>
                  <w:tcW w:w="592" w:type="pct"/>
                  <w:vAlign w:val="center"/>
                </w:tcPr>
                <w:p>
                  <w:pPr>
                    <w:adjustRightInd w:val="0"/>
                    <w:snapToGrid w:val="0"/>
                    <w:jc w:val="center"/>
                    <w:rPr>
                      <w:rFonts w:ascii="Times New Roman" w:hAnsi="Times New Roman"/>
                      <w:color w:val="auto"/>
                      <w:spacing w:val="4"/>
                      <w:szCs w:val="22"/>
                    </w:rPr>
                  </w:pPr>
                  <w:r>
                    <w:rPr>
                      <w:rFonts w:ascii="Times New Roman" w:hAnsi="Times New Roman"/>
                      <w:color w:val="auto"/>
                      <w:spacing w:val="4"/>
                      <w:szCs w:val="22"/>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trHeight w:val="340" w:hRule="atLeast"/>
                <w:jc w:val="center"/>
              </w:trPr>
              <w:tc>
                <w:tcPr>
                  <w:tcW w:w="283" w:type="pct"/>
                  <w:vMerge w:val="continue"/>
                  <w:vAlign w:val="center"/>
                </w:tcPr>
                <w:p>
                  <w:pPr>
                    <w:jc w:val="center"/>
                    <w:rPr>
                      <w:rFonts w:ascii="Times New Roman" w:hAnsi="Times New Roman"/>
                      <w:color w:val="auto"/>
                      <w:kern w:val="0"/>
                      <w:szCs w:val="21"/>
                    </w:rPr>
                  </w:pPr>
                </w:p>
              </w:tc>
              <w:tc>
                <w:tcPr>
                  <w:tcW w:w="439" w:type="pct"/>
                  <w:vAlign w:val="center"/>
                </w:tcPr>
                <w:p>
                  <w:pPr>
                    <w:jc w:val="center"/>
                    <w:rPr>
                      <w:rFonts w:ascii="Times New Roman" w:hAnsi="Times New Roman"/>
                      <w:color w:val="auto"/>
                      <w:kern w:val="0"/>
                      <w:szCs w:val="21"/>
                    </w:rPr>
                  </w:pPr>
                  <w:r>
                    <w:rPr>
                      <w:rFonts w:ascii="Times New Roman" w:hAnsi="Times New Roman"/>
                      <w:color w:val="auto"/>
                      <w:kern w:val="0"/>
                      <w:szCs w:val="21"/>
                    </w:rPr>
                    <w:t>噪声</w:t>
                  </w:r>
                </w:p>
              </w:tc>
              <w:tc>
                <w:tcPr>
                  <w:tcW w:w="966" w:type="pct"/>
                  <w:vAlign w:val="center"/>
                </w:tcPr>
                <w:p>
                  <w:pPr>
                    <w:jc w:val="center"/>
                    <w:rPr>
                      <w:rFonts w:ascii="Times New Roman" w:hAnsi="Times New Roman"/>
                      <w:color w:val="auto"/>
                      <w:kern w:val="0"/>
                      <w:szCs w:val="21"/>
                    </w:rPr>
                  </w:pPr>
                  <w:r>
                    <w:rPr>
                      <w:rFonts w:ascii="Times New Roman" w:hAnsi="Times New Roman"/>
                      <w:color w:val="auto"/>
                      <w:kern w:val="0"/>
                      <w:szCs w:val="21"/>
                    </w:rPr>
                    <w:t>井场噪声</w:t>
                  </w:r>
                </w:p>
              </w:tc>
              <w:tc>
                <w:tcPr>
                  <w:tcW w:w="2719" w:type="pct"/>
                  <w:vAlign w:val="center"/>
                </w:tcPr>
                <w:p>
                  <w:pPr>
                    <w:adjustRightInd w:val="0"/>
                    <w:snapToGrid w:val="0"/>
                    <w:jc w:val="center"/>
                    <w:rPr>
                      <w:rFonts w:ascii="Times New Roman" w:hAnsi="Times New Roman"/>
                      <w:color w:val="auto"/>
                      <w:spacing w:val="4"/>
                      <w:szCs w:val="22"/>
                    </w:rPr>
                  </w:pPr>
                  <w:r>
                    <w:rPr>
                      <w:rFonts w:ascii="Times New Roman" w:hAnsi="Times New Roman"/>
                      <w:color w:val="auto"/>
                      <w:szCs w:val="22"/>
                      <w:lang w:bidi="ar"/>
                    </w:rPr>
                    <w:t>采用低噪声设备</w:t>
                  </w:r>
                </w:p>
              </w:tc>
              <w:tc>
                <w:tcPr>
                  <w:tcW w:w="592" w:type="pct"/>
                  <w:vAlign w:val="center"/>
                </w:tcPr>
                <w:p>
                  <w:pPr>
                    <w:adjustRightInd w:val="0"/>
                    <w:snapToGrid w:val="0"/>
                    <w:jc w:val="center"/>
                    <w:rPr>
                      <w:rFonts w:ascii="Times New Roman" w:hAnsi="Times New Roman"/>
                      <w:color w:val="auto"/>
                      <w:spacing w:val="4"/>
                      <w:szCs w:val="22"/>
                      <w:lang w:bidi="ar"/>
                    </w:rPr>
                  </w:pPr>
                  <w:r>
                    <w:rPr>
                      <w:rFonts w:ascii="Times New Roman" w:hAnsi="Times New Roman"/>
                      <w:color w:val="auto"/>
                      <w:spacing w:val="4"/>
                      <w:szCs w:val="22"/>
                      <w:lang w:bidi="ar"/>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283" w:type="pct"/>
                  <w:vMerge w:val="restart"/>
                  <w:vAlign w:val="center"/>
                </w:tcPr>
                <w:p>
                  <w:pPr>
                    <w:jc w:val="center"/>
                    <w:rPr>
                      <w:rFonts w:ascii="Times New Roman" w:hAnsi="Times New Roman"/>
                      <w:color w:val="auto"/>
                      <w:kern w:val="0"/>
                      <w:szCs w:val="21"/>
                    </w:rPr>
                  </w:pPr>
                  <w:r>
                    <w:rPr>
                      <w:rFonts w:hint="eastAsia" w:ascii="Times New Roman" w:hAnsi="Times New Roman"/>
                      <w:color w:val="auto"/>
                      <w:kern w:val="0"/>
                      <w:szCs w:val="21"/>
                    </w:rPr>
                    <w:t>闭井</w:t>
                  </w:r>
                  <w:r>
                    <w:rPr>
                      <w:rFonts w:ascii="Times New Roman" w:hAnsi="Times New Roman"/>
                      <w:color w:val="auto"/>
                      <w:kern w:val="0"/>
                      <w:szCs w:val="21"/>
                    </w:rPr>
                    <w:t>期</w:t>
                  </w:r>
                </w:p>
              </w:tc>
              <w:tc>
                <w:tcPr>
                  <w:tcW w:w="439" w:type="pct"/>
                  <w:vAlign w:val="center"/>
                </w:tcPr>
                <w:p>
                  <w:pPr>
                    <w:jc w:val="center"/>
                    <w:rPr>
                      <w:rFonts w:ascii="Times New Roman" w:hAnsi="Times New Roman"/>
                      <w:color w:val="auto"/>
                      <w:kern w:val="0"/>
                      <w:szCs w:val="21"/>
                    </w:rPr>
                  </w:pPr>
                  <w:r>
                    <w:rPr>
                      <w:rFonts w:ascii="Times New Roman" w:hAnsi="Times New Roman"/>
                      <w:color w:val="auto"/>
                      <w:kern w:val="0"/>
                      <w:szCs w:val="21"/>
                    </w:rPr>
                    <w:t>固体废物</w:t>
                  </w:r>
                </w:p>
              </w:tc>
              <w:tc>
                <w:tcPr>
                  <w:tcW w:w="966" w:type="pct"/>
                  <w:vAlign w:val="center"/>
                </w:tcPr>
                <w:p>
                  <w:pPr>
                    <w:jc w:val="center"/>
                    <w:rPr>
                      <w:rFonts w:ascii="Times New Roman" w:hAnsi="Times New Roman"/>
                      <w:color w:val="auto"/>
                      <w:kern w:val="0"/>
                      <w:szCs w:val="21"/>
                    </w:rPr>
                  </w:pPr>
                  <w:r>
                    <w:rPr>
                      <w:rFonts w:ascii="Times New Roman" w:hAnsi="Times New Roman"/>
                      <w:color w:val="auto"/>
                      <w:kern w:val="0"/>
                      <w:szCs w:val="21"/>
                    </w:rPr>
                    <w:t>井场及管线拆除的建筑垃圾</w:t>
                  </w:r>
                </w:p>
              </w:tc>
              <w:tc>
                <w:tcPr>
                  <w:tcW w:w="2719"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截去地下1m内管头；井口封堵，建筑垃圾运至当地</w:t>
                  </w:r>
                  <w:r>
                    <w:rPr>
                      <w:rFonts w:hint="eastAsia" w:ascii="Times New Roman" w:hAnsi="Times New Roman"/>
                      <w:color w:val="auto"/>
                      <w:kern w:val="0"/>
                      <w:szCs w:val="21"/>
                    </w:rPr>
                    <w:t>环卫</w:t>
                  </w:r>
                  <w:r>
                    <w:rPr>
                      <w:rFonts w:ascii="Times New Roman" w:hAnsi="Times New Roman"/>
                      <w:color w:val="auto"/>
                      <w:kern w:val="0"/>
                      <w:szCs w:val="21"/>
                    </w:rPr>
                    <w:t>部门指定地点集中处置</w:t>
                  </w:r>
                </w:p>
              </w:tc>
              <w:tc>
                <w:tcPr>
                  <w:tcW w:w="592"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283" w:type="pct"/>
                  <w:vMerge w:val="continue"/>
                  <w:vAlign w:val="center"/>
                </w:tcPr>
                <w:p>
                  <w:pPr>
                    <w:jc w:val="center"/>
                    <w:rPr>
                      <w:rFonts w:ascii="Times New Roman" w:hAnsi="Times New Roman"/>
                      <w:color w:val="auto"/>
                      <w:kern w:val="0"/>
                      <w:szCs w:val="21"/>
                    </w:rPr>
                  </w:pPr>
                </w:p>
              </w:tc>
              <w:tc>
                <w:tcPr>
                  <w:tcW w:w="439" w:type="pct"/>
                  <w:vAlign w:val="center"/>
                </w:tcPr>
                <w:p>
                  <w:pPr>
                    <w:jc w:val="center"/>
                    <w:rPr>
                      <w:rFonts w:ascii="Times New Roman" w:hAnsi="Times New Roman"/>
                      <w:color w:val="auto"/>
                      <w:kern w:val="0"/>
                      <w:szCs w:val="21"/>
                    </w:rPr>
                  </w:pPr>
                  <w:r>
                    <w:rPr>
                      <w:rFonts w:ascii="Times New Roman" w:hAnsi="Times New Roman"/>
                      <w:color w:val="auto"/>
                      <w:kern w:val="0"/>
                      <w:szCs w:val="21"/>
                    </w:rPr>
                    <w:t>生态恢复</w:t>
                  </w:r>
                </w:p>
              </w:tc>
              <w:tc>
                <w:tcPr>
                  <w:tcW w:w="966" w:type="pct"/>
                  <w:vAlign w:val="center"/>
                </w:tcPr>
                <w:p>
                  <w:pPr>
                    <w:jc w:val="center"/>
                    <w:rPr>
                      <w:rFonts w:ascii="Times New Roman" w:hAnsi="Times New Roman"/>
                      <w:color w:val="auto"/>
                      <w:kern w:val="0"/>
                      <w:szCs w:val="21"/>
                    </w:rPr>
                  </w:pPr>
                  <w:r>
                    <w:rPr>
                      <w:rFonts w:ascii="Times New Roman" w:hAnsi="Times New Roman"/>
                      <w:color w:val="auto"/>
                      <w:kern w:val="0"/>
                      <w:szCs w:val="21"/>
                    </w:rPr>
                    <w:t>永久占地</w:t>
                  </w:r>
                </w:p>
              </w:tc>
              <w:tc>
                <w:tcPr>
                  <w:tcW w:w="2719" w:type="pct"/>
                  <w:vAlign w:val="center"/>
                </w:tcPr>
                <w:p>
                  <w:pPr>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占用耕地复垦，</w:t>
                  </w:r>
                  <w:r>
                    <w:rPr>
                      <w:rFonts w:ascii="Times New Roman" w:hAnsi="Times New Roman"/>
                      <w:color w:val="auto"/>
                      <w:kern w:val="0"/>
                      <w:szCs w:val="21"/>
                    </w:rPr>
                    <w:t>完工后迹地清理并平整压实、施工临时占地和原来井场的永久占地释放后植被和土壤的恢复</w:t>
                  </w:r>
                </w:p>
              </w:tc>
              <w:tc>
                <w:tcPr>
                  <w:tcW w:w="592"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22" w:type="pct"/>
                  <w:gridSpan w:val="2"/>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环境</w:t>
                  </w:r>
                </w:p>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监理</w:t>
                  </w:r>
                </w:p>
              </w:tc>
              <w:tc>
                <w:tcPr>
                  <w:tcW w:w="966"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w:t>
                  </w:r>
                </w:p>
              </w:tc>
              <w:tc>
                <w:tcPr>
                  <w:tcW w:w="2719"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严格监督各项环保措施落实情况，确保各项污染防治措施有效实施，监督保护措施落实情况</w:t>
                  </w:r>
                </w:p>
              </w:tc>
              <w:tc>
                <w:tcPr>
                  <w:tcW w:w="592"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22" w:type="pct"/>
                  <w:gridSpan w:val="2"/>
                  <w:vAlign w:val="center"/>
                </w:tcPr>
                <w:p>
                  <w:pPr>
                    <w:adjustRightInd w:val="0"/>
                    <w:snapToGrid w:val="0"/>
                    <w:jc w:val="center"/>
                    <w:rPr>
                      <w:rFonts w:ascii="Times New Roman" w:hAnsi="Times New Roman"/>
                      <w:color w:val="auto"/>
                      <w:kern w:val="0"/>
                      <w:szCs w:val="21"/>
                    </w:rPr>
                  </w:pPr>
                  <w:r>
                    <w:rPr>
                      <w:rFonts w:ascii="Times New Roman" w:hAnsi="Times New Roman"/>
                      <w:color w:val="auto"/>
                    </w:rPr>
                    <w:t>环境风险防范措施</w:t>
                  </w:r>
                </w:p>
              </w:tc>
              <w:tc>
                <w:tcPr>
                  <w:tcW w:w="3685" w:type="pct"/>
                  <w:gridSpan w:val="2"/>
                  <w:vAlign w:val="center"/>
                </w:tcPr>
                <w:p>
                  <w:pPr>
                    <w:adjustRightInd w:val="0"/>
                    <w:snapToGrid w:val="0"/>
                    <w:jc w:val="center"/>
                    <w:rPr>
                      <w:rFonts w:ascii="Times New Roman" w:hAnsi="Times New Roman"/>
                      <w:color w:val="auto"/>
                      <w:kern w:val="0"/>
                      <w:szCs w:val="21"/>
                    </w:rPr>
                  </w:pPr>
                  <w:r>
                    <w:rPr>
                      <w:rFonts w:hint="eastAsia" w:ascii="Times New Roman" w:hAnsi="Times New Roman"/>
                      <w:color w:val="auto"/>
                    </w:rPr>
                    <w:t>井口设置防喷器，</w:t>
                  </w:r>
                  <w:r>
                    <w:rPr>
                      <w:rFonts w:ascii="Times New Roman" w:hAnsi="Times New Roman"/>
                      <w:color w:val="auto"/>
                    </w:rPr>
                    <w:t>定期对管线进行超声波检查。井场设置明显的禁止烟火标志。在井场路口等处设置风向标；井场配备泡沫灭火器、干粉灭火器、消防铁锹和其它消防器材。事故状态下原油落地后，上层能收集的原油回收送至</w:t>
                  </w:r>
                  <w:r>
                    <w:rPr>
                      <w:rFonts w:ascii="Times New Roman" w:hAnsi="Times New Roman"/>
                      <w:color w:val="auto"/>
                      <w:kern w:val="0"/>
                      <w:szCs w:val="21"/>
                    </w:rPr>
                    <w:t>春光联合站原油</w:t>
                  </w:r>
                  <w:r>
                    <w:rPr>
                      <w:rFonts w:ascii="Times New Roman" w:hAnsi="Times New Roman"/>
                      <w:color w:val="auto"/>
                    </w:rPr>
                    <w:t>处理系统处理，无法收集的原油和受浸染的土壤等含油污泥交由新疆锦恒利废矿物油处置有限公司进行回收、处置。</w:t>
                  </w:r>
                </w:p>
              </w:tc>
              <w:tc>
                <w:tcPr>
                  <w:tcW w:w="592" w:type="pct"/>
                  <w:vAlign w:val="center"/>
                </w:tcPr>
                <w:p>
                  <w:pPr>
                    <w:adjustRightInd w:val="0"/>
                    <w:snapToGrid w:val="0"/>
                    <w:jc w:val="center"/>
                    <w:rPr>
                      <w:rFonts w:ascii="Times New Roman" w:hAnsi="Times New Roman"/>
                      <w:color w:val="auto"/>
                      <w:kern w:val="0"/>
                      <w:szCs w:val="21"/>
                    </w:rPr>
                  </w:pPr>
                  <w:r>
                    <w:rPr>
                      <w:rFonts w:hint="eastAsia" w:ascii="Times New Roman" w:hAnsi="Times New Roman"/>
                      <w:color w:val="auto"/>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722" w:type="pct"/>
                  <w:gridSpan w:val="2"/>
                  <w:vAlign w:val="center"/>
                </w:tcPr>
                <w:p>
                  <w:pPr>
                    <w:pStyle w:val="105"/>
                    <w:adjustRightInd w:val="0"/>
                    <w:snapToGrid w:val="0"/>
                    <w:spacing w:line="240" w:lineRule="auto"/>
                    <w:rPr>
                      <w:rFonts w:ascii="Times New Roman" w:hAnsi="Times New Roman"/>
                      <w:color w:val="auto"/>
                      <w:szCs w:val="21"/>
                    </w:rPr>
                  </w:pPr>
                  <w:r>
                    <w:rPr>
                      <w:rFonts w:ascii="Times New Roman" w:hAnsi="Times New Roman"/>
                      <w:color w:val="auto"/>
                    </w:rPr>
                    <w:t>环境监测计划</w:t>
                  </w:r>
                </w:p>
              </w:tc>
              <w:tc>
                <w:tcPr>
                  <w:tcW w:w="3685" w:type="pct"/>
                  <w:gridSpan w:val="2"/>
                  <w:vAlign w:val="center"/>
                </w:tcPr>
                <w:p>
                  <w:pPr>
                    <w:pStyle w:val="105"/>
                    <w:adjustRightInd w:val="0"/>
                    <w:snapToGrid w:val="0"/>
                    <w:spacing w:line="240" w:lineRule="auto"/>
                    <w:rPr>
                      <w:rFonts w:ascii="Times New Roman" w:hAnsi="Times New Roman"/>
                      <w:color w:val="auto"/>
                      <w:szCs w:val="21"/>
                    </w:rPr>
                  </w:pPr>
                  <w:r>
                    <w:rPr>
                      <w:rFonts w:ascii="Times New Roman" w:hAnsi="Times New Roman"/>
                      <w:color w:val="auto"/>
                    </w:rPr>
                    <w:t>竣工验收后，按照运营期监测计划开展相应的环境监测</w:t>
                  </w:r>
                </w:p>
              </w:tc>
              <w:tc>
                <w:tcPr>
                  <w:tcW w:w="592" w:type="pct"/>
                  <w:vAlign w:val="center"/>
                </w:tcPr>
                <w:p>
                  <w:pPr>
                    <w:adjustRightInd w:val="0"/>
                    <w:snapToGrid w:val="0"/>
                    <w:jc w:val="center"/>
                    <w:rPr>
                      <w:rFonts w:ascii="Times New Roman" w:hAnsi="Times New Roman"/>
                      <w:color w:val="auto"/>
                      <w:kern w:val="0"/>
                      <w:szCs w:val="21"/>
                    </w:rPr>
                  </w:pPr>
                  <w:r>
                    <w:rPr>
                      <w:rFonts w:ascii="Times New Roman" w:hAnsi="Times New Roman"/>
                      <w:color w:val="auto"/>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407" w:type="pct"/>
                  <w:gridSpan w:val="4"/>
                  <w:vAlign w:val="center"/>
                </w:tcPr>
                <w:p>
                  <w:pPr>
                    <w:adjustRightInd w:val="0"/>
                    <w:snapToGrid w:val="0"/>
                    <w:jc w:val="center"/>
                    <w:rPr>
                      <w:rFonts w:ascii="Times New Roman" w:hAnsi="Times New Roman"/>
                      <w:color w:val="auto"/>
                      <w:kern w:val="0"/>
                      <w:szCs w:val="21"/>
                    </w:rPr>
                  </w:pPr>
                  <w:r>
                    <w:rPr>
                      <w:rFonts w:ascii="Times New Roman" w:hAnsi="Times New Roman"/>
                      <w:color w:val="auto"/>
                      <w:kern w:val="0"/>
                      <w:szCs w:val="21"/>
                    </w:rPr>
                    <w:t>合计</w:t>
                  </w:r>
                </w:p>
              </w:tc>
              <w:tc>
                <w:tcPr>
                  <w:tcW w:w="592" w:type="pct"/>
                  <w:vAlign w:val="center"/>
                </w:tcPr>
                <w:p>
                  <w:pPr>
                    <w:adjustRightInd w:val="0"/>
                    <w:snapToGrid w:val="0"/>
                    <w:jc w:val="center"/>
                    <w:rPr>
                      <w:rFonts w:ascii="Times New Roman" w:hAnsi="Times New Roman"/>
                      <w:color w:val="auto"/>
                      <w:kern w:val="0"/>
                      <w:szCs w:val="21"/>
                    </w:rPr>
                  </w:pPr>
                  <w:r>
                    <w:rPr>
                      <w:rFonts w:hint="eastAsia" w:ascii="Times New Roman" w:hAnsi="Times New Roman"/>
                      <w:color w:val="auto"/>
                      <w:kern w:val="0"/>
                      <w:szCs w:val="21"/>
                    </w:rPr>
                    <w:t>447</w:t>
                  </w:r>
                </w:p>
              </w:tc>
            </w:tr>
          </w:tbl>
          <w:p>
            <w:pPr>
              <w:pStyle w:val="48"/>
              <w:adjustRightInd w:val="0"/>
              <w:snapToGrid w:val="0"/>
              <w:ind w:firstLine="480"/>
              <w:jc w:val="both"/>
              <w:rPr>
                <w:rFonts w:ascii="Times New Roman" w:hAnsi="Times New Roman"/>
                <w:color w:val="auto"/>
                <w:shd w:val="clear" w:color="auto" w:fill="FFFFFF"/>
              </w:rPr>
            </w:pPr>
          </w:p>
          <w:p>
            <w:pPr>
              <w:pStyle w:val="48"/>
              <w:adjustRightInd w:val="0"/>
              <w:snapToGrid w:val="0"/>
              <w:ind w:firstLine="0" w:firstLineChars="0"/>
              <w:jc w:val="both"/>
              <w:rPr>
                <w:rFonts w:ascii="Times New Roman" w:hAnsi="Times New Roman"/>
                <w:color w:val="auto"/>
                <w:shd w:val="clear" w:color="auto" w:fill="FFFFFF"/>
              </w:rPr>
            </w:pPr>
          </w:p>
        </w:tc>
      </w:tr>
    </w:tbl>
    <w:p>
      <w:pPr>
        <w:ind w:firstLine="172"/>
        <w:rPr>
          <w:rFonts w:ascii="Times New Roman" w:hAnsi="Times New Roman"/>
        </w:rPr>
      </w:pPr>
    </w:p>
    <w:p>
      <w:pPr>
        <w:pStyle w:val="3"/>
        <w:rPr>
          <w:rFonts w:ascii="Times New Roman" w:hAnsi="Times New Roman"/>
        </w:rPr>
        <w:sectPr>
          <w:pgSz w:w="11907" w:h="16840"/>
          <w:pgMar w:top="1418" w:right="1588" w:bottom="1418" w:left="1588" w:header="851" w:footer="1077" w:gutter="0"/>
          <w:cols w:space="720" w:num="1"/>
          <w:docGrid w:linePitch="312" w:charSpace="0"/>
        </w:sectPr>
      </w:pPr>
    </w:p>
    <w:p>
      <w:pPr>
        <w:pStyle w:val="33"/>
        <w:spacing w:before="0" w:beforeAutospacing="0" w:after="0" w:afterAutospacing="0"/>
        <w:ind w:firstLine="244"/>
        <w:jc w:val="center"/>
        <w:outlineLvl w:val="0"/>
        <w:rPr>
          <w:rFonts w:ascii="Times New Roman" w:hAnsi="Times New Roman" w:eastAsia="黑体"/>
          <w:snapToGrid w:val="0"/>
          <w:sz w:val="30"/>
          <w:szCs w:val="30"/>
        </w:rPr>
      </w:pPr>
      <w:bookmarkStart w:id="38" w:name="_Hlk68548224"/>
      <w:r>
        <w:rPr>
          <w:rFonts w:ascii="Times New Roman" w:hAnsi="Times New Roman" w:eastAsia="黑体"/>
          <w:snapToGrid w:val="0"/>
          <w:sz w:val="30"/>
          <w:szCs w:val="30"/>
        </w:rPr>
        <w:t>六、生态环境保护措施监督检查清单</w:t>
      </w:r>
    </w:p>
    <w:bookmarkEnd w:id="38"/>
    <w:tbl>
      <w:tblPr>
        <w:tblStyle w:val="37"/>
        <w:tblW w:w="493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244"/>
        <w:gridCol w:w="1961"/>
        <w:gridCol w:w="1662"/>
        <w:gridCol w:w="13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Merge w:val="restart"/>
            <w:tcBorders>
              <w:tl2br w:val="single" w:color="auto" w:sz="4" w:space="0"/>
            </w:tcBorders>
          </w:tcPr>
          <w:p>
            <w:pPr>
              <w:pStyle w:val="33"/>
              <w:spacing w:before="0" w:beforeAutospacing="0" w:after="0" w:afterAutospacing="0" w:line="280" w:lineRule="exact"/>
              <w:ind w:firstLine="172"/>
              <w:contextualSpacing/>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w:t>
            </w:r>
          </w:p>
          <w:p>
            <w:pPr>
              <w:pStyle w:val="33"/>
              <w:spacing w:before="0" w:beforeAutospacing="0" w:after="0" w:afterAutospacing="0" w:line="280" w:lineRule="exact"/>
              <w:ind w:firstLine="172"/>
              <w:contextualSpacing/>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 xml:space="preserve">  内容                   </w:t>
            </w:r>
          </w:p>
          <w:p>
            <w:pPr>
              <w:pStyle w:val="33"/>
              <w:spacing w:before="0" w:beforeAutospacing="0" w:after="0" w:afterAutospacing="0" w:line="280" w:lineRule="exact"/>
              <w:ind w:firstLine="172"/>
              <w:contextualSpacing/>
              <w:outlineLvl w:val="0"/>
              <w:rPr>
                <w:rFonts w:ascii="Times New Roman" w:hAnsi="Times New Roman" w:eastAsia="黑体"/>
                <w:color w:val="auto"/>
                <w:kern w:val="2"/>
                <w:sz w:val="135"/>
                <w:szCs w:val="21"/>
              </w:rPr>
            </w:pPr>
            <w:r>
              <w:rPr>
                <w:rFonts w:ascii="Times New Roman" w:hAnsi="Times New Roman" w:eastAsia="黑体"/>
                <w:color w:val="auto"/>
                <w:kern w:val="2"/>
                <w:sz w:val="21"/>
                <w:szCs w:val="21"/>
              </w:rPr>
              <w:t xml:space="preserve"> </w:t>
            </w:r>
            <w:r>
              <w:rPr>
                <w:rFonts w:ascii="Times New Roman" w:hAnsi="Times New Roman" w:eastAsia="黑体"/>
                <w:color w:val="auto"/>
                <w:kern w:val="2"/>
                <w:sz w:val="135"/>
                <w:szCs w:val="21"/>
              </w:rPr>
              <w:t xml:space="preserve"> </w:t>
            </w:r>
          </w:p>
          <w:p>
            <w:pPr>
              <w:pStyle w:val="33"/>
              <w:spacing w:before="0" w:beforeAutospacing="0" w:after="0" w:afterAutospacing="0" w:line="280" w:lineRule="exact"/>
              <w:ind w:firstLine="172"/>
              <w:contextualSpacing/>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要素</w:t>
            </w:r>
          </w:p>
        </w:tc>
        <w:tc>
          <w:tcPr>
            <w:tcW w:w="2500" w:type="pct"/>
            <w:gridSpan w:val="2"/>
            <w:vAlign w:val="center"/>
          </w:tcPr>
          <w:p>
            <w:pPr>
              <w:pStyle w:val="33"/>
              <w:spacing w:before="0" w:beforeAutospacing="0" w:after="0" w:afterAutospacing="0" w:line="280" w:lineRule="exact"/>
              <w:ind w:firstLine="172"/>
              <w:contextualSpacing/>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施工期</w:t>
            </w:r>
          </w:p>
        </w:tc>
        <w:tc>
          <w:tcPr>
            <w:tcW w:w="1804" w:type="pct"/>
            <w:gridSpan w:val="2"/>
            <w:vAlign w:val="center"/>
          </w:tcPr>
          <w:p>
            <w:pPr>
              <w:pStyle w:val="33"/>
              <w:spacing w:before="0" w:beforeAutospacing="0" w:after="0" w:afterAutospacing="0" w:line="280" w:lineRule="exact"/>
              <w:ind w:firstLine="172"/>
              <w:contextualSpacing/>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Merge w:val="continue"/>
          </w:tcPr>
          <w:p>
            <w:pPr>
              <w:pStyle w:val="33"/>
              <w:spacing w:before="0" w:beforeAutospacing="0" w:after="0" w:afterAutospacing="0" w:line="280" w:lineRule="exact"/>
              <w:ind w:firstLine="172"/>
              <w:contextualSpacing/>
              <w:jc w:val="center"/>
              <w:outlineLvl w:val="0"/>
              <w:rPr>
                <w:rFonts w:ascii="Times New Roman" w:hAnsi="Times New Roman" w:eastAsia="黑体"/>
                <w:color w:val="auto"/>
                <w:kern w:val="2"/>
                <w:sz w:val="21"/>
                <w:szCs w:val="21"/>
              </w:rPr>
            </w:pPr>
          </w:p>
        </w:tc>
        <w:tc>
          <w:tcPr>
            <w:tcW w:w="1334" w:type="pct"/>
            <w:vAlign w:val="center"/>
          </w:tcPr>
          <w:p>
            <w:pPr>
              <w:pStyle w:val="33"/>
              <w:spacing w:before="0" w:beforeAutospacing="0" w:after="0" w:afterAutospacing="0" w:line="280" w:lineRule="exact"/>
              <w:ind w:firstLine="172"/>
              <w:contextualSpacing/>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环境保护措施</w:t>
            </w:r>
          </w:p>
        </w:tc>
        <w:tc>
          <w:tcPr>
            <w:tcW w:w="1165" w:type="pct"/>
            <w:vAlign w:val="center"/>
          </w:tcPr>
          <w:p>
            <w:pPr>
              <w:pStyle w:val="33"/>
              <w:spacing w:before="0" w:beforeAutospacing="0" w:after="0" w:afterAutospacing="0" w:line="280" w:lineRule="exact"/>
              <w:ind w:firstLine="172"/>
              <w:contextualSpacing/>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验收要求</w:t>
            </w:r>
          </w:p>
        </w:tc>
        <w:tc>
          <w:tcPr>
            <w:tcW w:w="988" w:type="pct"/>
            <w:vAlign w:val="center"/>
          </w:tcPr>
          <w:p>
            <w:pPr>
              <w:pStyle w:val="33"/>
              <w:spacing w:before="0" w:beforeAutospacing="0" w:after="0" w:afterAutospacing="0" w:line="280" w:lineRule="exact"/>
              <w:ind w:firstLine="172"/>
              <w:contextualSpacing/>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环境保护措施</w:t>
            </w:r>
          </w:p>
        </w:tc>
        <w:tc>
          <w:tcPr>
            <w:tcW w:w="816" w:type="pct"/>
            <w:vAlign w:val="center"/>
          </w:tcPr>
          <w:p>
            <w:pPr>
              <w:pStyle w:val="33"/>
              <w:spacing w:before="0" w:beforeAutospacing="0" w:after="0" w:afterAutospacing="0" w:line="280" w:lineRule="exact"/>
              <w:ind w:firstLine="172"/>
              <w:contextualSpacing/>
              <w:jc w:val="center"/>
              <w:outlineLvl w:val="0"/>
              <w:rPr>
                <w:rFonts w:ascii="Times New Roman" w:hAnsi="Times New Roman" w:eastAsia="黑体"/>
                <w:color w:val="auto"/>
                <w:kern w:val="2"/>
                <w:sz w:val="21"/>
                <w:szCs w:val="21"/>
              </w:rPr>
            </w:pPr>
            <w:r>
              <w:rPr>
                <w:rFonts w:ascii="Times New Roman" w:hAnsi="Times New Roman" w:eastAsia="黑体"/>
                <w:color w:val="auto"/>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陆生</w:t>
            </w:r>
          </w:p>
          <w:p>
            <w:pPr>
              <w:spacing w:line="280" w:lineRule="exact"/>
              <w:contextualSpacing/>
              <w:jc w:val="center"/>
              <w:rPr>
                <w:rFonts w:ascii="Times New Roman" w:hAnsi="Times New Roman"/>
                <w:color w:val="auto"/>
                <w:szCs w:val="21"/>
              </w:rPr>
            </w:pPr>
            <w:r>
              <w:rPr>
                <w:rFonts w:ascii="Times New Roman" w:hAnsi="Times New Roman"/>
                <w:color w:val="auto"/>
                <w:szCs w:val="21"/>
              </w:rPr>
              <w:t>生态</w:t>
            </w:r>
          </w:p>
        </w:tc>
        <w:tc>
          <w:tcPr>
            <w:tcW w:w="1334"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合理规划占地面积，严格控制临时占地面积；施工结束后，对井场永久占地进行地面硬化处理；管线敷设时，单井管线施工作业宽度不得超过8m。开挖土石方应及时回填；施工结束后，及时对施工场地进行平整，并按相关规定对植被损失进行生态经济补偿。</w:t>
            </w:r>
          </w:p>
        </w:tc>
        <w:tc>
          <w:tcPr>
            <w:tcW w:w="1165"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pacing w:val="-12"/>
                <w:szCs w:val="21"/>
              </w:rPr>
              <w:t>单井采油管线周边植被恢复情况，永久占地硬化情况。对项目影响区域施工场地平整情况、固体废物回收情况、植被损失生态经济补偿落实情况等进行监督检查。</w:t>
            </w:r>
            <w:r>
              <w:rPr>
                <w:rFonts w:hint="eastAsia" w:ascii="Times New Roman" w:hAnsi="Times New Roman"/>
                <w:color w:val="auto"/>
                <w:spacing w:val="-12"/>
                <w:szCs w:val="21"/>
              </w:rPr>
              <w:t xml:space="preserve">征地手续执行情况，原有土地使用功能恢复情况 </w:t>
            </w:r>
          </w:p>
        </w:tc>
        <w:tc>
          <w:tcPr>
            <w:tcW w:w="988"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定期检查管线，如发生管线老化、接口断裂，及时更换管线；管道维修二次开挖时，应及时回填，以使植被得到有效恢复；定时巡查井场的阀门、设备，防止“跑、冒、滴、漏”的发生。</w:t>
            </w:r>
          </w:p>
        </w:tc>
        <w:tc>
          <w:tcPr>
            <w:tcW w:w="816"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确保各设备正常运营，若发生“跑、冒、滴、漏”，及时将受浸染的土壤及时清理，交由</w:t>
            </w:r>
            <w:r>
              <w:rPr>
                <w:rFonts w:ascii="Times New Roman" w:hAnsi="Times New Roman"/>
                <w:color w:val="auto"/>
              </w:rPr>
              <w:t>具有相应处置资质的单位进行</w:t>
            </w:r>
            <w:r>
              <w:rPr>
                <w:rFonts w:ascii="Times New Roman" w:hAnsi="Times New Roman"/>
                <w:color w:val="auto"/>
                <w:szCs w:val="21"/>
              </w:rPr>
              <w:t>处置，防止油类泄漏，污染土壤，进而影响野生植被的生长。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水生生态</w:t>
            </w:r>
          </w:p>
        </w:tc>
        <w:tc>
          <w:tcPr>
            <w:tcW w:w="1334"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c>
          <w:tcPr>
            <w:tcW w:w="1165"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c>
          <w:tcPr>
            <w:tcW w:w="988"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c>
          <w:tcPr>
            <w:tcW w:w="816"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Align w:val="center"/>
          </w:tcPr>
          <w:p>
            <w:pPr>
              <w:spacing w:line="280" w:lineRule="exact"/>
              <w:contextualSpacing/>
              <w:jc w:val="center"/>
              <w:rPr>
                <w:rFonts w:ascii="Times New Roman" w:hAnsi="Times New Roman"/>
                <w:color w:val="auto"/>
                <w:spacing w:val="-12"/>
                <w:szCs w:val="21"/>
              </w:rPr>
            </w:pPr>
            <w:r>
              <w:rPr>
                <w:rFonts w:ascii="Times New Roman" w:hAnsi="Times New Roman"/>
                <w:color w:val="auto"/>
                <w:spacing w:val="-12"/>
                <w:szCs w:val="21"/>
              </w:rPr>
              <w:t>地表水环境</w:t>
            </w:r>
          </w:p>
        </w:tc>
        <w:tc>
          <w:tcPr>
            <w:tcW w:w="1334"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c>
          <w:tcPr>
            <w:tcW w:w="1165"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c>
          <w:tcPr>
            <w:tcW w:w="988"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c>
          <w:tcPr>
            <w:tcW w:w="816"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地下水及土壤环境</w:t>
            </w:r>
          </w:p>
        </w:tc>
        <w:tc>
          <w:tcPr>
            <w:tcW w:w="1334"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施工期试压废水用于施工区洒水抑尘。</w:t>
            </w:r>
            <w:r>
              <w:rPr>
                <w:rFonts w:hint="eastAsia" w:ascii="Times New Roman" w:hAnsi="Times New Roman"/>
                <w:color w:val="auto"/>
                <w:szCs w:val="21"/>
              </w:rPr>
              <w:t>钻井废水进入泥浆不落地系统处理后，循环利用不外排。</w:t>
            </w:r>
            <w:r>
              <w:rPr>
                <w:rFonts w:ascii="Times New Roman" w:hAnsi="Times New Roman"/>
                <w:color w:val="auto"/>
                <w:szCs w:val="21"/>
              </w:rPr>
              <w:t>采用下套管注水泥固井完井方式进行水泥固井，对含水层进行固封处理；施工期钻井井场内的井口区地面</w:t>
            </w:r>
            <w:r>
              <w:rPr>
                <w:rFonts w:hint="eastAsia" w:ascii="Times New Roman" w:hAnsi="Times New Roman"/>
                <w:color w:val="auto"/>
                <w:szCs w:val="21"/>
              </w:rPr>
              <w:t>、</w:t>
            </w:r>
            <w:r>
              <w:rPr>
                <w:rFonts w:ascii="Times New Roman" w:hAnsi="Times New Roman"/>
                <w:color w:val="auto"/>
                <w:szCs w:val="21"/>
              </w:rPr>
              <w:t>放喷池池底及池壁</w:t>
            </w:r>
            <w:r>
              <w:rPr>
                <w:rFonts w:hint="eastAsia" w:ascii="Times New Roman" w:hAnsi="Times New Roman"/>
                <w:color w:val="auto"/>
                <w:szCs w:val="21"/>
              </w:rPr>
              <w:t>、</w:t>
            </w:r>
            <w:r>
              <w:rPr>
                <w:rFonts w:ascii="Times New Roman" w:hAnsi="Times New Roman"/>
                <w:color w:val="auto"/>
                <w:szCs w:val="21"/>
              </w:rPr>
              <w:t>泥浆循环系统区域地面</w:t>
            </w:r>
            <w:r>
              <w:rPr>
                <w:rFonts w:hint="eastAsia" w:ascii="Times New Roman" w:hAnsi="Times New Roman"/>
                <w:color w:val="auto"/>
                <w:szCs w:val="21"/>
              </w:rPr>
              <w:t>、柴油机、发电机房、柴油桶区、废油桶、岩屑收集罐存放处</w:t>
            </w:r>
            <w:r>
              <w:rPr>
                <w:rFonts w:ascii="Times New Roman" w:hAnsi="Times New Roman"/>
                <w:color w:val="auto"/>
                <w:szCs w:val="21"/>
              </w:rPr>
              <w:t>均铺设HDPE防渗膜。</w:t>
            </w:r>
            <w:r>
              <w:rPr>
                <w:rFonts w:hint="eastAsia" w:ascii="Times New Roman" w:hAnsi="Times New Roman"/>
                <w:color w:val="auto"/>
                <w:szCs w:val="21"/>
              </w:rPr>
              <w:t xml:space="preserve"> </w:t>
            </w:r>
          </w:p>
        </w:tc>
        <w:tc>
          <w:tcPr>
            <w:tcW w:w="1165"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查阅施工记录及相关影像资料核实相关地下水污染防治措施的落实情况。</w:t>
            </w:r>
            <w:r>
              <w:rPr>
                <w:rFonts w:hint="eastAsia" w:ascii="Times New Roman" w:hAnsi="Times New Roman"/>
                <w:color w:val="auto"/>
                <w:szCs w:val="21"/>
              </w:rPr>
              <w:t xml:space="preserve"> </w:t>
            </w:r>
          </w:p>
        </w:tc>
        <w:tc>
          <w:tcPr>
            <w:tcW w:w="988" w:type="pct"/>
            <w:vAlign w:val="center"/>
          </w:tcPr>
          <w:p>
            <w:pPr>
              <w:autoSpaceDE w:val="0"/>
              <w:autoSpaceDN w:val="0"/>
              <w:adjustRightInd w:val="0"/>
              <w:jc w:val="both"/>
              <w:rPr>
                <w:rFonts w:ascii="Times New Roman" w:hAnsi="Times New Roman"/>
                <w:color w:val="auto"/>
                <w:spacing w:val="-2"/>
              </w:rPr>
            </w:pPr>
            <w:r>
              <w:rPr>
                <w:rFonts w:ascii="Times New Roman" w:hAnsi="Times New Roman"/>
                <w:color w:val="auto"/>
                <w:spacing w:val="-2"/>
              </w:rPr>
              <w:t>加强对单井集输管线附近的巡查。落地油浸染的土壤产生及时清理；</w:t>
            </w:r>
            <w:r>
              <w:rPr>
                <w:rFonts w:ascii="Times New Roman" w:hAnsi="Times New Roman"/>
                <w:color w:val="auto"/>
                <w:spacing w:val="-2"/>
                <w:kern w:val="0"/>
                <w:szCs w:val="21"/>
              </w:rPr>
              <w:t>井下作业废水和采出水</w:t>
            </w:r>
            <w:r>
              <w:rPr>
                <w:rFonts w:ascii="Times New Roman" w:hAnsi="Times New Roman"/>
                <w:color w:val="auto"/>
                <w:spacing w:val="-2"/>
              </w:rPr>
              <w:t>由罐车送至</w:t>
            </w:r>
            <w:r>
              <w:rPr>
                <w:rFonts w:ascii="Times New Roman" w:hAnsi="Times New Roman"/>
                <w:color w:val="auto"/>
                <w:spacing w:val="-2"/>
                <w:kern w:val="0"/>
                <w:szCs w:val="21"/>
              </w:rPr>
              <w:t>春光联合站采出水</w:t>
            </w:r>
            <w:r>
              <w:rPr>
                <w:rFonts w:ascii="Times New Roman" w:hAnsi="Times New Roman"/>
                <w:color w:val="auto"/>
                <w:spacing w:val="-2"/>
              </w:rPr>
              <w:t>处理系统处理</w:t>
            </w:r>
            <w:r>
              <w:rPr>
                <w:rFonts w:hint="eastAsia" w:ascii="Times New Roman" w:hAnsi="Times New Roman"/>
                <w:color w:val="auto"/>
                <w:spacing w:val="-2"/>
              </w:rPr>
              <w:t>，达到《碎屑岩油藏注水水质指标及分析方法》</w:t>
            </w:r>
          </w:p>
          <w:p>
            <w:pPr>
              <w:autoSpaceDE w:val="0"/>
              <w:autoSpaceDN w:val="0"/>
              <w:adjustRightInd w:val="0"/>
              <w:jc w:val="both"/>
              <w:rPr>
                <w:rFonts w:ascii="Times New Roman" w:hAnsi="Times New Roman"/>
                <w:color w:val="auto"/>
                <w:spacing w:val="-2"/>
                <w:kern w:val="0"/>
                <w:szCs w:val="21"/>
              </w:rPr>
            </w:pPr>
            <w:r>
              <w:rPr>
                <w:rFonts w:hint="eastAsia" w:ascii="Times New Roman" w:hAnsi="Times New Roman"/>
                <w:color w:val="auto"/>
                <w:spacing w:val="-2"/>
              </w:rPr>
              <w:t>（</w:t>
            </w:r>
            <w:r>
              <w:rPr>
                <w:rFonts w:ascii="Times New Roman" w:hAnsi="Times New Roman"/>
                <w:color w:val="auto"/>
                <w:spacing w:val="-2"/>
              </w:rPr>
              <w:t>SY/T5329-2012</w:t>
            </w:r>
            <w:r>
              <w:rPr>
                <w:rFonts w:hint="eastAsia" w:ascii="Times New Roman" w:hAnsi="Times New Roman"/>
                <w:color w:val="auto"/>
                <w:spacing w:val="-2"/>
              </w:rPr>
              <w:t>）中的有关标准后回注油层，不外排。</w:t>
            </w:r>
          </w:p>
        </w:tc>
        <w:tc>
          <w:tcPr>
            <w:tcW w:w="816" w:type="pct"/>
            <w:vAlign w:val="center"/>
          </w:tcPr>
          <w:p>
            <w:pPr>
              <w:spacing w:line="280" w:lineRule="exact"/>
              <w:contextualSpacing/>
              <w:jc w:val="both"/>
              <w:rPr>
                <w:rFonts w:ascii="Times New Roman" w:hAnsi="Times New Roman"/>
                <w:color w:val="auto"/>
                <w:szCs w:val="21"/>
              </w:rPr>
            </w:pPr>
            <w:r>
              <w:rPr>
                <w:rFonts w:hint="eastAsia" w:ascii="Times New Roman" w:hAnsi="Times New Roman"/>
                <w:color w:val="auto"/>
              </w:rPr>
              <w:t>建设用地执行</w:t>
            </w:r>
            <w:r>
              <w:rPr>
                <w:rFonts w:ascii="Times New Roman" w:hAnsi="Times New Roman"/>
                <w:color w:val="auto"/>
              </w:rPr>
              <w:t>《土壤环境质量 建设用地土壤污染风险管控标准（试行）》（GB36600-2018）中筛选值第二类标准限值</w:t>
            </w:r>
            <w:r>
              <w:rPr>
                <w:rFonts w:hint="eastAsia" w:ascii="Times New Roman" w:hAnsi="Times New Roman"/>
                <w:color w:val="auto"/>
              </w:rPr>
              <w:t>，周边农用地执行《</w:t>
            </w:r>
            <w:r>
              <w:rPr>
                <w:rFonts w:ascii="Times New Roman" w:hAnsi="Times New Roman"/>
                <w:color w:val="auto"/>
              </w:rPr>
              <w:t xml:space="preserve">土壤环境质量 </w:t>
            </w:r>
            <w:r>
              <w:rPr>
                <w:rFonts w:hint="eastAsia" w:ascii="Times New Roman" w:hAnsi="Times New Roman"/>
                <w:color w:val="auto"/>
              </w:rPr>
              <w:t>农</w:t>
            </w:r>
            <w:r>
              <w:rPr>
                <w:rFonts w:ascii="Times New Roman" w:hAnsi="Times New Roman"/>
                <w:color w:val="auto"/>
              </w:rPr>
              <w:t>用地土壤污染风险管控标准（试行）</w:t>
            </w:r>
            <w:r>
              <w:rPr>
                <w:rFonts w:hint="eastAsia" w:ascii="Times New Roman" w:hAnsi="Times New Roman"/>
                <w:color w:val="auto"/>
              </w:rPr>
              <w:t>》</w:t>
            </w:r>
            <w:r>
              <w:rPr>
                <w:rFonts w:ascii="Times New Roman" w:hAnsi="Times New Roman"/>
                <w:color w:val="auto"/>
              </w:rPr>
              <w:t>（GB15618-2018）中</w:t>
            </w:r>
            <w:r>
              <w:rPr>
                <w:rFonts w:hint="eastAsia" w:ascii="Times New Roman" w:hAnsi="Times New Roman"/>
                <w:color w:val="auto"/>
              </w:rPr>
              <w:t>农用地土壤污染风险筛选值</w:t>
            </w:r>
            <w:r>
              <w:rPr>
                <w:rFonts w:ascii="Times New Roman" w:hAnsi="Times New Roman"/>
                <w:color w:val="auto"/>
              </w:rPr>
              <w:t>；</w:t>
            </w:r>
            <w:r>
              <w:rPr>
                <w:rFonts w:ascii="Times New Roman" w:hAnsi="Times New Roman"/>
                <w:color w:val="auto"/>
                <w:kern w:val="0"/>
                <w:szCs w:val="21"/>
              </w:rPr>
              <w:t>井下作业废水和含油废水</w:t>
            </w:r>
            <w:r>
              <w:rPr>
                <w:rFonts w:ascii="Times New Roman" w:hAnsi="Times New Roman"/>
                <w:color w:val="auto"/>
              </w:rPr>
              <w:t>不外排。</w:t>
            </w:r>
            <w:r>
              <w:rPr>
                <w:rFonts w:hint="eastAsia" w:ascii="Times New Roman" w:hAnsi="Times New Roman"/>
                <w:color w:val="auto"/>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声环境</w:t>
            </w:r>
          </w:p>
        </w:tc>
        <w:tc>
          <w:tcPr>
            <w:tcW w:w="1334"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在设备选型上要求采用低噪声的设备，施工设备要经常检查维修，对噪声较大的设备采取基础减</w:t>
            </w:r>
            <w:r>
              <w:rPr>
                <w:rFonts w:hint="eastAsia" w:ascii="Times New Roman" w:hAnsi="Times New Roman"/>
                <w:color w:val="auto"/>
                <w:szCs w:val="21"/>
              </w:rPr>
              <w:t>振</w:t>
            </w:r>
            <w:r>
              <w:rPr>
                <w:rFonts w:ascii="Times New Roman" w:hAnsi="Times New Roman"/>
                <w:color w:val="auto"/>
                <w:szCs w:val="21"/>
              </w:rPr>
              <w:t>措施；加强施工场地管理，合理疏导进入施工区的车辆，禁止运输车辆随意高声鸣笛。</w:t>
            </w:r>
          </w:p>
        </w:tc>
        <w:tc>
          <w:tcPr>
            <w:tcW w:w="1165" w:type="pct"/>
            <w:vAlign w:val="center"/>
          </w:tcPr>
          <w:p>
            <w:pPr>
              <w:spacing w:line="280" w:lineRule="exact"/>
              <w:contextualSpacing/>
              <w:jc w:val="center"/>
              <w:rPr>
                <w:rFonts w:ascii="Times New Roman" w:hAnsi="Times New Roman"/>
                <w:color w:val="auto"/>
                <w:szCs w:val="21"/>
              </w:rPr>
            </w:pPr>
            <w:r>
              <w:rPr>
                <w:rFonts w:hint="eastAsia" w:ascii="Times New Roman" w:hAnsi="Times New Roman"/>
                <w:color w:val="auto"/>
                <w:szCs w:val="21"/>
              </w:rPr>
              <w:t>满足《建筑施工场界环境噪声排放标准》（GB</w:t>
            </w:r>
            <w:r>
              <w:rPr>
                <w:rFonts w:ascii="Times New Roman" w:hAnsi="Times New Roman"/>
                <w:color w:val="auto"/>
                <w:szCs w:val="21"/>
              </w:rPr>
              <w:t>12523-2011</w:t>
            </w:r>
            <w:r>
              <w:rPr>
                <w:rFonts w:hint="eastAsia" w:ascii="Times New Roman" w:hAnsi="Times New Roman"/>
                <w:color w:val="auto"/>
                <w:szCs w:val="21"/>
              </w:rPr>
              <w:t>）要求。</w:t>
            </w:r>
          </w:p>
        </w:tc>
        <w:tc>
          <w:tcPr>
            <w:tcW w:w="988"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隔声、基础减</w:t>
            </w:r>
            <w:r>
              <w:rPr>
                <w:rFonts w:hint="eastAsia" w:ascii="Times New Roman" w:hAnsi="Times New Roman"/>
                <w:color w:val="auto"/>
                <w:szCs w:val="21"/>
              </w:rPr>
              <w:t>振</w:t>
            </w:r>
            <w:r>
              <w:rPr>
                <w:rFonts w:ascii="Times New Roman" w:hAnsi="Times New Roman"/>
                <w:color w:val="auto"/>
                <w:szCs w:val="21"/>
              </w:rPr>
              <w:t>，采用低噪声设备。</w:t>
            </w:r>
          </w:p>
        </w:tc>
        <w:tc>
          <w:tcPr>
            <w:tcW w:w="816"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各井场厂界噪声满足《工业企业厂界环境噪声排放标准》（GB12348-2008）2类标准限值要求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振动</w:t>
            </w:r>
          </w:p>
        </w:tc>
        <w:tc>
          <w:tcPr>
            <w:tcW w:w="1334"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c>
          <w:tcPr>
            <w:tcW w:w="1165"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c>
          <w:tcPr>
            <w:tcW w:w="988"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c>
          <w:tcPr>
            <w:tcW w:w="816"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大气环境</w:t>
            </w:r>
          </w:p>
        </w:tc>
        <w:tc>
          <w:tcPr>
            <w:tcW w:w="1334" w:type="pct"/>
            <w:vAlign w:val="center"/>
          </w:tcPr>
          <w:p>
            <w:pPr>
              <w:spacing w:line="280" w:lineRule="exact"/>
              <w:contextualSpacing/>
              <w:jc w:val="both"/>
              <w:rPr>
                <w:rFonts w:ascii="Times New Roman" w:hAnsi="Times New Roman"/>
                <w:color w:val="auto"/>
                <w:szCs w:val="21"/>
              </w:rPr>
            </w:pPr>
            <w:r>
              <w:rPr>
                <w:rFonts w:hint="eastAsia" w:ascii="宋体" w:hAnsi="宋体" w:cs="宋体"/>
                <w:color w:val="auto"/>
                <w:szCs w:val="21"/>
              </w:rPr>
              <w:t>①</w:t>
            </w:r>
            <w:r>
              <w:rPr>
                <w:rFonts w:ascii="Times New Roman" w:hAnsi="Times New Roman"/>
                <w:color w:val="auto"/>
                <w:szCs w:val="21"/>
              </w:rPr>
              <w:t>施工扬尘：运输车辆应加盖篷布，临时土方覆盖，防尘布（或网），逸散性材料运输采用苫布遮盖；</w:t>
            </w:r>
            <w:r>
              <w:rPr>
                <w:rFonts w:hint="eastAsia" w:ascii="宋体" w:hAnsi="宋体" w:cs="宋体"/>
                <w:color w:val="auto"/>
                <w:szCs w:val="21"/>
              </w:rPr>
              <w:t>②</w:t>
            </w:r>
            <w:r>
              <w:rPr>
                <w:rFonts w:ascii="Times New Roman" w:hAnsi="Times New Roman"/>
                <w:color w:val="auto"/>
                <w:szCs w:val="21"/>
              </w:rPr>
              <w:t>施工机械</w:t>
            </w:r>
            <w:r>
              <w:rPr>
                <w:rFonts w:hint="eastAsia" w:ascii="Times New Roman" w:hAnsi="Times New Roman"/>
                <w:color w:val="auto"/>
                <w:szCs w:val="21"/>
              </w:rPr>
              <w:t>废</w:t>
            </w:r>
            <w:r>
              <w:rPr>
                <w:rFonts w:ascii="Times New Roman" w:hAnsi="Times New Roman"/>
                <w:color w:val="auto"/>
                <w:szCs w:val="21"/>
              </w:rPr>
              <w:t>气：使用达标油品，加强设备维护。</w:t>
            </w:r>
          </w:p>
        </w:tc>
        <w:tc>
          <w:tcPr>
            <w:tcW w:w="1165"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调查施工过程中废气治理措施的落实情况</w:t>
            </w:r>
            <w:r>
              <w:rPr>
                <w:rFonts w:hint="eastAsia" w:ascii="Times New Roman" w:hAnsi="Times New Roman"/>
                <w:color w:val="auto"/>
                <w:szCs w:val="21"/>
              </w:rPr>
              <w:t>，满足《大气污染物综合排放标准》（GB16297-1996）表2中的无组织排放监控浓度限值要求。</w:t>
            </w:r>
          </w:p>
        </w:tc>
        <w:tc>
          <w:tcPr>
            <w:tcW w:w="988"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rPr>
              <w:t>选用质量可靠的设备、仪表、阀门等；定期对井场设备、阀门和管线等检查</w:t>
            </w:r>
            <w:r>
              <w:rPr>
                <w:rFonts w:hint="eastAsia" w:ascii="Times New Roman" w:hAnsi="Times New Roman"/>
                <w:color w:val="auto"/>
              </w:rPr>
              <w:t>。</w:t>
            </w:r>
          </w:p>
        </w:tc>
        <w:tc>
          <w:tcPr>
            <w:tcW w:w="816" w:type="pct"/>
            <w:vAlign w:val="center"/>
          </w:tcPr>
          <w:p>
            <w:pPr>
              <w:spacing w:line="280" w:lineRule="exact"/>
              <w:contextualSpacing/>
              <w:jc w:val="both"/>
              <w:rPr>
                <w:rFonts w:ascii="Times New Roman" w:hAnsi="Times New Roman"/>
                <w:color w:val="auto"/>
              </w:rPr>
            </w:pPr>
            <w:r>
              <w:rPr>
                <w:rFonts w:ascii="Times New Roman" w:hAnsi="Times New Roman"/>
                <w:color w:val="auto"/>
              </w:rPr>
              <w:t>各井场无组织挥发的非甲烷总烃满足《陆上石油天然气开采工业大气污染物排放标准》（GB39728-2020）中的企业边界污染物控制4.0mg/m</w:t>
            </w:r>
            <w:r>
              <w:rPr>
                <w:rFonts w:ascii="Times New Roman" w:hAnsi="Times New Roman"/>
                <w:color w:val="auto"/>
                <w:vertAlign w:val="superscript"/>
              </w:rPr>
              <w:t>3</w:t>
            </w:r>
            <w:r>
              <w:rPr>
                <w:rFonts w:ascii="Times New Roman" w:hAnsi="Times New Roman"/>
                <w:color w:val="auto"/>
              </w:rPr>
              <w:t>的要求</w:t>
            </w:r>
            <w:r>
              <w:rPr>
                <w:rFonts w:hint="eastAsia" w:ascii="Times New Roman" w:hAnsi="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固体废物</w:t>
            </w:r>
          </w:p>
        </w:tc>
        <w:tc>
          <w:tcPr>
            <w:tcW w:w="1334" w:type="pct"/>
            <w:vAlign w:val="center"/>
          </w:tcPr>
          <w:p>
            <w:pPr>
              <w:autoSpaceDE w:val="0"/>
              <w:autoSpaceDN w:val="0"/>
              <w:jc w:val="both"/>
              <w:rPr>
                <w:rFonts w:ascii="Times New Roman" w:hAnsi="Times New Roman"/>
                <w:color w:val="auto"/>
                <w:kern w:val="0"/>
                <w:szCs w:val="21"/>
              </w:rPr>
            </w:pPr>
            <w:r>
              <w:rPr>
                <w:rFonts w:ascii="Times New Roman" w:hAnsi="Times New Roman"/>
                <w:color w:val="auto"/>
              </w:rPr>
              <w:fldChar w:fldCharType="begin"/>
            </w:r>
            <w:r>
              <w:rPr>
                <w:rFonts w:ascii="Times New Roman" w:hAnsi="Times New Roman"/>
                <w:color w:val="auto"/>
              </w:rPr>
              <w:instrText xml:space="preserve"> </w:instrText>
            </w:r>
            <w:r>
              <w:rPr>
                <w:rFonts w:hint="eastAsia" w:ascii="Times New Roman" w:hAnsi="Times New Roman"/>
                <w:color w:val="auto"/>
              </w:rPr>
              <w:instrText xml:space="preserve">= 1 \* GB3</w:instrText>
            </w:r>
            <w:r>
              <w:rPr>
                <w:rFonts w:ascii="Times New Roman" w:hAnsi="Times New Roman"/>
                <w:color w:val="auto"/>
              </w:rPr>
              <w:instrText xml:space="preserve"> </w:instrText>
            </w:r>
            <w:r>
              <w:rPr>
                <w:rFonts w:ascii="Times New Roman" w:hAnsi="Times New Roman"/>
                <w:color w:val="auto"/>
              </w:rPr>
              <w:fldChar w:fldCharType="separate"/>
            </w:r>
            <w:r>
              <w:rPr>
                <w:rFonts w:hint="eastAsia" w:ascii="Times New Roman" w:hAnsi="Times New Roman"/>
                <w:color w:val="auto"/>
              </w:rPr>
              <w:t>①</w:t>
            </w:r>
            <w:r>
              <w:rPr>
                <w:rFonts w:ascii="Times New Roman" w:hAnsi="Times New Roman"/>
                <w:color w:val="auto"/>
              </w:rPr>
              <w:fldChar w:fldCharType="end"/>
            </w:r>
            <w:r>
              <w:rPr>
                <w:rFonts w:ascii="Times New Roman" w:hAnsi="Times New Roman"/>
                <w:color w:val="auto"/>
              </w:rPr>
              <w:t>钻井岩屑和泥浆：不落地系统处理后，定期由岩屑处置单位用罐车转运至岩屑处置公司进行岩屑无害化处理；</w:t>
            </w:r>
            <w:r>
              <w:rPr>
                <w:rFonts w:ascii="Times New Roman" w:hAnsi="Times New Roman"/>
                <w:color w:val="auto"/>
                <w:kern w:val="0"/>
                <w:szCs w:val="21"/>
              </w:rPr>
              <w:t>剩余泥浆交泥浆专业服务公司处置；</w:t>
            </w:r>
          </w:p>
          <w:p>
            <w:pPr>
              <w:spacing w:line="280" w:lineRule="exact"/>
              <w:contextualSpacing/>
              <w:jc w:val="both"/>
              <w:rPr>
                <w:rFonts w:ascii="Times New Roman" w:hAnsi="Times New Roman"/>
                <w:color w:val="auto"/>
                <w:szCs w:val="21"/>
              </w:rPr>
            </w:pPr>
            <w:r>
              <w:rPr>
                <w:rFonts w:hint="eastAsia" w:ascii="宋体" w:hAnsi="宋体" w:cs="宋体"/>
                <w:color w:val="auto"/>
                <w:szCs w:val="21"/>
              </w:rPr>
              <w:t>②</w:t>
            </w:r>
            <w:r>
              <w:rPr>
                <w:rFonts w:ascii="Times New Roman" w:hAnsi="Times New Roman"/>
                <w:color w:val="auto"/>
                <w:szCs w:val="21"/>
              </w:rPr>
              <w:t>建筑垃圾：定期送至当地主管部门指定地点集中处置</w:t>
            </w:r>
            <w:r>
              <w:rPr>
                <w:rFonts w:hint="eastAsia" w:ascii="Times New Roman" w:hAnsi="Times New Roman"/>
                <w:color w:val="auto"/>
                <w:szCs w:val="21"/>
              </w:rPr>
              <w:t>；</w:t>
            </w:r>
          </w:p>
          <w:p>
            <w:pPr>
              <w:spacing w:line="280" w:lineRule="exact"/>
              <w:contextualSpacing/>
              <w:jc w:val="both"/>
              <w:rPr>
                <w:rFonts w:ascii="Times New Roman" w:hAnsi="Times New Roman"/>
                <w:color w:val="auto"/>
                <w:szCs w:val="21"/>
              </w:rPr>
            </w:pPr>
            <w:r>
              <w:rPr>
                <w:rFonts w:hint="eastAsia" w:ascii="宋体" w:hAnsi="宋体" w:cs="宋体"/>
                <w:color w:val="auto"/>
                <w:szCs w:val="21"/>
              </w:rPr>
              <w:t>③</w:t>
            </w:r>
            <w:r>
              <w:rPr>
                <w:rFonts w:ascii="Times New Roman" w:hAnsi="Times New Roman"/>
                <w:color w:val="auto"/>
                <w:szCs w:val="21"/>
              </w:rPr>
              <w:t>废机油、沾油废物用</w:t>
            </w:r>
          </w:p>
          <w:p>
            <w:pPr>
              <w:spacing w:line="280" w:lineRule="exact"/>
              <w:contextualSpacing/>
              <w:jc w:val="both"/>
              <w:rPr>
                <w:rFonts w:ascii="Times New Roman" w:hAnsi="Times New Roman"/>
                <w:color w:val="auto"/>
                <w:szCs w:val="21"/>
              </w:rPr>
            </w:pPr>
            <w:r>
              <w:rPr>
                <w:rFonts w:ascii="Times New Roman" w:hAnsi="Times New Roman"/>
                <w:color w:val="auto"/>
                <w:szCs w:val="21"/>
              </w:rPr>
              <w:t>密闭铁桶收集后，交</w:t>
            </w:r>
            <w:r>
              <w:rPr>
                <w:rFonts w:hint="eastAsia" w:ascii="Times New Roman" w:hAnsi="Times New Roman"/>
                <w:color w:val="auto"/>
                <w:szCs w:val="21"/>
              </w:rPr>
              <w:t>有危废处置资质的单位</w:t>
            </w:r>
            <w:r>
              <w:rPr>
                <w:rFonts w:ascii="Times New Roman" w:hAnsi="Times New Roman"/>
                <w:color w:val="auto"/>
                <w:szCs w:val="21"/>
              </w:rPr>
              <w:t>转运、处置。</w:t>
            </w:r>
          </w:p>
        </w:tc>
        <w:tc>
          <w:tcPr>
            <w:tcW w:w="1165" w:type="pct"/>
            <w:vAlign w:val="center"/>
          </w:tcPr>
          <w:p>
            <w:pPr>
              <w:spacing w:line="280" w:lineRule="exact"/>
              <w:contextualSpacing/>
              <w:jc w:val="both"/>
              <w:rPr>
                <w:rFonts w:ascii="Times New Roman" w:hAnsi="Times New Roman"/>
                <w:color w:val="auto"/>
              </w:rPr>
            </w:pPr>
            <w:r>
              <w:rPr>
                <w:rFonts w:hint="eastAsia" w:ascii="宋体" w:hAnsi="宋体" w:cs="宋体"/>
                <w:color w:val="auto"/>
              </w:rPr>
              <w:t>①</w:t>
            </w:r>
            <w:r>
              <w:rPr>
                <w:rFonts w:ascii="Times New Roman" w:hAnsi="Times New Roman"/>
                <w:color w:val="auto"/>
              </w:rPr>
              <w:t>查阅钻井岩屑处置协议。</w:t>
            </w:r>
            <w:r>
              <w:rPr>
                <w:rFonts w:hint="eastAsia" w:ascii="宋体" w:hAnsi="宋体" w:cs="宋体"/>
                <w:color w:val="auto"/>
              </w:rPr>
              <w:t>②</w:t>
            </w:r>
            <w:r>
              <w:rPr>
                <w:rFonts w:ascii="Times New Roman" w:hAnsi="Times New Roman"/>
                <w:color w:val="auto"/>
              </w:rPr>
              <w:t>查阅建筑垃圾清运协议。</w:t>
            </w:r>
            <w:r>
              <w:rPr>
                <w:rFonts w:hint="eastAsia" w:ascii="宋体" w:hAnsi="宋体" w:cs="宋体"/>
                <w:color w:val="auto"/>
                <w:szCs w:val="21"/>
              </w:rPr>
              <w:t>③</w:t>
            </w:r>
            <w:r>
              <w:rPr>
                <w:rFonts w:ascii="Times New Roman" w:hAnsi="Times New Roman"/>
                <w:color w:val="auto"/>
                <w:szCs w:val="21"/>
              </w:rPr>
              <w:t>危险废物转运联单</w:t>
            </w:r>
            <w:r>
              <w:rPr>
                <w:rFonts w:ascii="Times New Roman" w:hAnsi="Times New Roman"/>
                <w:color w:val="auto"/>
              </w:rPr>
              <w:t>。</w:t>
            </w:r>
          </w:p>
          <w:p>
            <w:pPr>
              <w:spacing w:line="280" w:lineRule="exact"/>
              <w:contextualSpacing/>
              <w:jc w:val="both"/>
              <w:rPr>
                <w:rFonts w:ascii="Times New Roman" w:hAnsi="Times New Roman"/>
                <w:color w:val="auto"/>
              </w:rPr>
            </w:pPr>
            <w:r>
              <w:rPr>
                <w:rFonts w:ascii="Times New Roman" w:hAnsi="Times New Roman"/>
                <w:color w:val="auto"/>
              </w:rPr>
              <w:fldChar w:fldCharType="begin"/>
            </w:r>
            <w:r>
              <w:rPr>
                <w:rFonts w:ascii="Times New Roman" w:hAnsi="Times New Roman"/>
                <w:color w:val="auto"/>
              </w:rPr>
              <w:instrText xml:space="preserve"> </w:instrText>
            </w:r>
            <w:r>
              <w:rPr>
                <w:rFonts w:hint="eastAsia" w:ascii="Times New Roman" w:hAnsi="Times New Roman"/>
                <w:color w:val="auto"/>
              </w:rPr>
              <w:instrText xml:space="preserve">= 4 \* GB3</w:instrText>
            </w:r>
            <w:r>
              <w:rPr>
                <w:rFonts w:ascii="Times New Roman" w:hAnsi="Times New Roman"/>
                <w:color w:val="auto"/>
              </w:rPr>
              <w:instrText xml:space="preserve"> </w:instrText>
            </w:r>
            <w:r>
              <w:rPr>
                <w:rFonts w:ascii="Times New Roman" w:hAnsi="Times New Roman"/>
                <w:color w:val="auto"/>
              </w:rPr>
              <w:fldChar w:fldCharType="separate"/>
            </w:r>
            <w:r>
              <w:rPr>
                <w:rFonts w:hint="eastAsia" w:ascii="Times New Roman" w:hAnsi="Times New Roman"/>
                <w:color w:val="auto"/>
              </w:rPr>
              <w:t>④</w:t>
            </w:r>
            <w:r>
              <w:rPr>
                <w:rFonts w:ascii="Times New Roman" w:hAnsi="Times New Roman"/>
                <w:color w:val="auto"/>
              </w:rPr>
              <w:fldChar w:fldCharType="end"/>
            </w:r>
            <w:r>
              <w:rPr>
                <w:rFonts w:hint="eastAsia" w:ascii="Times New Roman" w:hAnsi="Times New Roman"/>
                <w:color w:val="auto"/>
              </w:rPr>
              <w:t>满足《油气田钻井固体废物综合利用污染控制要求》</w:t>
            </w:r>
          </w:p>
          <w:p>
            <w:pPr>
              <w:spacing w:line="280" w:lineRule="exact"/>
              <w:contextualSpacing/>
              <w:jc w:val="both"/>
              <w:rPr>
                <w:rFonts w:ascii="Times New Roman" w:hAnsi="Times New Roman"/>
                <w:color w:val="auto"/>
              </w:rPr>
            </w:pPr>
            <w:r>
              <w:rPr>
                <w:rFonts w:ascii="Times New Roman" w:hAnsi="Times New Roman"/>
                <w:color w:val="auto"/>
              </w:rPr>
              <w:t>(DB65/T3997</w:t>
            </w:r>
            <w:r>
              <w:rPr>
                <w:rFonts w:hint="eastAsia" w:ascii="Times New Roman" w:hAnsi="Times New Roman"/>
                <w:color w:val="auto"/>
              </w:rPr>
              <w:t>-2017)表1综合利用污染限值的要求；H</w:t>
            </w:r>
            <w:r>
              <w:rPr>
                <w:rFonts w:ascii="Times New Roman" w:hAnsi="Times New Roman"/>
                <w:color w:val="auto"/>
              </w:rPr>
              <w:t>W08(071-001-08)危险废物交由新疆锦恒利废矿物油处置</w:t>
            </w:r>
          </w:p>
        </w:tc>
        <w:tc>
          <w:tcPr>
            <w:tcW w:w="988" w:type="pct"/>
            <w:vAlign w:val="center"/>
          </w:tcPr>
          <w:p>
            <w:pPr>
              <w:spacing w:line="280" w:lineRule="exact"/>
              <w:contextualSpacing/>
              <w:jc w:val="both"/>
              <w:rPr>
                <w:rFonts w:ascii="Times New Roman" w:hAnsi="Times New Roman"/>
                <w:color w:val="auto"/>
              </w:rPr>
            </w:pPr>
            <w:r>
              <w:rPr>
                <w:rFonts w:ascii="Times New Roman" w:hAnsi="Times New Roman"/>
                <w:color w:val="auto"/>
              </w:rPr>
              <w:t>正常工况下，运营期井场无固废产生。</w:t>
            </w:r>
          </w:p>
          <w:p>
            <w:pPr>
              <w:autoSpaceDE w:val="0"/>
              <w:autoSpaceDN w:val="0"/>
              <w:adjustRightInd w:val="0"/>
              <w:jc w:val="both"/>
              <w:rPr>
                <w:rFonts w:ascii="Times New Roman" w:hAnsi="Times New Roman"/>
                <w:color w:val="auto"/>
                <w:kern w:val="0"/>
                <w:szCs w:val="21"/>
              </w:rPr>
            </w:pPr>
            <w:r>
              <w:rPr>
                <w:rFonts w:ascii="Times New Roman" w:hAnsi="Times New Roman"/>
                <w:color w:val="auto"/>
              </w:rPr>
              <w:fldChar w:fldCharType="begin"/>
            </w:r>
            <w:r>
              <w:rPr>
                <w:rFonts w:ascii="Times New Roman" w:hAnsi="Times New Roman"/>
                <w:color w:val="auto"/>
              </w:rPr>
              <w:instrText xml:space="preserve"> = 1 \* GB3 </w:instrText>
            </w:r>
            <w:r>
              <w:rPr>
                <w:rFonts w:ascii="Times New Roman" w:hAnsi="Times New Roman"/>
                <w:color w:val="auto"/>
              </w:rPr>
              <w:fldChar w:fldCharType="separate"/>
            </w:r>
            <w:r>
              <w:rPr>
                <w:rFonts w:hint="eastAsia" w:ascii="宋体" w:hAnsi="宋体" w:cs="宋体"/>
                <w:color w:val="auto"/>
              </w:rPr>
              <w:t>①</w:t>
            </w:r>
            <w:r>
              <w:rPr>
                <w:rFonts w:ascii="Times New Roman" w:hAnsi="Times New Roman"/>
                <w:color w:val="auto"/>
              </w:rPr>
              <w:fldChar w:fldCharType="end"/>
            </w:r>
            <w:r>
              <w:rPr>
                <w:rFonts w:ascii="Times New Roman" w:hAnsi="Times New Roman"/>
                <w:color w:val="auto"/>
              </w:rPr>
              <w:t>油泥（砂）交新疆锦恒利废矿物油处置有限公司</w:t>
            </w:r>
            <w:r>
              <w:rPr>
                <w:rFonts w:ascii="Times New Roman" w:hAnsi="Times New Roman"/>
                <w:color w:val="auto"/>
                <w:kern w:val="0"/>
                <w:szCs w:val="21"/>
              </w:rPr>
              <w:t>处置。</w:t>
            </w:r>
            <w:r>
              <w:rPr>
                <w:rFonts w:ascii="Times New Roman" w:hAnsi="Times New Roman"/>
                <w:color w:val="auto"/>
              </w:rPr>
              <w:t>井下作业时要求带罐作业，</w:t>
            </w:r>
            <w:r>
              <w:rPr>
                <w:rFonts w:ascii="Times New Roman" w:hAnsi="Times New Roman"/>
                <w:color w:val="auto"/>
                <w:lang w:val="zh-CN"/>
              </w:rPr>
              <w:t>井口采用箱式清洁作业平台防止产生落地油，井口排出物全部进罐，</w:t>
            </w:r>
            <w:r>
              <w:rPr>
                <w:rFonts w:ascii="Times New Roman" w:hAnsi="Times New Roman"/>
                <w:color w:val="auto"/>
              </w:rPr>
              <w:t>做到原油100%回收。</w:t>
            </w:r>
            <w:r>
              <w:rPr>
                <w:rFonts w:hint="eastAsia" w:ascii="宋体" w:hAnsi="宋体" w:cs="宋体"/>
                <w:color w:val="auto"/>
                <w:kern w:val="0"/>
                <w:szCs w:val="21"/>
              </w:rPr>
              <w:t>②</w:t>
            </w:r>
            <w:r>
              <w:rPr>
                <w:rFonts w:ascii="Times New Roman" w:hAnsi="Times New Roman"/>
                <w:color w:val="auto"/>
                <w:kern w:val="0"/>
                <w:szCs w:val="21"/>
              </w:rPr>
              <w:t>事故状态下产生的含油污泥由有相应危险废物处理资质的单位回收、处置。</w:t>
            </w:r>
          </w:p>
        </w:tc>
        <w:tc>
          <w:tcPr>
            <w:tcW w:w="816"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fldChar w:fldCharType="begin"/>
            </w:r>
            <w:r>
              <w:rPr>
                <w:rFonts w:ascii="Times New Roman" w:hAnsi="Times New Roman"/>
                <w:color w:val="auto"/>
                <w:szCs w:val="21"/>
              </w:rPr>
              <w:instrText xml:space="preserve"> </w:instrText>
            </w:r>
            <w:r>
              <w:rPr>
                <w:rFonts w:hint="eastAsia" w:ascii="Times New Roman" w:hAnsi="Times New Roman"/>
                <w:color w:val="auto"/>
                <w:szCs w:val="21"/>
              </w:rPr>
              <w:instrText xml:space="preserve">= 1 \* GB3</w:instrText>
            </w:r>
            <w:r>
              <w:rPr>
                <w:rFonts w:ascii="Times New Roman" w:hAnsi="Times New Roman"/>
                <w:color w:val="auto"/>
                <w:szCs w:val="21"/>
              </w:rPr>
              <w:instrText xml:space="preserve"> </w:instrText>
            </w:r>
            <w:r>
              <w:rPr>
                <w:rFonts w:ascii="Times New Roman" w:hAnsi="Times New Roman"/>
                <w:color w:val="auto"/>
                <w:szCs w:val="21"/>
              </w:rPr>
              <w:fldChar w:fldCharType="separate"/>
            </w:r>
            <w:r>
              <w:rPr>
                <w:rFonts w:hint="eastAsia" w:ascii="Times New Roman" w:hAnsi="Times New Roman"/>
                <w:color w:val="auto"/>
                <w:szCs w:val="21"/>
              </w:rPr>
              <w:t>①</w:t>
            </w:r>
            <w:r>
              <w:rPr>
                <w:rFonts w:ascii="Times New Roman" w:hAnsi="Times New Roman"/>
                <w:color w:val="auto"/>
                <w:szCs w:val="21"/>
              </w:rPr>
              <w:fldChar w:fldCharType="end"/>
            </w:r>
            <w:r>
              <w:rPr>
                <w:rFonts w:ascii="Times New Roman" w:hAnsi="Times New Roman"/>
                <w:color w:val="auto"/>
                <w:szCs w:val="21"/>
              </w:rPr>
              <w:t>查阅危废处置情况；调查是否有事故发生，查阅事故状态下危废处置情况</w:t>
            </w:r>
            <w:r>
              <w:rPr>
                <w:rFonts w:hint="eastAsia" w:ascii="Times New Roman" w:hAnsi="Times New Roman"/>
                <w:color w:val="auto"/>
                <w:szCs w:val="21"/>
              </w:rPr>
              <w:t>。</w:t>
            </w:r>
          </w:p>
          <w:p>
            <w:pPr>
              <w:pStyle w:val="3"/>
              <w:spacing w:before="0" w:after="0" w:line="280" w:lineRule="exact"/>
              <w:rPr>
                <w:rFonts w:ascii="Times New Roman" w:hAnsi="Times New Roman"/>
                <w:b w:val="0"/>
                <w:bCs w:val="0"/>
                <w:color w:val="auto"/>
                <w:sz w:val="21"/>
                <w:szCs w:val="21"/>
              </w:rPr>
            </w:pPr>
            <w:r>
              <w:rPr>
                <w:rFonts w:ascii="Times New Roman" w:hAnsi="Times New Roman"/>
                <w:b w:val="0"/>
                <w:bCs w:val="0"/>
                <w:color w:val="auto"/>
                <w:sz w:val="21"/>
                <w:szCs w:val="21"/>
              </w:rPr>
              <w:fldChar w:fldCharType="begin"/>
            </w:r>
            <w:r>
              <w:rPr>
                <w:rFonts w:ascii="Times New Roman" w:hAnsi="Times New Roman"/>
                <w:b w:val="0"/>
                <w:bCs w:val="0"/>
                <w:color w:val="auto"/>
                <w:sz w:val="21"/>
                <w:szCs w:val="21"/>
              </w:rPr>
              <w:instrText xml:space="preserve"> </w:instrText>
            </w:r>
            <w:r>
              <w:rPr>
                <w:rFonts w:hint="eastAsia" w:ascii="Times New Roman" w:hAnsi="Times New Roman"/>
                <w:b w:val="0"/>
                <w:bCs w:val="0"/>
                <w:color w:val="auto"/>
                <w:sz w:val="21"/>
                <w:szCs w:val="21"/>
              </w:rPr>
              <w:instrText xml:space="preserve">= 2 \* GB3</w:instrText>
            </w:r>
            <w:r>
              <w:rPr>
                <w:rFonts w:ascii="Times New Roman" w:hAnsi="Times New Roman"/>
                <w:b w:val="0"/>
                <w:bCs w:val="0"/>
                <w:color w:val="auto"/>
                <w:sz w:val="21"/>
                <w:szCs w:val="21"/>
              </w:rPr>
              <w:instrText xml:space="preserve"> </w:instrText>
            </w:r>
            <w:r>
              <w:rPr>
                <w:rFonts w:ascii="Times New Roman" w:hAnsi="Times New Roman"/>
                <w:b w:val="0"/>
                <w:bCs w:val="0"/>
                <w:color w:val="auto"/>
                <w:sz w:val="21"/>
                <w:szCs w:val="21"/>
              </w:rPr>
              <w:fldChar w:fldCharType="separate"/>
            </w:r>
            <w:r>
              <w:rPr>
                <w:rFonts w:hint="eastAsia" w:ascii="Times New Roman" w:hAnsi="Times New Roman"/>
                <w:b w:val="0"/>
                <w:bCs w:val="0"/>
                <w:color w:val="auto"/>
                <w:sz w:val="21"/>
                <w:szCs w:val="21"/>
              </w:rPr>
              <w:t>②</w:t>
            </w:r>
            <w:r>
              <w:rPr>
                <w:rFonts w:ascii="Times New Roman" w:hAnsi="Times New Roman"/>
                <w:b w:val="0"/>
                <w:bCs w:val="0"/>
                <w:color w:val="auto"/>
                <w:sz w:val="21"/>
                <w:szCs w:val="21"/>
              </w:rPr>
              <w:fldChar w:fldCharType="end"/>
            </w:r>
            <w:r>
              <w:rPr>
                <w:rFonts w:hint="eastAsia" w:ascii="Times New Roman" w:hAnsi="Times New Roman"/>
                <w:b w:val="0"/>
                <w:bCs w:val="0"/>
                <w:color w:val="auto"/>
                <w:sz w:val="21"/>
                <w:szCs w:val="21"/>
              </w:rPr>
              <w:t>危险废物贮存执行《危险废物贮存污染控制标准（GB18597-2001）及其修改单相关规定；井场、管线等区域是否有落地原油。</w:t>
            </w:r>
          </w:p>
          <w:p>
            <w:pPr>
              <w:pStyle w:val="3"/>
              <w:spacing w:before="0" w:after="0" w:line="280" w:lineRule="exact"/>
              <w:rPr>
                <w:rFonts w:ascii="Times New Roman" w:hAnsi="Times New Roman"/>
                <w:b w:val="0"/>
                <w:bCs w:val="0"/>
                <w:color w:val="auto"/>
                <w:sz w:val="21"/>
                <w:szCs w:val="21"/>
              </w:rPr>
            </w:pPr>
            <w:r>
              <w:rPr>
                <w:rFonts w:ascii="Times New Roman" w:hAnsi="Times New Roman"/>
                <w:b w:val="0"/>
                <w:bCs w:val="0"/>
                <w:color w:val="auto"/>
                <w:sz w:val="21"/>
                <w:szCs w:val="21"/>
              </w:rPr>
              <w:fldChar w:fldCharType="begin"/>
            </w:r>
            <w:r>
              <w:rPr>
                <w:rFonts w:ascii="Times New Roman" w:hAnsi="Times New Roman"/>
                <w:b w:val="0"/>
                <w:bCs w:val="0"/>
                <w:color w:val="auto"/>
                <w:sz w:val="21"/>
                <w:szCs w:val="21"/>
              </w:rPr>
              <w:instrText xml:space="preserve"> </w:instrText>
            </w:r>
            <w:r>
              <w:rPr>
                <w:rFonts w:hint="eastAsia" w:ascii="Times New Roman" w:hAnsi="Times New Roman"/>
                <w:b w:val="0"/>
                <w:bCs w:val="0"/>
                <w:color w:val="auto"/>
                <w:sz w:val="21"/>
                <w:szCs w:val="21"/>
              </w:rPr>
              <w:instrText xml:space="preserve">= 3 \* GB3</w:instrText>
            </w:r>
            <w:r>
              <w:rPr>
                <w:rFonts w:ascii="Times New Roman" w:hAnsi="Times New Roman"/>
                <w:b w:val="0"/>
                <w:bCs w:val="0"/>
                <w:color w:val="auto"/>
                <w:sz w:val="21"/>
                <w:szCs w:val="21"/>
              </w:rPr>
              <w:instrText xml:space="preserve"> </w:instrText>
            </w:r>
            <w:r>
              <w:rPr>
                <w:rFonts w:ascii="Times New Roman" w:hAnsi="Times New Roman"/>
                <w:b w:val="0"/>
                <w:bCs w:val="0"/>
                <w:color w:val="auto"/>
                <w:sz w:val="21"/>
                <w:szCs w:val="21"/>
              </w:rPr>
              <w:fldChar w:fldCharType="separate"/>
            </w:r>
            <w:r>
              <w:rPr>
                <w:rFonts w:hint="eastAsia" w:ascii="Times New Roman" w:hAnsi="Times New Roman"/>
                <w:b w:val="0"/>
                <w:bCs w:val="0"/>
                <w:color w:val="auto"/>
                <w:sz w:val="21"/>
                <w:szCs w:val="21"/>
              </w:rPr>
              <w:t>③</w:t>
            </w:r>
            <w:r>
              <w:rPr>
                <w:rFonts w:ascii="Times New Roman" w:hAnsi="Times New Roman"/>
                <w:b w:val="0"/>
                <w:bCs w:val="0"/>
                <w:color w:val="auto"/>
                <w:sz w:val="21"/>
                <w:szCs w:val="21"/>
              </w:rPr>
              <w:fldChar w:fldCharType="end"/>
            </w:r>
            <w:r>
              <w:rPr>
                <w:rFonts w:ascii="Times New Roman" w:hAnsi="Times New Roman"/>
                <w:b w:val="0"/>
                <w:bCs w:val="0"/>
                <w:color w:val="auto"/>
                <w:sz w:val="21"/>
                <w:szCs w:val="21"/>
              </w:rPr>
              <w:t>《危险废物转移管理办法》，实施危险废物转移管理制度。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电磁环境</w:t>
            </w:r>
          </w:p>
        </w:tc>
        <w:tc>
          <w:tcPr>
            <w:tcW w:w="1334"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w:t>
            </w:r>
          </w:p>
        </w:tc>
        <w:tc>
          <w:tcPr>
            <w:tcW w:w="1165"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w:t>
            </w:r>
          </w:p>
        </w:tc>
        <w:tc>
          <w:tcPr>
            <w:tcW w:w="988"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w:t>
            </w:r>
          </w:p>
        </w:tc>
        <w:tc>
          <w:tcPr>
            <w:tcW w:w="816"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Align w:val="center"/>
          </w:tcPr>
          <w:p>
            <w:pPr>
              <w:spacing w:line="280" w:lineRule="exact"/>
              <w:contextualSpacing/>
              <w:jc w:val="both"/>
              <w:rPr>
                <w:rFonts w:ascii="Times New Roman" w:hAnsi="Times New Roman"/>
                <w:color w:val="auto"/>
                <w:szCs w:val="21"/>
              </w:rPr>
            </w:pPr>
            <w:bookmarkStart w:id="39" w:name="_Hlk67994875"/>
            <w:r>
              <w:rPr>
                <w:rFonts w:ascii="Times New Roman" w:hAnsi="Times New Roman"/>
                <w:color w:val="auto"/>
                <w:szCs w:val="21"/>
              </w:rPr>
              <w:t>环境风险</w:t>
            </w:r>
          </w:p>
        </w:tc>
        <w:tc>
          <w:tcPr>
            <w:tcW w:w="1334"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在井口安装防喷器和控制装置，杜绝井喷的发生。定期检查固井质量发现固井质量不合格，及时采取措施，保证固井质量合格；管线敷设前，应加强对管材和焊接质量的检查，严禁使用不合格产品。对焊接质量严格检验。</w:t>
            </w:r>
          </w:p>
        </w:tc>
        <w:tc>
          <w:tcPr>
            <w:tcW w:w="1165"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调查了解施工期环境风险事故发生情况及应急处置情况。防止井喷，检查《井喷及井喷失控应急预案》的制定及应急演练的开展情况。</w:t>
            </w:r>
          </w:p>
        </w:tc>
        <w:tc>
          <w:tcPr>
            <w:tcW w:w="988" w:type="pct"/>
            <w:vAlign w:val="center"/>
          </w:tcPr>
          <w:p>
            <w:pPr>
              <w:pStyle w:val="48"/>
              <w:spacing w:line="280" w:lineRule="exact"/>
              <w:ind w:firstLine="0" w:firstLineChars="0"/>
              <w:contextualSpacing/>
              <w:jc w:val="both"/>
              <w:rPr>
                <w:rFonts w:ascii="Times New Roman" w:hAnsi="Times New Roman"/>
                <w:color w:val="auto"/>
                <w:kern w:val="0"/>
                <w:sz w:val="21"/>
                <w:szCs w:val="21"/>
              </w:rPr>
            </w:pPr>
            <w:r>
              <w:rPr>
                <w:rFonts w:ascii="Times New Roman" w:hAnsi="Times New Roman"/>
                <w:color w:val="auto"/>
                <w:kern w:val="0"/>
                <w:sz w:val="21"/>
                <w:szCs w:val="21"/>
              </w:rPr>
              <w:t>定期对管线进行超声波检查。井下作业时要求带罐操作。井场设置明显的禁止烟火标志。在井场路口等处设置风向标；井场配备消防沙箱等其它消防器材。</w:t>
            </w:r>
          </w:p>
          <w:p>
            <w:pPr>
              <w:spacing w:line="280" w:lineRule="exact"/>
              <w:contextualSpacing/>
              <w:jc w:val="both"/>
              <w:rPr>
                <w:rFonts w:ascii="Times New Roman" w:hAnsi="Times New Roman"/>
                <w:color w:val="auto"/>
                <w:szCs w:val="21"/>
              </w:rPr>
            </w:pPr>
            <w:r>
              <w:rPr>
                <w:rFonts w:ascii="Times New Roman" w:hAnsi="Times New Roman"/>
                <w:color w:val="auto"/>
              </w:rPr>
              <w:t>事故状态下原油落地后，上层能收集的</w:t>
            </w:r>
            <w:r>
              <w:rPr>
                <w:rFonts w:ascii="Times New Roman" w:hAnsi="Times New Roman"/>
                <w:color w:val="auto"/>
                <w:szCs w:val="21"/>
                <w:lang w:bidi="ar"/>
              </w:rPr>
              <w:t>原油</w:t>
            </w:r>
            <w:r>
              <w:rPr>
                <w:rFonts w:ascii="Times New Roman" w:hAnsi="Times New Roman"/>
                <w:color w:val="auto"/>
              </w:rPr>
              <w:t>回收送至</w:t>
            </w:r>
            <w:r>
              <w:rPr>
                <w:rFonts w:ascii="Times New Roman" w:hAnsi="Times New Roman"/>
                <w:color w:val="auto"/>
                <w:kern w:val="0"/>
                <w:szCs w:val="21"/>
              </w:rPr>
              <w:t>春光联合站原</w:t>
            </w:r>
            <w:r>
              <w:rPr>
                <w:rFonts w:ascii="Times New Roman" w:hAnsi="Times New Roman"/>
                <w:color w:val="auto"/>
              </w:rPr>
              <w:t>油处理系统处理，受浸染的土壤等含油污泥交由具有相应危险废物处置资质的单位进行回收、处置。</w:t>
            </w:r>
          </w:p>
        </w:tc>
        <w:tc>
          <w:tcPr>
            <w:tcW w:w="816"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将项目实施区域纳入</w:t>
            </w:r>
            <w:r>
              <w:rPr>
                <w:rFonts w:hint="eastAsia" w:ascii="Times New Roman" w:hAnsi="Times New Roman"/>
                <w:color w:val="auto"/>
                <w:szCs w:val="21"/>
              </w:rPr>
              <w:t>春光油田</w:t>
            </w:r>
            <w:r>
              <w:rPr>
                <w:rFonts w:ascii="Times New Roman" w:hAnsi="Times New Roman"/>
                <w:color w:val="auto"/>
                <w:szCs w:val="21"/>
              </w:rPr>
              <w:t>突发环境污染事件应急预案，从而对环境风险进行有效防治。</w:t>
            </w:r>
          </w:p>
        </w:tc>
      </w:tr>
      <w:bookmarkEnd w:id="3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环境监测</w:t>
            </w:r>
          </w:p>
        </w:tc>
        <w:tc>
          <w:tcPr>
            <w:tcW w:w="1334"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c>
          <w:tcPr>
            <w:tcW w:w="1165" w:type="pct"/>
            <w:vAlign w:val="center"/>
          </w:tcPr>
          <w:p>
            <w:pPr>
              <w:spacing w:line="280" w:lineRule="exact"/>
              <w:contextualSpacing/>
              <w:jc w:val="center"/>
              <w:rPr>
                <w:rFonts w:ascii="Times New Roman" w:hAnsi="Times New Roman"/>
                <w:color w:val="auto"/>
                <w:szCs w:val="21"/>
              </w:rPr>
            </w:pPr>
            <w:r>
              <w:rPr>
                <w:rFonts w:ascii="Times New Roman" w:hAnsi="Times New Roman"/>
                <w:color w:val="auto"/>
                <w:szCs w:val="21"/>
              </w:rPr>
              <w:t>/</w:t>
            </w:r>
          </w:p>
        </w:tc>
        <w:tc>
          <w:tcPr>
            <w:tcW w:w="988"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根据《排污单位自行监测技术指南 总则》（HJ819-2017）制定运营期环境监测计划，对项目区环境质量现状和新增污染源进行监测，具体见前文表</w:t>
            </w:r>
            <w:r>
              <w:rPr>
                <w:rFonts w:hint="eastAsia" w:ascii="Times New Roman" w:hAnsi="Times New Roman"/>
                <w:color w:val="auto"/>
                <w:szCs w:val="21"/>
              </w:rPr>
              <w:t>5-1</w:t>
            </w:r>
            <w:r>
              <w:rPr>
                <w:rFonts w:ascii="Times New Roman" w:hAnsi="Times New Roman"/>
                <w:color w:val="auto"/>
                <w:szCs w:val="21"/>
              </w:rPr>
              <w:t>。</w:t>
            </w:r>
          </w:p>
        </w:tc>
        <w:tc>
          <w:tcPr>
            <w:tcW w:w="816" w:type="pct"/>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竣工验收后开始进行例行监测</w:t>
            </w:r>
            <w:r>
              <w:rPr>
                <w:rFonts w:hint="eastAsia" w:ascii="Times New Roman" w:hAnsi="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4" w:type="pct"/>
            <w:vAlign w:val="center"/>
          </w:tcPr>
          <w:p>
            <w:pPr>
              <w:spacing w:line="280" w:lineRule="exact"/>
              <w:contextualSpacing/>
              <w:jc w:val="center"/>
              <w:rPr>
                <w:rFonts w:ascii="Times New Roman" w:hAnsi="Times New Roman"/>
                <w:color w:val="auto"/>
                <w:szCs w:val="21"/>
              </w:rPr>
            </w:pPr>
            <w:r>
              <w:rPr>
                <w:rFonts w:hint="eastAsia" w:ascii="Times New Roman" w:hAnsi="Times New Roman"/>
                <w:color w:val="auto"/>
                <w:szCs w:val="21"/>
              </w:rPr>
              <w:t>其他</w:t>
            </w:r>
          </w:p>
        </w:tc>
        <w:tc>
          <w:tcPr>
            <w:tcW w:w="4305" w:type="pct"/>
            <w:gridSpan w:val="4"/>
            <w:vAlign w:val="center"/>
          </w:tcPr>
          <w:p>
            <w:pPr>
              <w:spacing w:line="280" w:lineRule="exact"/>
              <w:contextualSpacing/>
              <w:jc w:val="both"/>
              <w:rPr>
                <w:rFonts w:ascii="Times New Roman" w:hAnsi="Times New Roman"/>
                <w:color w:val="auto"/>
                <w:szCs w:val="21"/>
              </w:rPr>
            </w:pPr>
            <w:r>
              <w:rPr>
                <w:rFonts w:ascii="Times New Roman" w:hAnsi="Times New Roman"/>
                <w:color w:val="auto"/>
                <w:szCs w:val="21"/>
              </w:rPr>
              <w:t>环境管理制度、应急预案是否建立并完善，环保机构及人员是否设置到位；施工期是否有环境监理报告或施工环保检查记录，是否保留必要的影像资料。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94" w:type="pct"/>
            <w:vAlign w:val="center"/>
          </w:tcPr>
          <w:p>
            <w:pPr>
              <w:spacing w:line="280" w:lineRule="exact"/>
              <w:contextualSpacing/>
              <w:jc w:val="center"/>
              <w:rPr>
                <w:rFonts w:ascii="Times New Roman" w:hAnsi="Times New Roman"/>
                <w:color w:val="auto"/>
                <w:szCs w:val="21"/>
              </w:rPr>
            </w:pPr>
            <w:r>
              <w:rPr>
                <w:rFonts w:hint="eastAsia" w:ascii="Times New Roman" w:hAnsi="Times New Roman"/>
                <w:color w:val="auto"/>
                <w:szCs w:val="21"/>
              </w:rPr>
              <w:t>排污许可管理</w:t>
            </w:r>
          </w:p>
        </w:tc>
        <w:tc>
          <w:tcPr>
            <w:tcW w:w="4305" w:type="pct"/>
            <w:gridSpan w:val="4"/>
            <w:vAlign w:val="center"/>
          </w:tcPr>
          <w:p>
            <w:pPr>
              <w:spacing w:line="280" w:lineRule="exact"/>
              <w:contextualSpacing/>
              <w:jc w:val="center"/>
              <w:rPr>
                <w:rFonts w:ascii="Times New Roman" w:hAnsi="Times New Roman"/>
                <w:color w:val="auto"/>
                <w:szCs w:val="21"/>
              </w:rPr>
            </w:pPr>
            <w:r>
              <w:rPr>
                <w:rFonts w:hint="eastAsia" w:ascii="Times New Roman" w:hAnsi="Times New Roman"/>
                <w:color w:val="auto"/>
                <w:szCs w:val="21"/>
              </w:rPr>
              <w:t>登记管理</w:t>
            </w:r>
          </w:p>
        </w:tc>
      </w:tr>
    </w:tbl>
    <w:p>
      <w:pPr>
        <w:pStyle w:val="33"/>
        <w:spacing w:before="0" w:beforeAutospacing="0" w:after="0" w:afterAutospacing="0"/>
        <w:ind w:firstLine="24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br w:type="page"/>
      </w:r>
      <w:r>
        <w:rPr>
          <w:rFonts w:ascii="Times New Roman" w:hAnsi="Times New Roman" w:eastAsia="黑体"/>
          <w:snapToGrid w:val="0"/>
          <w:sz w:val="30"/>
          <w:szCs w:val="30"/>
        </w:rPr>
        <w:t>七、结论</w:t>
      </w:r>
    </w:p>
    <w:tbl>
      <w:tblPr>
        <w:tblStyle w:val="37"/>
        <w:tblW w:w="83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119" w:hRule="atLeast"/>
          <w:jc w:val="center"/>
        </w:trPr>
        <w:tc>
          <w:tcPr>
            <w:tcW w:w="8341" w:type="dxa"/>
          </w:tcPr>
          <w:p>
            <w:pPr>
              <w:pStyle w:val="48"/>
              <w:ind w:firstLine="480"/>
              <w:jc w:val="both"/>
              <w:rPr>
                <w:rFonts w:ascii="Times New Roman" w:hAnsi="Times New Roman"/>
              </w:rPr>
            </w:pPr>
            <w:r>
              <w:rPr>
                <w:rFonts w:ascii="Times New Roman" w:hAnsi="Times New Roman"/>
              </w:rPr>
              <w:t>本项目符合国家有关产业政策，在严格执行已有各项环保政策、规定的基础上，认真落实本报告表中提出的环保措施与建议的前提下，从环境保护角度分析，建设项目环境影响可行。</w:t>
            </w:r>
          </w:p>
          <w:p>
            <w:pPr>
              <w:pStyle w:val="13"/>
              <w:spacing w:before="171" w:line="343" w:lineRule="auto"/>
              <w:ind w:right="85" w:firstLine="148"/>
              <w:rPr>
                <w:rFonts w:ascii="Times New Roman" w:hAnsi="Times New Roman"/>
                <w:szCs w:val="21"/>
              </w:rPr>
            </w:pPr>
          </w:p>
        </w:tc>
      </w:tr>
    </w:tbl>
    <w:p>
      <w:pPr>
        <w:pStyle w:val="217"/>
        <w:spacing w:line="240" w:lineRule="auto"/>
        <w:ind w:firstLine="263"/>
        <w:outlineLvl w:val="0"/>
        <w:rPr>
          <w:rFonts w:ascii="Times New Roman" w:hAnsi="Times New Roman"/>
          <w:sz w:val="24"/>
          <w:szCs w:val="24"/>
        </w:rPr>
      </w:pPr>
      <w:r>
        <w:rPr>
          <w:rFonts w:ascii="Times New Roman" w:hAnsi="Times New Roman" w:eastAsia="黑体"/>
          <w:snapToGrid w:val="0"/>
          <w:sz w:val="32"/>
          <w:szCs w:val="32"/>
        </w:rPr>
        <w:br w:type="page"/>
      </w:r>
      <w:bookmarkStart w:id="40" w:name="_Toc523152304"/>
      <w:bookmarkStart w:id="41" w:name="_Toc517976531"/>
      <w:bookmarkStart w:id="42" w:name="_Toc522046644"/>
      <w:r>
        <w:rPr>
          <w:rFonts w:hint="eastAsia"/>
          <w:sz w:val="24"/>
          <w:szCs w:val="24"/>
        </w:rPr>
        <w:t>地下水专项评价</w:t>
      </w:r>
      <w:bookmarkEnd w:id="40"/>
      <w:bookmarkEnd w:id="41"/>
      <w:bookmarkEnd w:id="42"/>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2" w:hRule="atLeast"/>
        </w:trPr>
        <w:tc>
          <w:tcPr>
            <w:tcW w:w="8522" w:type="dxa"/>
          </w:tcPr>
          <w:p>
            <w:pPr>
              <w:adjustRightInd w:val="0"/>
              <w:snapToGrid w:val="0"/>
              <w:spacing w:line="500" w:lineRule="exact"/>
              <w:ind w:firstLine="482" w:firstLineChars="200"/>
              <w:jc w:val="both"/>
              <w:rPr>
                <w:rFonts w:ascii="Times New Roman" w:hAnsi="Times New Roman"/>
                <w:b/>
                <w:bCs/>
                <w:color w:val="auto"/>
                <w:sz w:val="24"/>
              </w:rPr>
            </w:pPr>
            <w:r>
              <w:rPr>
                <w:rFonts w:ascii="Times New Roman" w:hAnsi="Times New Roman"/>
                <w:b/>
                <w:bCs/>
                <w:color w:val="auto"/>
                <w:sz w:val="24"/>
              </w:rPr>
              <w:t>1</w:t>
            </w:r>
            <w:r>
              <w:rPr>
                <w:rFonts w:hint="eastAsia" w:ascii="Times New Roman" w:hAnsi="Times New Roman"/>
                <w:b/>
                <w:bCs/>
                <w:color w:val="auto"/>
                <w:sz w:val="24"/>
              </w:rPr>
              <w:t>．</w:t>
            </w:r>
            <w:r>
              <w:rPr>
                <w:rFonts w:ascii="Times New Roman" w:hAnsi="Times New Roman"/>
                <w:b/>
                <w:bCs/>
                <w:color w:val="auto"/>
                <w:sz w:val="24"/>
              </w:rPr>
              <w:t>地下水评价等级及评价范围</w:t>
            </w:r>
          </w:p>
          <w:p>
            <w:pPr>
              <w:keepNext/>
              <w:keepLines/>
              <w:adjustRightInd w:val="0"/>
              <w:snapToGrid w:val="0"/>
              <w:spacing w:line="500" w:lineRule="exact"/>
              <w:ind w:firstLine="480" w:firstLineChars="200"/>
              <w:jc w:val="both"/>
              <w:rPr>
                <w:rFonts w:ascii="Times New Roman" w:hAnsi="Times New Roman"/>
                <w:color w:val="auto"/>
                <w:kern w:val="0"/>
                <w:sz w:val="24"/>
              </w:rPr>
            </w:pPr>
            <w:r>
              <w:rPr>
                <w:rFonts w:ascii="Times New Roman" w:hAnsi="Times New Roman"/>
                <w:color w:val="auto"/>
                <w:kern w:val="0"/>
                <w:sz w:val="24"/>
              </w:rPr>
              <w:t>（1）评价等级</w:t>
            </w:r>
          </w:p>
          <w:p>
            <w:pPr>
              <w:pStyle w:val="48"/>
              <w:ind w:firstLine="480"/>
              <w:jc w:val="both"/>
              <w:rPr>
                <w:rFonts w:ascii="Times New Roman" w:hAnsi="Times New Roman"/>
                <w:color w:val="auto"/>
              </w:rPr>
            </w:pPr>
            <w:r>
              <w:rPr>
                <w:rFonts w:ascii="Times New Roman" w:hAnsi="Times New Roman"/>
                <w:color w:val="auto"/>
              </w:rPr>
              <w:t>建设项目地下水环境影响评价工作等级划分的依据见表1。</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表1  建设项目评价工作等级分级表</w:t>
            </w:r>
          </w:p>
          <w:tbl>
            <w:tblPr>
              <w:tblStyle w:val="37"/>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1985"/>
              <w:gridCol w:w="1882"/>
              <w:gridCol w:w="17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05" w:type="dxa"/>
                  <w:tcBorders>
                    <w:tl2br w:val="single" w:color="auto" w:sz="4" w:space="0"/>
                  </w:tcBorders>
                  <w:vAlign w:val="center"/>
                </w:tcPr>
                <w:p>
                  <w:pPr>
                    <w:adjustRightInd w:val="0"/>
                    <w:snapToGrid w:val="0"/>
                    <w:spacing w:line="300" w:lineRule="exact"/>
                    <w:ind w:firstLine="1470" w:firstLineChars="700"/>
                    <w:jc w:val="both"/>
                    <w:rPr>
                      <w:rFonts w:ascii="Times New Roman" w:hAnsi="Times New Roman"/>
                      <w:color w:val="auto"/>
                      <w:szCs w:val="20"/>
                    </w:rPr>
                  </w:pPr>
                  <w:r>
                    <w:rPr>
                      <w:rFonts w:ascii="Times New Roman" w:hAnsi="Times New Roman"/>
                      <w:color w:val="auto"/>
                      <w:szCs w:val="20"/>
                    </w:rPr>
                    <w:t>项目类别</w:t>
                  </w:r>
                </w:p>
                <w:p>
                  <w:pPr>
                    <w:adjustRightInd w:val="0"/>
                    <w:snapToGrid w:val="0"/>
                    <w:spacing w:line="300" w:lineRule="exact"/>
                    <w:jc w:val="both"/>
                    <w:rPr>
                      <w:rFonts w:ascii="Times New Roman" w:hAnsi="Times New Roman"/>
                      <w:color w:val="auto"/>
                      <w:szCs w:val="20"/>
                    </w:rPr>
                  </w:pPr>
                  <w:r>
                    <w:rPr>
                      <w:rFonts w:ascii="Times New Roman" w:hAnsi="Times New Roman"/>
                      <w:color w:val="auto"/>
                      <w:szCs w:val="20"/>
                    </w:rPr>
                    <w:t>环境敏感程度</w:t>
                  </w:r>
                </w:p>
              </w:tc>
              <w:tc>
                <w:tcPr>
                  <w:tcW w:w="2045"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Ⅰ类项目</w:t>
                  </w:r>
                </w:p>
              </w:tc>
              <w:tc>
                <w:tcPr>
                  <w:tcW w:w="1938"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Ⅱ类项目</w:t>
                  </w:r>
                </w:p>
              </w:tc>
              <w:tc>
                <w:tcPr>
                  <w:tcW w:w="1817"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Ⅲ类项目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5"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敏感</w:t>
                  </w:r>
                </w:p>
              </w:tc>
              <w:tc>
                <w:tcPr>
                  <w:tcW w:w="2045"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一</w:t>
                  </w:r>
                </w:p>
              </w:tc>
              <w:tc>
                <w:tcPr>
                  <w:tcW w:w="1938"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一</w:t>
                  </w:r>
                </w:p>
              </w:tc>
              <w:tc>
                <w:tcPr>
                  <w:tcW w:w="1817"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5"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较敏感</w:t>
                  </w:r>
                </w:p>
              </w:tc>
              <w:tc>
                <w:tcPr>
                  <w:tcW w:w="2045"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一</w:t>
                  </w:r>
                </w:p>
              </w:tc>
              <w:tc>
                <w:tcPr>
                  <w:tcW w:w="1938"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二</w:t>
                  </w:r>
                </w:p>
              </w:tc>
              <w:tc>
                <w:tcPr>
                  <w:tcW w:w="1817"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5"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不敏感</w:t>
                  </w:r>
                </w:p>
              </w:tc>
              <w:tc>
                <w:tcPr>
                  <w:tcW w:w="2045"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二</w:t>
                  </w:r>
                </w:p>
              </w:tc>
              <w:tc>
                <w:tcPr>
                  <w:tcW w:w="1938"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三</w:t>
                  </w:r>
                </w:p>
              </w:tc>
              <w:tc>
                <w:tcPr>
                  <w:tcW w:w="1817" w:type="dxa"/>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三</w:t>
                  </w:r>
                </w:p>
              </w:tc>
            </w:tr>
          </w:tbl>
          <w:p>
            <w:pPr>
              <w:pStyle w:val="48"/>
              <w:spacing w:line="360" w:lineRule="auto"/>
              <w:ind w:firstLine="480"/>
              <w:jc w:val="both"/>
              <w:rPr>
                <w:rFonts w:ascii="Times New Roman" w:hAnsi="Times New Roman"/>
                <w:color w:val="auto"/>
              </w:rPr>
            </w:pPr>
            <w:r>
              <w:rPr>
                <w:rFonts w:ascii="Times New Roman" w:hAnsi="Times New Roman"/>
                <w:color w:val="auto"/>
              </w:rPr>
              <w:t>根据《环境影响评价技术导则 地下水环境》（HJ610-2016）中附录A中的规定，本项目为石油开采类，属于I类建设项目。</w:t>
            </w:r>
          </w:p>
          <w:p>
            <w:pPr>
              <w:pStyle w:val="48"/>
              <w:spacing w:line="360" w:lineRule="auto"/>
              <w:ind w:firstLine="480"/>
              <w:jc w:val="both"/>
              <w:rPr>
                <w:rFonts w:ascii="Times New Roman" w:hAnsi="Times New Roman"/>
                <w:color w:val="auto"/>
              </w:rPr>
            </w:pPr>
            <w:r>
              <w:rPr>
                <w:rFonts w:ascii="Times New Roman" w:hAnsi="Times New Roman"/>
                <w:color w:val="auto"/>
              </w:rPr>
              <w:t>本项目所在区域的地下水不属于“集中式饮用水源的准保护区、除集中式饮用水源地以外的国家或地方政府设定的与地下水环境相关的保护区”等敏感区域，也不属于“集中式水源区的准保护区以外的补给径流区、分散式饮用水水源地、特殊地下水资源保护区”等较敏感区域，属于不敏感区域。根据表1及分析结果确定本项目地下水环境影响评价等级为二级。</w:t>
            </w:r>
          </w:p>
          <w:p>
            <w:pPr>
              <w:keepNext/>
              <w:keepLines/>
              <w:adjustRightInd w:val="0"/>
              <w:snapToGrid w:val="0"/>
              <w:spacing w:line="360" w:lineRule="auto"/>
              <w:ind w:firstLine="480" w:firstLineChars="200"/>
              <w:jc w:val="both"/>
              <w:rPr>
                <w:rFonts w:ascii="Times New Roman" w:hAnsi="Times New Roman"/>
                <w:color w:val="auto"/>
                <w:kern w:val="0"/>
                <w:sz w:val="24"/>
              </w:rPr>
            </w:pPr>
            <w:r>
              <w:rPr>
                <w:rFonts w:ascii="Times New Roman" w:hAnsi="Times New Roman"/>
                <w:color w:val="auto"/>
                <w:kern w:val="0"/>
                <w:sz w:val="24"/>
              </w:rPr>
              <w:t>（2）评价范围</w:t>
            </w:r>
          </w:p>
          <w:p>
            <w:pPr>
              <w:pStyle w:val="48"/>
              <w:spacing w:line="360" w:lineRule="auto"/>
              <w:ind w:firstLine="480"/>
              <w:jc w:val="both"/>
              <w:rPr>
                <w:rFonts w:ascii="Times New Roman" w:hAnsi="Times New Roman"/>
                <w:color w:val="auto"/>
              </w:rPr>
            </w:pPr>
            <w:r>
              <w:rPr>
                <w:rFonts w:ascii="Times New Roman" w:hAnsi="Times New Roman"/>
                <w:color w:val="auto"/>
              </w:rPr>
              <w:t>根据《环境影响评价技术导则 地下水环境》（HJ610-2016）中地下水调查评价范围确定方法，本次环评采用查表法确定地下水环境现状调查评价范围，</w:t>
            </w:r>
            <w:r>
              <w:rPr>
                <w:rFonts w:hint="eastAsia" w:ascii="Times New Roman" w:hAnsi="Times New Roman"/>
                <w:color w:val="auto"/>
              </w:rPr>
              <w:t>地下水环境现状调查评价范围参照表</w:t>
            </w:r>
            <w:r>
              <w:rPr>
                <w:rFonts w:ascii="Times New Roman" w:hAnsi="Times New Roman"/>
                <w:color w:val="auto"/>
              </w:rPr>
              <w:t>见表2。</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表2  地下水环境现状调查评价范围参照表</w:t>
            </w:r>
          </w:p>
          <w:tbl>
            <w:tblPr>
              <w:tblStyle w:val="37"/>
              <w:tblW w:w="0" w:type="auto"/>
              <w:tblInd w:w="0"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750"/>
              <w:gridCol w:w="2790"/>
              <w:gridCol w:w="2766"/>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2824" w:type="dxa"/>
                  <w:tcBorders>
                    <w:top w:val="single" w:color="auto" w:sz="12" w:space="0"/>
                    <w:left w:val="nil"/>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评价等级</w:t>
                  </w:r>
                </w:p>
              </w:tc>
              <w:tc>
                <w:tcPr>
                  <w:tcW w:w="2848"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调查评价面积（km</w:t>
                  </w:r>
                  <w:r>
                    <w:rPr>
                      <w:rFonts w:ascii="Times New Roman" w:hAnsi="Times New Roman"/>
                      <w:color w:val="auto"/>
                      <w:szCs w:val="20"/>
                      <w:vertAlign w:val="superscript"/>
                    </w:rPr>
                    <w:t>2</w:t>
                  </w:r>
                  <w:r>
                    <w:rPr>
                      <w:rFonts w:ascii="Times New Roman" w:hAnsi="Times New Roman"/>
                      <w:color w:val="auto"/>
                      <w:szCs w:val="20"/>
                    </w:rPr>
                    <w:t>）</w:t>
                  </w:r>
                </w:p>
              </w:tc>
              <w:tc>
                <w:tcPr>
                  <w:tcW w:w="2833" w:type="dxa"/>
                  <w:tcBorders>
                    <w:top w:val="single" w:color="auto" w:sz="12" w:space="0"/>
                    <w:left w:val="single" w:color="auto" w:sz="4" w:space="0"/>
                    <w:bottom w:val="single" w:color="auto" w:sz="4" w:space="0"/>
                    <w:right w:val="nil"/>
                  </w:tcBorders>
                  <w:tcMar>
                    <w:top w:w="0" w:type="dxa"/>
                    <w:left w:w="108" w:type="dxa"/>
                    <w:bottom w:w="0" w:type="dxa"/>
                    <w:right w:w="108" w:type="dxa"/>
                  </w:tcMar>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备注</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282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一级</w:t>
                  </w:r>
                </w:p>
              </w:tc>
              <w:tc>
                <w:tcPr>
                  <w:tcW w:w="28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≥20</w:t>
                  </w:r>
                </w:p>
              </w:tc>
              <w:tc>
                <w:tcPr>
                  <w:tcW w:w="2833" w:type="dxa"/>
                  <w:vMerge w:val="restart"/>
                  <w:tcBorders>
                    <w:top w:val="single" w:color="auto" w:sz="4" w:space="0"/>
                    <w:left w:val="single" w:color="auto" w:sz="4" w:space="0"/>
                    <w:bottom w:val="single" w:color="auto" w:sz="12" w:space="0"/>
                    <w:right w:val="nil"/>
                  </w:tcBorders>
                  <w:tcMar>
                    <w:top w:w="0" w:type="dxa"/>
                    <w:left w:w="108" w:type="dxa"/>
                    <w:bottom w:w="0" w:type="dxa"/>
                    <w:right w:w="108" w:type="dxa"/>
                  </w:tcMar>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应包括重要的地下水环境保护目标，必要时适当扩大范围</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282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二级</w:t>
                  </w:r>
                </w:p>
              </w:tc>
              <w:tc>
                <w:tcPr>
                  <w:tcW w:w="28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6～20</w:t>
                  </w:r>
                </w:p>
              </w:tc>
              <w:tc>
                <w:tcPr>
                  <w:tcW w:w="2833" w:type="dxa"/>
                  <w:vMerge w:val="continue"/>
                  <w:tcBorders>
                    <w:top w:val="single" w:color="auto" w:sz="4" w:space="0"/>
                    <w:left w:val="single" w:color="auto" w:sz="4" w:space="0"/>
                    <w:bottom w:val="single" w:color="auto" w:sz="12" w:space="0"/>
                    <w:right w:val="nil"/>
                  </w:tcBorders>
                  <w:tcMar>
                    <w:top w:w="0" w:type="dxa"/>
                    <w:left w:w="108" w:type="dxa"/>
                    <w:bottom w:w="0" w:type="dxa"/>
                    <w:right w:w="108" w:type="dxa"/>
                  </w:tcMar>
                  <w:vAlign w:val="center"/>
                </w:tcPr>
                <w:p>
                  <w:pPr>
                    <w:ind w:firstLine="172"/>
                    <w:jc w:val="both"/>
                    <w:rPr>
                      <w:rFonts w:ascii="Times New Roman" w:hAnsi="Times New Roman"/>
                      <w:color w:val="auto"/>
                      <w:szCs w:val="20"/>
                    </w:rPr>
                  </w:pP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4" w:hRule="atLeast"/>
              </w:trPr>
              <w:tc>
                <w:tcPr>
                  <w:tcW w:w="2824" w:type="dxa"/>
                  <w:tcBorders>
                    <w:top w:val="single" w:color="auto" w:sz="4" w:space="0"/>
                    <w:left w:val="nil"/>
                    <w:bottom w:val="single" w:color="auto" w:sz="12"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三级</w:t>
                  </w:r>
                </w:p>
              </w:tc>
              <w:tc>
                <w:tcPr>
                  <w:tcW w:w="2848"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Times New Roman" w:hAnsi="Times New Roman"/>
                      <w:color w:val="auto"/>
                      <w:szCs w:val="20"/>
                    </w:rPr>
                  </w:pPr>
                  <w:r>
                    <w:rPr>
                      <w:rFonts w:ascii="Times New Roman" w:hAnsi="Times New Roman"/>
                      <w:color w:val="auto"/>
                      <w:szCs w:val="20"/>
                    </w:rPr>
                    <w:t>≤6</w:t>
                  </w:r>
                </w:p>
              </w:tc>
              <w:tc>
                <w:tcPr>
                  <w:tcW w:w="2833" w:type="dxa"/>
                  <w:vMerge w:val="continue"/>
                  <w:tcBorders>
                    <w:top w:val="single" w:color="auto" w:sz="4" w:space="0"/>
                    <w:left w:val="single" w:color="auto" w:sz="4" w:space="0"/>
                    <w:bottom w:val="single" w:color="auto" w:sz="12" w:space="0"/>
                    <w:right w:val="nil"/>
                  </w:tcBorders>
                  <w:tcMar>
                    <w:top w:w="0" w:type="dxa"/>
                    <w:left w:w="108" w:type="dxa"/>
                    <w:bottom w:w="0" w:type="dxa"/>
                    <w:right w:w="108" w:type="dxa"/>
                  </w:tcMar>
                  <w:vAlign w:val="center"/>
                </w:tcPr>
                <w:p>
                  <w:pPr>
                    <w:ind w:firstLine="172"/>
                    <w:jc w:val="both"/>
                    <w:rPr>
                      <w:rFonts w:ascii="Times New Roman" w:hAnsi="Times New Roman"/>
                      <w:color w:val="auto"/>
                      <w:szCs w:val="20"/>
                    </w:rPr>
                  </w:pPr>
                </w:p>
              </w:tc>
            </w:tr>
          </w:tbl>
          <w:p>
            <w:pPr>
              <w:adjustRightInd w:val="0"/>
              <w:snapToGrid w:val="0"/>
              <w:spacing w:line="360" w:lineRule="auto"/>
              <w:ind w:firstLine="480" w:firstLineChars="200"/>
              <w:jc w:val="both"/>
              <w:rPr>
                <w:rFonts w:ascii="Times New Roman" w:hAnsi="Times New Roman"/>
                <w:color w:val="auto"/>
                <w:sz w:val="24"/>
                <w:lang w:bidi="ar"/>
              </w:rPr>
            </w:pPr>
            <w:r>
              <w:rPr>
                <w:rFonts w:ascii="Times New Roman" w:hAnsi="Times New Roman"/>
                <w:color w:val="auto"/>
                <w:sz w:val="24"/>
              </w:rPr>
              <w:t>本项目地下水环境影响评价工作等价为二级，因此，</w:t>
            </w:r>
            <w:r>
              <w:rPr>
                <w:rFonts w:ascii="Times New Roman" w:hAnsi="Times New Roman"/>
                <w:color w:val="auto"/>
                <w:sz w:val="24"/>
                <w:lang w:bidi="ar"/>
              </w:rPr>
              <w:t>本次地下水评价范围为6</w:t>
            </w:r>
            <w:r>
              <w:rPr>
                <w:rFonts w:hint="eastAsia" w:ascii="Times New Roman" w:hAnsi="Times New Roman"/>
                <w:color w:val="auto"/>
                <w:sz w:val="24"/>
                <w:lang w:bidi="ar"/>
              </w:rPr>
              <w:t>~</w:t>
            </w:r>
            <w:r>
              <w:rPr>
                <w:rFonts w:ascii="Times New Roman" w:hAnsi="Times New Roman"/>
                <w:color w:val="auto"/>
                <w:sz w:val="24"/>
                <w:lang w:bidi="ar"/>
              </w:rPr>
              <w:t>20km</w:t>
            </w:r>
            <w:r>
              <w:rPr>
                <w:rFonts w:ascii="Times New Roman" w:hAnsi="Times New Roman"/>
                <w:color w:val="auto"/>
                <w:sz w:val="24"/>
                <w:vertAlign w:val="superscript"/>
                <w:lang w:bidi="ar"/>
              </w:rPr>
              <w:t>2</w:t>
            </w:r>
            <w:r>
              <w:rPr>
                <w:rFonts w:ascii="Times New Roman" w:hAnsi="Times New Roman"/>
                <w:color w:val="auto"/>
                <w:sz w:val="24"/>
                <w:lang w:bidi="ar"/>
              </w:rPr>
              <w:t>。</w:t>
            </w:r>
            <w:r>
              <w:rPr>
                <w:rFonts w:hint="eastAsia" w:ascii="Times New Roman" w:hAnsi="Times New Roman"/>
                <w:color w:val="auto"/>
                <w:sz w:val="24"/>
              </w:rPr>
              <w:t>本次地下水评价范围外扩至6km</w:t>
            </w:r>
            <w:r>
              <w:rPr>
                <w:rFonts w:hint="eastAsia" w:ascii="Times New Roman" w:hAnsi="Times New Roman"/>
                <w:color w:val="auto"/>
                <w:sz w:val="24"/>
                <w:vertAlign w:val="superscript"/>
              </w:rPr>
              <w:t>2</w:t>
            </w:r>
            <w:r>
              <w:rPr>
                <w:rFonts w:hint="eastAsia" w:ascii="Times New Roman" w:hAnsi="Times New Roman"/>
                <w:color w:val="auto"/>
                <w:sz w:val="24"/>
              </w:rPr>
              <w:t>，即上游1km，两侧各1km，下游2km的区域。</w:t>
            </w:r>
          </w:p>
          <w:p>
            <w:pPr>
              <w:pStyle w:val="48"/>
              <w:spacing w:line="360" w:lineRule="auto"/>
              <w:ind w:firstLine="480"/>
              <w:jc w:val="both"/>
              <w:rPr>
                <w:color w:val="auto"/>
                <w:lang w:bidi="ar"/>
              </w:rPr>
            </w:pPr>
            <w:r>
              <w:rPr>
                <w:rFonts w:hint="eastAsia"/>
                <w:color w:val="auto"/>
                <w:lang w:bidi="ar"/>
              </w:rPr>
              <w:t>本评价依据《环境影响评价技术导则 地下水环境</w:t>
            </w:r>
            <w:r>
              <w:rPr>
                <w:rFonts w:ascii="Times New Roman" w:hAnsi="Times New Roman"/>
                <w:color w:val="auto"/>
                <w:lang w:bidi="ar"/>
              </w:rPr>
              <w:t>》(HJ610-2016)</w:t>
            </w:r>
            <w:r>
              <w:rPr>
                <w:rFonts w:hint="eastAsia"/>
                <w:color w:val="auto"/>
                <w:lang w:bidi="ar"/>
              </w:rPr>
              <w:t>的相关要求，采用解析法分析预测工程建设对地下水环境的影响，从而有针对性的提出地下水保护和污染防治措施，防止区域地下水污染。</w:t>
            </w:r>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2</w:t>
            </w:r>
            <w:r>
              <w:rPr>
                <w:rFonts w:hint="eastAsia" w:ascii="Times New Roman" w:hAnsi="Times New Roman"/>
                <w:b/>
                <w:bCs/>
                <w:color w:val="auto"/>
                <w:sz w:val="24"/>
              </w:rPr>
              <w:t>．</w:t>
            </w:r>
            <w:r>
              <w:rPr>
                <w:rFonts w:ascii="Times New Roman" w:hAnsi="Times New Roman"/>
                <w:b/>
                <w:bCs/>
                <w:color w:val="auto"/>
                <w:sz w:val="24"/>
              </w:rPr>
              <w:t>地下水环境质量现状及评价</w:t>
            </w:r>
          </w:p>
          <w:p>
            <w:pPr>
              <w:pStyle w:val="48"/>
              <w:adjustRightInd w:val="0"/>
              <w:snapToGrid w:val="0"/>
              <w:spacing w:before="156" w:beforeLines="50" w:line="360" w:lineRule="auto"/>
              <w:ind w:firstLine="480"/>
              <w:jc w:val="both"/>
              <w:rPr>
                <w:rFonts w:ascii="Times New Roman" w:hAnsi="Times New Roman"/>
                <w:color w:val="auto"/>
              </w:rPr>
            </w:pPr>
            <w:r>
              <w:rPr>
                <w:rFonts w:ascii="Times New Roman" w:hAnsi="Times New Roman"/>
                <w:color w:val="auto"/>
              </w:rPr>
              <w:t>（1）数据来源</w:t>
            </w:r>
            <w:r>
              <w:rPr>
                <w:rStyle w:val="42"/>
                <w:rFonts w:hint="eastAsia" w:ascii="Calibri" w:hAnsi="Calibri"/>
                <w:color w:val="auto"/>
                <w:kern w:val="0"/>
                <w:sz w:val="24"/>
              </w:rPr>
              <w:t>和有效性说明</w:t>
            </w:r>
          </w:p>
          <w:p>
            <w:pPr>
              <w:spacing w:line="360" w:lineRule="auto"/>
              <w:ind w:firstLine="480" w:firstLineChars="200"/>
              <w:jc w:val="both"/>
              <w:rPr>
                <w:rFonts w:ascii="Times New Roman" w:hAnsi="Times New Roman"/>
                <w:color w:val="auto"/>
              </w:rPr>
            </w:pPr>
            <w:r>
              <w:rPr>
                <w:rFonts w:hint="eastAsia" w:ascii="宋体" w:hAnsi="宋体" w:cs="宋体"/>
                <w:color w:val="auto"/>
                <w:kern w:val="0"/>
                <w:sz w:val="24"/>
                <w:lang w:bidi="ar"/>
              </w:rPr>
              <w:t>项目区上游和一处侧向地下水数据引用春光油田例年常规监测数据中</w:t>
            </w:r>
            <w:r>
              <w:rPr>
                <w:rFonts w:ascii="Times New Roman" w:hAnsi="Times New Roman"/>
                <w:color w:val="auto"/>
                <w:kern w:val="0"/>
                <w:sz w:val="24"/>
                <w:lang w:bidi="ar"/>
              </w:rPr>
              <w:t>春光</w:t>
            </w:r>
            <w:r>
              <w:rPr>
                <w:rFonts w:hint="eastAsia" w:ascii="Times New Roman" w:hAnsi="Times New Roman"/>
                <w:color w:val="auto"/>
                <w:kern w:val="0"/>
                <w:sz w:val="24"/>
                <w:lang w:bidi="ar"/>
              </w:rPr>
              <w:t>排</w:t>
            </w:r>
            <w:r>
              <w:rPr>
                <w:rFonts w:ascii="Times New Roman" w:hAnsi="Times New Roman"/>
                <w:color w:val="auto"/>
                <w:kern w:val="0"/>
                <w:sz w:val="24"/>
                <w:lang w:bidi="ar"/>
              </w:rPr>
              <w:t>206-10和春光1-3-7</w:t>
            </w:r>
            <w:r>
              <w:rPr>
                <w:rFonts w:hint="eastAsia" w:ascii="Times New Roman" w:hAnsi="Times New Roman"/>
                <w:color w:val="auto"/>
                <w:kern w:val="0"/>
                <w:sz w:val="24"/>
                <w:lang w:bidi="ar"/>
              </w:rPr>
              <w:t>监测</w:t>
            </w:r>
            <w:r>
              <w:rPr>
                <w:rFonts w:ascii="Times New Roman" w:hAnsi="Times New Roman"/>
                <w:color w:val="auto"/>
                <w:kern w:val="0"/>
                <w:sz w:val="24"/>
                <w:lang w:bidi="ar"/>
              </w:rPr>
              <w:t>井</w:t>
            </w:r>
            <w:r>
              <w:rPr>
                <w:rFonts w:hint="eastAsia" w:ascii="宋体" w:hAnsi="宋体" w:cs="宋体"/>
                <w:color w:val="auto"/>
                <w:kern w:val="0"/>
                <w:sz w:val="24"/>
                <w:lang w:bidi="ar"/>
              </w:rPr>
              <w:t xml:space="preserve">的实测数据，监测时间为 </w:t>
            </w:r>
            <w:r>
              <w:rPr>
                <w:rFonts w:ascii="Times New Roman" w:hAnsi="Times New Roman"/>
                <w:color w:val="auto"/>
                <w:kern w:val="0"/>
                <w:sz w:val="24"/>
                <w:lang w:bidi="ar"/>
              </w:rPr>
              <w:t>20</w:t>
            </w:r>
            <w:r>
              <w:rPr>
                <w:rFonts w:hint="eastAsia" w:ascii="Times New Roman" w:hAnsi="Times New Roman"/>
                <w:color w:val="auto"/>
                <w:kern w:val="0"/>
                <w:sz w:val="24"/>
                <w:lang w:bidi="ar"/>
              </w:rPr>
              <w:t>21</w:t>
            </w:r>
            <w:r>
              <w:rPr>
                <w:rFonts w:ascii="Times New Roman" w:hAnsi="Times New Roman"/>
                <w:color w:val="auto"/>
                <w:kern w:val="0"/>
                <w:sz w:val="24"/>
                <w:lang w:bidi="ar"/>
              </w:rPr>
              <w:t xml:space="preserve"> </w:t>
            </w:r>
            <w:r>
              <w:rPr>
                <w:rFonts w:hint="eastAsia" w:ascii="宋体" w:hAnsi="宋体" w:cs="宋体"/>
                <w:color w:val="auto"/>
                <w:kern w:val="0"/>
                <w:sz w:val="24"/>
                <w:lang w:bidi="ar"/>
              </w:rPr>
              <w:t xml:space="preserve">年 </w:t>
            </w:r>
            <w:r>
              <w:rPr>
                <w:rFonts w:hint="eastAsia" w:ascii="Times New Roman" w:hAnsi="Times New Roman"/>
                <w:color w:val="auto"/>
                <w:kern w:val="0"/>
                <w:sz w:val="24"/>
                <w:lang w:bidi="ar"/>
              </w:rPr>
              <w:t>4</w:t>
            </w:r>
            <w:r>
              <w:rPr>
                <w:rFonts w:hint="eastAsia" w:ascii="宋体" w:hAnsi="宋体" w:cs="宋体"/>
                <w:color w:val="auto"/>
                <w:kern w:val="0"/>
                <w:sz w:val="24"/>
                <w:lang w:bidi="ar"/>
              </w:rPr>
              <w:t xml:space="preserve">月 </w:t>
            </w:r>
            <w:r>
              <w:rPr>
                <w:rFonts w:hint="eastAsia" w:ascii="Times New Roman" w:hAnsi="Times New Roman"/>
                <w:color w:val="auto"/>
                <w:kern w:val="0"/>
                <w:sz w:val="24"/>
                <w:lang w:bidi="ar"/>
              </w:rPr>
              <w:t>20</w:t>
            </w:r>
            <w:r>
              <w:rPr>
                <w:rFonts w:ascii="Times New Roman" w:hAnsi="Times New Roman"/>
                <w:color w:val="auto"/>
                <w:kern w:val="0"/>
                <w:sz w:val="24"/>
                <w:lang w:bidi="ar"/>
              </w:rPr>
              <w:t xml:space="preserve"> </w:t>
            </w:r>
            <w:r>
              <w:rPr>
                <w:rFonts w:hint="eastAsia" w:ascii="宋体" w:hAnsi="宋体" w:cs="宋体"/>
                <w:color w:val="auto"/>
                <w:kern w:val="0"/>
                <w:sz w:val="24"/>
                <w:lang w:bidi="ar"/>
              </w:rPr>
              <w:t>日，检测单位为中国石油化工股份有限公司河南油田</w:t>
            </w:r>
            <w:r>
              <w:rPr>
                <w:rFonts w:hint="eastAsia" w:ascii="Times New Roman" w:hAnsi="Times New Roman"/>
                <w:color w:val="auto"/>
                <w:kern w:val="0"/>
                <w:sz w:val="24"/>
                <w:lang w:bidi="ar"/>
              </w:rPr>
              <w:t>分公司技术监测中心（见附件6），</w:t>
            </w:r>
            <w:r>
              <w:rPr>
                <w:rFonts w:ascii="Times New Roman" w:hAnsi="Times New Roman"/>
                <w:color w:val="auto"/>
                <w:kern w:val="0"/>
                <w:sz w:val="24"/>
                <w:lang w:bidi="ar"/>
              </w:rPr>
              <w:t>根据区域水文地质图，本次引用的监测井均属于同一水文地质单元，地下水赋存条件均为第四系孔隙裂隙潜水，监测时间未超过3年，具有代表性</w:t>
            </w:r>
            <w:r>
              <w:rPr>
                <w:rFonts w:hint="eastAsia" w:ascii="Times New Roman" w:hAnsi="Times New Roman"/>
                <w:color w:val="auto"/>
                <w:kern w:val="0"/>
                <w:sz w:val="24"/>
                <w:lang w:bidi="ar"/>
              </w:rPr>
              <w:t>，</w:t>
            </w:r>
            <w:r>
              <w:rPr>
                <w:rFonts w:hint="eastAsia" w:ascii="宋体" w:hAnsi="宋体" w:cs="宋体"/>
                <w:color w:val="auto"/>
                <w:kern w:val="0"/>
                <w:sz w:val="24"/>
                <w:lang w:bidi="ar"/>
              </w:rPr>
              <w:t>可以说明项目所在区域的地下水环境质量现状，其余</w:t>
            </w:r>
            <w:r>
              <w:rPr>
                <w:rFonts w:ascii="Times New Roman" w:hAnsi="Times New Roman"/>
                <w:color w:val="auto"/>
                <w:kern w:val="0"/>
                <w:sz w:val="24"/>
                <w:lang w:bidi="ar"/>
              </w:rPr>
              <w:t>3个</w:t>
            </w:r>
            <w:r>
              <w:rPr>
                <w:rFonts w:hint="eastAsia" w:ascii="宋体" w:hAnsi="宋体" w:cs="宋体"/>
                <w:color w:val="auto"/>
                <w:kern w:val="0"/>
                <w:sz w:val="24"/>
                <w:lang w:bidi="ar"/>
              </w:rPr>
              <w:t>点位采用现场实测（见附件</w:t>
            </w:r>
            <w:r>
              <w:rPr>
                <w:rFonts w:ascii="Times New Roman" w:hAnsi="Times New Roman"/>
                <w:color w:val="auto"/>
                <w:kern w:val="0"/>
                <w:sz w:val="24"/>
                <w:lang w:bidi="ar"/>
              </w:rPr>
              <w:t>7）</w:t>
            </w:r>
            <w:r>
              <w:rPr>
                <w:rFonts w:hint="eastAsia" w:ascii="宋体" w:hAnsi="宋体" w:cs="宋体"/>
                <w:color w:val="auto"/>
                <w:kern w:val="0"/>
                <w:sz w:val="24"/>
                <w:lang w:bidi="ar"/>
              </w:rPr>
              <w:t>。本项目地下水监测点位分布表见</w:t>
            </w:r>
            <w:r>
              <w:rPr>
                <w:rFonts w:ascii="Times New Roman" w:hAnsi="Times New Roman"/>
                <w:color w:val="auto"/>
                <w:kern w:val="0"/>
                <w:sz w:val="24"/>
                <w:lang w:bidi="ar"/>
              </w:rPr>
              <w:t>表3，地下水监测点位图见附图1</w:t>
            </w:r>
            <w:r>
              <w:rPr>
                <w:rFonts w:hint="eastAsia" w:ascii="Times New Roman" w:hAnsi="Times New Roman"/>
                <w:color w:val="auto"/>
                <w:kern w:val="0"/>
                <w:sz w:val="24"/>
                <w:lang w:bidi="ar"/>
              </w:rPr>
              <w:t>3</w:t>
            </w:r>
            <w:r>
              <w:rPr>
                <w:rFonts w:ascii="Times New Roman" w:hAnsi="Times New Roman"/>
                <w:color w:val="auto"/>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表3  地下水监测点位分布表</w:t>
            </w:r>
          </w:p>
          <w:tbl>
            <w:tblPr>
              <w:tblStyle w:val="37"/>
              <w:tblW w:w="4998" w:type="pct"/>
              <w:tblInd w:w="0" w:type="dxa"/>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Layout w:type="autofit"/>
              <w:tblCellMar>
                <w:top w:w="0" w:type="dxa"/>
                <w:left w:w="28" w:type="dxa"/>
                <w:bottom w:w="0" w:type="dxa"/>
                <w:right w:w="28" w:type="dxa"/>
              </w:tblCellMar>
            </w:tblPr>
            <w:tblGrid>
              <w:gridCol w:w="651"/>
              <w:gridCol w:w="1201"/>
              <w:gridCol w:w="1558"/>
              <w:gridCol w:w="1613"/>
              <w:gridCol w:w="849"/>
              <w:gridCol w:w="2431"/>
            </w:tblGrid>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284" w:hRule="atLeast"/>
              </w:trPr>
              <w:tc>
                <w:tcPr>
                  <w:tcW w:w="392"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序号</w:t>
                  </w:r>
                </w:p>
              </w:tc>
              <w:tc>
                <w:tcPr>
                  <w:tcW w:w="72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点位</w:t>
                  </w:r>
                </w:p>
              </w:tc>
              <w:tc>
                <w:tcPr>
                  <w:tcW w:w="938"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坐标</w:t>
                  </w:r>
                </w:p>
              </w:tc>
              <w:tc>
                <w:tcPr>
                  <w:tcW w:w="97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监测时间</w:t>
                  </w: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代表性</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与本项目位置关系</w:t>
                  </w:r>
                </w:p>
              </w:tc>
            </w:tr>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447" w:hRule="atLeast"/>
              </w:trPr>
              <w:tc>
                <w:tcPr>
                  <w:tcW w:w="392"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1</w:t>
                  </w:r>
                </w:p>
              </w:tc>
              <w:tc>
                <w:tcPr>
                  <w:tcW w:w="72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春光</w:t>
                  </w:r>
                </w:p>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排206-10</w:t>
                  </w:r>
                </w:p>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地下水</w:t>
                  </w:r>
                </w:p>
              </w:tc>
              <w:tc>
                <w:tcPr>
                  <w:tcW w:w="938" w:type="pct"/>
                  <w:tcMar>
                    <w:left w:w="0" w:type="dxa"/>
                    <w:right w:w="0" w:type="dxa"/>
                  </w:tcMar>
                  <w:vAlign w:val="center"/>
                </w:tcPr>
                <w:p>
                  <w:pPr>
                    <w:jc w:val="center"/>
                    <w:rPr>
                      <w:rFonts w:ascii="Times New Roman" w:hAnsi="Times New Roman"/>
                      <w:color w:val="auto"/>
                      <w:szCs w:val="21"/>
                    </w:rPr>
                  </w:pPr>
                  <w:r>
                    <w:rPr>
                      <w:rFonts w:hint="eastAsia" w:ascii="Times New Roman" w:hAnsi="Times New Roman"/>
                      <w:color w:val="auto"/>
                      <w:szCs w:val="21"/>
                    </w:rPr>
                    <w:t>84</w:t>
                  </w:r>
                  <w:r>
                    <w:rPr>
                      <w:rFonts w:ascii="Times New Roman" w:hAnsi="Times New Roman"/>
                      <w:color w:val="auto"/>
                      <w:szCs w:val="21"/>
                    </w:rPr>
                    <w:t>°</w:t>
                  </w:r>
                  <w:r>
                    <w:rPr>
                      <w:rFonts w:hint="eastAsia" w:ascii="Times New Roman" w:hAnsi="Times New Roman"/>
                      <w:color w:val="auto"/>
                      <w:szCs w:val="21"/>
                    </w:rPr>
                    <w:t>35</w:t>
                  </w:r>
                  <w:r>
                    <w:rPr>
                      <w:rFonts w:ascii="Times New Roman" w:hAnsi="Times New Roman"/>
                      <w:color w:val="auto"/>
                      <w:szCs w:val="21"/>
                    </w:rPr>
                    <w:t>′</w:t>
                  </w:r>
                  <w:r>
                    <w:rPr>
                      <w:rFonts w:hint="eastAsia" w:ascii="Times New Roman" w:hAnsi="Times New Roman"/>
                      <w:color w:val="auto"/>
                      <w:szCs w:val="21"/>
                    </w:rPr>
                    <w:t>1.93</w:t>
                  </w:r>
                  <w:r>
                    <w:rPr>
                      <w:rFonts w:ascii="Times New Roman" w:hAnsi="Times New Roman"/>
                      <w:color w:val="auto"/>
                      <w:szCs w:val="21"/>
                    </w:rPr>
                    <w:t>″</w:t>
                  </w:r>
                  <w:r>
                    <w:rPr>
                      <w:rFonts w:hint="eastAsia" w:ascii="Times New Roman" w:hAnsi="Times New Roman"/>
                      <w:color w:val="auto"/>
                      <w:szCs w:val="21"/>
                    </w:rPr>
                    <w:t>E</w:t>
                  </w:r>
                </w:p>
                <w:p>
                  <w:pPr>
                    <w:jc w:val="center"/>
                    <w:rPr>
                      <w:rFonts w:ascii="Times New Roman" w:hAnsi="Times New Roman"/>
                      <w:color w:val="auto"/>
                      <w:kern w:val="0"/>
                      <w:szCs w:val="21"/>
                    </w:rPr>
                  </w:pPr>
                  <w:r>
                    <w:rPr>
                      <w:rFonts w:hint="eastAsia" w:ascii="Times New Roman" w:hAnsi="Times New Roman"/>
                      <w:color w:val="auto"/>
                      <w:szCs w:val="21"/>
                    </w:rPr>
                    <w:t>44</w:t>
                  </w:r>
                  <w:r>
                    <w:rPr>
                      <w:rFonts w:ascii="Times New Roman" w:hAnsi="Times New Roman"/>
                      <w:color w:val="auto"/>
                      <w:szCs w:val="21"/>
                    </w:rPr>
                    <w:t>°</w:t>
                  </w:r>
                  <w:r>
                    <w:rPr>
                      <w:rFonts w:hint="eastAsia" w:ascii="Times New Roman" w:hAnsi="Times New Roman"/>
                      <w:color w:val="auto"/>
                      <w:szCs w:val="21"/>
                    </w:rPr>
                    <w:t>56</w:t>
                  </w:r>
                  <w:r>
                    <w:rPr>
                      <w:rFonts w:ascii="Times New Roman" w:hAnsi="Times New Roman"/>
                      <w:color w:val="auto"/>
                      <w:szCs w:val="21"/>
                    </w:rPr>
                    <w:t>′</w:t>
                  </w:r>
                  <w:r>
                    <w:rPr>
                      <w:rFonts w:hint="eastAsia" w:ascii="Times New Roman" w:hAnsi="Times New Roman"/>
                      <w:color w:val="auto"/>
                      <w:szCs w:val="21"/>
                    </w:rPr>
                    <w:t>48.48</w:t>
                  </w:r>
                  <w:r>
                    <w:rPr>
                      <w:rFonts w:ascii="Times New Roman" w:hAnsi="Times New Roman"/>
                      <w:color w:val="auto"/>
                      <w:szCs w:val="21"/>
                    </w:rPr>
                    <w:t>″</w:t>
                  </w:r>
                  <w:r>
                    <w:rPr>
                      <w:rFonts w:hint="eastAsia" w:ascii="Times New Roman" w:hAnsi="Times New Roman"/>
                      <w:color w:val="auto"/>
                      <w:szCs w:val="21"/>
                    </w:rPr>
                    <w:t>N</w:t>
                  </w:r>
                </w:p>
              </w:tc>
              <w:tc>
                <w:tcPr>
                  <w:tcW w:w="971" w:type="pct"/>
                  <w:vMerge w:val="restar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2021年4月20日</w:t>
                  </w: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上游</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highlight w:val="yellow"/>
                    </w:rPr>
                  </w:pPr>
                  <w:r>
                    <w:rPr>
                      <w:rFonts w:hint="eastAsia" w:ascii="Times New Roman" w:hAnsi="Times New Roman"/>
                      <w:bCs/>
                      <w:color w:val="auto"/>
                      <w:szCs w:val="22"/>
                      <w:lang w:bidi="ar"/>
                    </w:rPr>
                    <w:t>项目区东</w:t>
                  </w:r>
                  <w:r>
                    <w:rPr>
                      <w:rFonts w:ascii="Times New Roman" w:hAnsi="Times New Roman"/>
                      <w:bCs/>
                      <w:color w:val="auto"/>
                      <w:szCs w:val="22"/>
                      <w:lang w:bidi="ar"/>
                    </w:rPr>
                    <w:t>南方向</w:t>
                  </w:r>
                  <w:r>
                    <w:rPr>
                      <w:rFonts w:hint="eastAsia" w:ascii="Times New Roman" w:hAnsi="Times New Roman"/>
                      <w:bCs/>
                      <w:color w:val="auto"/>
                      <w:szCs w:val="22"/>
                      <w:lang w:bidi="ar"/>
                    </w:rPr>
                    <w:t>6.8</w:t>
                  </w:r>
                  <w:r>
                    <w:rPr>
                      <w:rFonts w:ascii="Times New Roman" w:hAnsi="Times New Roman"/>
                      <w:bCs/>
                      <w:color w:val="auto"/>
                      <w:szCs w:val="22"/>
                      <w:lang w:bidi="ar"/>
                    </w:rPr>
                    <w:t>km处</w:t>
                  </w:r>
                </w:p>
              </w:tc>
            </w:tr>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447" w:hRule="atLeast"/>
              </w:trPr>
              <w:tc>
                <w:tcPr>
                  <w:tcW w:w="392" w:type="pct"/>
                  <w:tcMar>
                    <w:left w:w="0" w:type="dxa"/>
                    <w:right w:w="0" w:type="dxa"/>
                  </w:tcMar>
                  <w:vAlign w:val="center"/>
                </w:tcPr>
                <w:p>
                  <w:pPr>
                    <w:adjustRightInd w:val="0"/>
                    <w:snapToGrid w:val="0"/>
                    <w:spacing w:line="300" w:lineRule="exact"/>
                    <w:jc w:val="center"/>
                    <w:rPr>
                      <w:rFonts w:ascii="Times New Roman" w:hAnsi="Times New Roman"/>
                      <w:color w:val="auto"/>
                    </w:rPr>
                  </w:pPr>
                  <w:r>
                    <w:rPr>
                      <w:rFonts w:hint="eastAsia" w:ascii="Times New Roman" w:hAnsi="Times New Roman"/>
                      <w:color w:val="auto"/>
                    </w:rPr>
                    <w:t>2</w:t>
                  </w:r>
                </w:p>
              </w:tc>
              <w:tc>
                <w:tcPr>
                  <w:tcW w:w="723" w:type="pct"/>
                  <w:tcMar>
                    <w:left w:w="0" w:type="dxa"/>
                    <w:right w:w="0" w:type="dxa"/>
                  </w:tcMar>
                  <w:vAlign w:val="center"/>
                </w:tcPr>
                <w:p>
                  <w:pPr>
                    <w:adjustRightInd w:val="0"/>
                    <w:snapToGrid w:val="0"/>
                    <w:spacing w:line="300" w:lineRule="exact"/>
                    <w:jc w:val="center"/>
                    <w:rPr>
                      <w:rFonts w:ascii="Times New Roman" w:hAnsi="Times New Roman"/>
                      <w:color w:val="auto"/>
                    </w:rPr>
                  </w:pPr>
                  <w:r>
                    <w:rPr>
                      <w:rFonts w:hint="eastAsia" w:ascii="Times New Roman" w:hAnsi="Times New Roman"/>
                      <w:color w:val="auto"/>
                    </w:rPr>
                    <w:t>春光1-3-7</w:t>
                  </w:r>
                </w:p>
                <w:p>
                  <w:pPr>
                    <w:adjustRightInd w:val="0"/>
                    <w:snapToGrid w:val="0"/>
                    <w:spacing w:line="300" w:lineRule="exact"/>
                    <w:jc w:val="center"/>
                    <w:rPr>
                      <w:rFonts w:ascii="Times New Roman" w:hAnsi="Times New Roman"/>
                      <w:color w:val="auto"/>
                    </w:rPr>
                  </w:pPr>
                  <w:r>
                    <w:rPr>
                      <w:rFonts w:hint="eastAsia" w:ascii="Times New Roman" w:hAnsi="Times New Roman"/>
                      <w:color w:val="auto"/>
                    </w:rPr>
                    <w:t>地下水</w:t>
                  </w:r>
                </w:p>
              </w:tc>
              <w:tc>
                <w:tcPr>
                  <w:tcW w:w="938" w:type="pct"/>
                  <w:tcMar>
                    <w:left w:w="0" w:type="dxa"/>
                    <w:right w:w="0" w:type="dxa"/>
                  </w:tcMar>
                  <w:vAlign w:val="center"/>
                </w:tcPr>
                <w:p>
                  <w:pPr>
                    <w:adjustRightInd w:val="0"/>
                    <w:snapToGrid w:val="0"/>
                    <w:spacing w:line="300" w:lineRule="exact"/>
                    <w:jc w:val="center"/>
                    <w:rPr>
                      <w:rFonts w:ascii="Times New Roman" w:hAnsi="Times New Roman"/>
                      <w:color w:val="auto"/>
                    </w:rPr>
                  </w:pPr>
                  <w:r>
                    <w:rPr>
                      <w:rFonts w:hint="eastAsia" w:ascii="Times New Roman" w:hAnsi="Times New Roman"/>
                      <w:color w:val="auto"/>
                    </w:rPr>
                    <w:t>84</w:t>
                  </w:r>
                  <w:r>
                    <w:rPr>
                      <w:rFonts w:ascii="Times New Roman" w:hAnsi="Times New Roman"/>
                      <w:color w:val="auto"/>
                      <w:szCs w:val="21"/>
                    </w:rPr>
                    <w:t>°</w:t>
                  </w:r>
                  <w:r>
                    <w:rPr>
                      <w:rFonts w:hint="eastAsia" w:ascii="Times New Roman" w:hAnsi="Times New Roman"/>
                      <w:color w:val="auto"/>
                    </w:rPr>
                    <w:t>33</w:t>
                  </w:r>
                  <w:r>
                    <w:rPr>
                      <w:rFonts w:ascii="Times New Roman" w:hAnsi="Times New Roman"/>
                      <w:color w:val="auto"/>
                      <w:szCs w:val="21"/>
                    </w:rPr>
                    <w:t>′</w:t>
                  </w:r>
                  <w:r>
                    <w:rPr>
                      <w:rFonts w:hint="eastAsia" w:ascii="Times New Roman" w:hAnsi="Times New Roman"/>
                      <w:color w:val="auto"/>
                    </w:rPr>
                    <w:t>44.77</w:t>
                  </w:r>
                  <w:r>
                    <w:rPr>
                      <w:rFonts w:ascii="Times New Roman" w:hAnsi="Times New Roman"/>
                      <w:color w:val="auto"/>
                      <w:szCs w:val="21"/>
                    </w:rPr>
                    <w:t>″</w:t>
                  </w:r>
                  <w:r>
                    <w:rPr>
                      <w:rFonts w:hint="eastAsia" w:ascii="Times New Roman" w:hAnsi="Times New Roman"/>
                      <w:color w:val="auto"/>
                      <w:szCs w:val="21"/>
                    </w:rPr>
                    <w:t>E</w:t>
                  </w:r>
                </w:p>
                <w:p>
                  <w:pPr>
                    <w:adjustRightInd w:val="0"/>
                    <w:snapToGrid w:val="0"/>
                    <w:spacing w:line="300" w:lineRule="exact"/>
                    <w:jc w:val="center"/>
                    <w:rPr>
                      <w:rFonts w:ascii="Times New Roman" w:hAnsi="Times New Roman"/>
                      <w:color w:val="auto"/>
                    </w:rPr>
                  </w:pPr>
                  <w:r>
                    <w:rPr>
                      <w:rFonts w:hint="eastAsia" w:ascii="Times New Roman" w:hAnsi="Times New Roman"/>
                      <w:color w:val="auto"/>
                    </w:rPr>
                    <w:t>44</w:t>
                  </w:r>
                  <w:r>
                    <w:rPr>
                      <w:rFonts w:ascii="Times New Roman" w:hAnsi="Times New Roman"/>
                      <w:color w:val="auto"/>
                      <w:szCs w:val="21"/>
                    </w:rPr>
                    <w:t>°</w:t>
                  </w:r>
                  <w:r>
                    <w:rPr>
                      <w:rFonts w:hint="eastAsia" w:ascii="Times New Roman" w:hAnsi="Times New Roman"/>
                      <w:color w:val="auto"/>
                    </w:rPr>
                    <w:t>58</w:t>
                  </w:r>
                  <w:r>
                    <w:rPr>
                      <w:rFonts w:ascii="Times New Roman" w:hAnsi="Times New Roman"/>
                      <w:color w:val="auto"/>
                      <w:szCs w:val="21"/>
                    </w:rPr>
                    <w:t>′</w:t>
                  </w:r>
                  <w:r>
                    <w:rPr>
                      <w:rFonts w:hint="eastAsia" w:ascii="Times New Roman" w:hAnsi="Times New Roman"/>
                      <w:color w:val="auto"/>
                    </w:rPr>
                    <w:t>36.88</w:t>
                  </w:r>
                  <w:r>
                    <w:rPr>
                      <w:rFonts w:ascii="Times New Roman" w:hAnsi="Times New Roman"/>
                      <w:color w:val="auto"/>
                      <w:szCs w:val="21"/>
                    </w:rPr>
                    <w:t>″</w:t>
                  </w:r>
                  <w:r>
                    <w:rPr>
                      <w:rFonts w:hint="eastAsia" w:ascii="Times New Roman" w:hAnsi="Times New Roman"/>
                      <w:color w:val="auto"/>
                      <w:szCs w:val="21"/>
                    </w:rPr>
                    <w:t>N</w:t>
                  </w:r>
                </w:p>
              </w:tc>
              <w:tc>
                <w:tcPr>
                  <w:tcW w:w="971" w:type="pct"/>
                  <w:vMerge w:val="continue"/>
                  <w:tcMar>
                    <w:left w:w="0" w:type="dxa"/>
                    <w:right w:w="0" w:type="dxa"/>
                  </w:tcMar>
                  <w:vAlign w:val="center"/>
                </w:tcPr>
                <w:p>
                  <w:pPr>
                    <w:adjustRightInd w:val="0"/>
                    <w:snapToGrid w:val="0"/>
                    <w:spacing w:line="300" w:lineRule="exact"/>
                    <w:jc w:val="center"/>
                    <w:rPr>
                      <w:rFonts w:ascii="Times New Roman" w:hAnsi="Times New Roman"/>
                      <w:color w:val="auto"/>
                    </w:rPr>
                  </w:pP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侧向</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bCs/>
                      <w:color w:val="auto"/>
                      <w:szCs w:val="22"/>
                      <w:lang w:bidi="ar"/>
                    </w:rPr>
                    <w:t>项目区</w:t>
                  </w:r>
                  <w:r>
                    <w:rPr>
                      <w:rFonts w:hint="eastAsia" w:ascii="Times New Roman" w:hAnsi="Times New Roman"/>
                      <w:bCs/>
                      <w:color w:val="auto"/>
                      <w:szCs w:val="22"/>
                      <w:lang w:bidi="ar"/>
                    </w:rPr>
                    <w:t>东北</w:t>
                  </w:r>
                  <w:r>
                    <w:rPr>
                      <w:rFonts w:ascii="Times New Roman" w:hAnsi="Times New Roman"/>
                      <w:bCs/>
                      <w:color w:val="auto"/>
                      <w:szCs w:val="22"/>
                      <w:lang w:bidi="ar"/>
                    </w:rPr>
                    <w:t>方向</w:t>
                  </w:r>
                  <w:r>
                    <w:rPr>
                      <w:rFonts w:hint="eastAsia" w:ascii="Times New Roman" w:hAnsi="Times New Roman"/>
                      <w:bCs/>
                      <w:color w:val="auto"/>
                      <w:szCs w:val="22"/>
                      <w:lang w:bidi="ar"/>
                    </w:rPr>
                    <w:t>2</w:t>
                  </w:r>
                  <w:r>
                    <w:rPr>
                      <w:rFonts w:ascii="Times New Roman" w:hAnsi="Times New Roman"/>
                      <w:bCs/>
                      <w:color w:val="auto"/>
                      <w:szCs w:val="22"/>
                      <w:lang w:bidi="ar"/>
                    </w:rPr>
                    <w:t>km处</w:t>
                  </w:r>
                </w:p>
              </w:tc>
            </w:tr>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284" w:hRule="atLeast"/>
              </w:trPr>
              <w:tc>
                <w:tcPr>
                  <w:tcW w:w="392"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3</w:t>
                  </w:r>
                </w:p>
              </w:tc>
              <w:tc>
                <w:tcPr>
                  <w:tcW w:w="72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123团8连</w:t>
                  </w:r>
                </w:p>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水井</w:t>
                  </w:r>
                </w:p>
              </w:tc>
              <w:tc>
                <w:tcPr>
                  <w:tcW w:w="938" w:type="pct"/>
                  <w:tcMar>
                    <w:left w:w="0" w:type="dxa"/>
                    <w:right w:w="0" w:type="dxa"/>
                  </w:tcMar>
                  <w:vAlign w:val="center"/>
                </w:tcPr>
                <w:p>
                  <w:pPr>
                    <w:jc w:val="center"/>
                    <w:rPr>
                      <w:rFonts w:ascii="Times New Roman" w:hAnsi="Times New Roman"/>
                      <w:color w:val="auto"/>
                      <w:szCs w:val="21"/>
                    </w:rPr>
                  </w:pPr>
                  <w:r>
                    <w:rPr>
                      <w:rFonts w:hint="eastAsia" w:ascii="Times New Roman" w:hAnsi="Times New Roman"/>
                      <w:color w:val="auto"/>
                      <w:szCs w:val="21"/>
                    </w:rPr>
                    <w:t>84</w:t>
                  </w:r>
                  <w:r>
                    <w:rPr>
                      <w:rFonts w:ascii="Times New Roman" w:hAnsi="Times New Roman"/>
                      <w:color w:val="auto"/>
                      <w:szCs w:val="21"/>
                    </w:rPr>
                    <w:t>°</w:t>
                  </w:r>
                  <w:r>
                    <w:rPr>
                      <w:rFonts w:hint="eastAsia" w:ascii="Times New Roman" w:hAnsi="Times New Roman"/>
                      <w:color w:val="auto"/>
                      <w:szCs w:val="21"/>
                    </w:rPr>
                    <w:t>29</w:t>
                  </w:r>
                  <w:r>
                    <w:rPr>
                      <w:rFonts w:ascii="Times New Roman" w:hAnsi="Times New Roman"/>
                      <w:color w:val="auto"/>
                      <w:szCs w:val="21"/>
                    </w:rPr>
                    <w:t>′</w:t>
                  </w:r>
                  <w:r>
                    <w:rPr>
                      <w:rFonts w:hint="eastAsia" w:ascii="Times New Roman" w:hAnsi="Times New Roman"/>
                      <w:color w:val="auto"/>
                      <w:szCs w:val="21"/>
                    </w:rPr>
                    <w:t>11.75</w:t>
                  </w:r>
                  <w:r>
                    <w:rPr>
                      <w:rFonts w:ascii="Times New Roman" w:hAnsi="Times New Roman"/>
                      <w:color w:val="auto"/>
                      <w:szCs w:val="21"/>
                    </w:rPr>
                    <w:t>″E</w:t>
                  </w:r>
                </w:p>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szCs w:val="21"/>
                    </w:rPr>
                    <w:t>44</w:t>
                  </w:r>
                  <w:r>
                    <w:rPr>
                      <w:rFonts w:ascii="Times New Roman" w:hAnsi="Times New Roman"/>
                      <w:color w:val="auto"/>
                      <w:szCs w:val="21"/>
                    </w:rPr>
                    <w:t>°</w:t>
                  </w:r>
                  <w:r>
                    <w:rPr>
                      <w:rFonts w:hint="eastAsia" w:ascii="Times New Roman" w:hAnsi="Times New Roman"/>
                      <w:color w:val="auto"/>
                      <w:szCs w:val="21"/>
                    </w:rPr>
                    <w:t>56</w:t>
                  </w:r>
                  <w:r>
                    <w:rPr>
                      <w:rFonts w:ascii="Times New Roman" w:hAnsi="Times New Roman"/>
                      <w:color w:val="auto"/>
                      <w:szCs w:val="21"/>
                    </w:rPr>
                    <w:t>′</w:t>
                  </w:r>
                  <w:r>
                    <w:rPr>
                      <w:rFonts w:hint="eastAsia" w:ascii="Times New Roman" w:hAnsi="Times New Roman"/>
                      <w:color w:val="auto"/>
                      <w:szCs w:val="21"/>
                    </w:rPr>
                    <w:t>44.36</w:t>
                  </w:r>
                  <w:r>
                    <w:rPr>
                      <w:rFonts w:ascii="Times New Roman" w:hAnsi="Times New Roman"/>
                      <w:color w:val="auto"/>
                      <w:szCs w:val="21"/>
                    </w:rPr>
                    <w:t>″N</w:t>
                  </w:r>
                </w:p>
              </w:tc>
              <w:tc>
                <w:tcPr>
                  <w:tcW w:w="971" w:type="pct"/>
                  <w:vMerge w:val="restart"/>
                  <w:tcMar>
                    <w:left w:w="0" w:type="dxa"/>
                    <w:right w:w="0" w:type="dxa"/>
                  </w:tcMar>
                  <w:vAlign w:val="center"/>
                </w:tcPr>
                <w:p>
                  <w:pPr>
                    <w:pStyle w:val="86"/>
                    <w:rPr>
                      <w:rFonts w:ascii="Times New Roman" w:hAnsi="Times New Roman"/>
                      <w:color w:val="auto"/>
                    </w:rPr>
                  </w:pPr>
                  <w:r>
                    <w:rPr>
                      <w:rFonts w:hint="eastAsia" w:ascii="Times New Roman" w:hAnsi="Times New Roman"/>
                      <w:color w:val="auto"/>
                    </w:rPr>
                    <w:t>2022年2月19日</w:t>
                  </w: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侧向</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bCs/>
                      <w:color w:val="auto"/>
                      <w:szCs w:val="22"/>
                      <w:lang w:bidi="ar"/>
                    </w:rPr>
                    <w:t>项目区</w:t>
                  </w:r>
                  <w:r>
                    <w:rPr>
                      <w:rFonts w:hint="eastAsia" w:ascii="Times New Roman" w:hAnsi="Times New Roman"/>
                      <w:bCs/>
                      <w:color w:val="auto"/>
                      <w:szCs w:val="22"/>
                      <w:lang w:bidi="ar"/>
                    </w:rPr>
                    <w:t>南侧1</w:t>
                  </w:r>
                  <w:r>
                    <w:rPr>
                      <w:rFonts w:ascii="Times New Roman" w:hAnsi="Times New Roman"/>
                      <w:bCs/>
                      <w:color w:val="auto"/>
                      <w:szCs w:val="22"/>
                      <w:lang w:bidi="ar"/>
                    </w:rPr>
                    <w:t>km处</w:t>
                  </w:r>
                </w:p>
              </w:tc>
            </w:tr>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284" w:hRule="atLeast"/>
              </w:trPr>
              <w:tc>
                <w:tcPr>
                  <w:tcW w:w="392" w:type="pct"/>
                  <w:tcMar>
                    <w:left w:w="0" w:type="dxa"/>
                    <w:right w:w="0" w:type="dxa"/>
                  </w:tcMar>
                  <w:vAlign w:val="center"/>
                </w:tcPr>
                <w:p>
                  <w:pPr>
                    <w:pStyle w:val="86"/>
                    <w:rPr>
                      <w:rFonts w:ascii="Times New Roman" w:hAnsi="Times New Roman"/>
                      <w:color w:val="auto"/>
                    </w:rPr>
                  </w:pPr>
                  <w:r>
                    <w:rPr>
                      <w:rFonts w:hint="eastAsia" w:ascii="Times New Roman" w:hAnsi="Times New Roman"/>
                      <w:color w:val="auto"/>
                    </w:rPr>
                    <w:t>4</w:t>
                  </w:r>
                </w:p>
              </w:tc>
              <w:tc>
                <w:tcPr>
                  <w:tcW w:w="723" w:type="pct"/>
                  <w:tcMar>
                    <w:left w:w="0" w:type="dxa"/>
                    <w:right w:w="0" w:type="dxa"/>
                  </w:tcMar>
                  <w:vAlign w:val="center"/>
                </w:tcPr>
                <w:p>
                  <w:pPr>
                    <w:pStyle w:val="86"/>
                    <w:rPr>
                      <w:rFonts w:ascii="Times New Roman" w:hAnsi="Times New Roman"/>
                      <w:color w:val="auto"/>
                    </w:rPr>
                  </w:pPr>
                  <w:r>
                    <w:rPr>
                      <w:rFonts w:hint="eastAsia" w:ascii="Times New Roman" w:hAnsi="Times New Roman"/>
                      <w:color w:val="auto"/>
                    </w:rPr>
                    <w:t>房建连水井</w:t>
                  </w:r>
                </w:p>
              </w:tc>
              <w:tc>
                <w:tcPr>
                  <w:tcW w:w="938" w:type="pct"/>
                  <w:tcMar>
                    <w:left w:w="0" w:type="dxa"/>
                    <w:right w:w="0" w:type="dxa"/>
                  </w:tcMar>
                  <w:vAlign w:val="center"/>
                </w:tcPr>
                <w:p>
                  <w:pPr>
                    <w:jc w:val="center"/>
                    <w:rPr>
                      <w:rFonts w:ascii="Times New Roman" w:hAnsi="Times New Roman"/>
                      <w:color w:val="auto"/>
                      <w:szCs w:val="21"/>
                    </w:rPr>
                  </w:pPr>
                  <w:r>
                    <w:rPr>
                      <w:rFonts w:hint="eastAsia" w:ascii="Times New Roman" w:hAnsi="Times New Roman"/>
                      <w:color w:val="auto"/>
                      <w:szCs w:val="21"/>
                    </w:rPr>
                    <w:t>84</w:t>
                  </w:r>
                  <w:r>
                    <w:rPr>
                      <w:rFonts w:ascii="Times New Roman" w:hAnsi="Times New Roman"/>
                      <w:color w:val="auto"/>
                      <w:szCs w:val="21"/>
                    </w:rPr>
                    <w:t>°</w:t>
                  </w:r>
                  <w:r>
                    <w:rPr>
                      <w:rFonts w:hint="eastAsia" w:ascii="Times New Roman" w:hAnsi="Times New Roman"/>
                      <w:color w:val="auto"/>
                      <w:szCs w:val="21"/>
                    </w:rPr>
                    <w:t>28</w:t>
                  </w:r>
                  <w:r>
                    <w:rPr>
                      <w:rFonts w:ascii="Times New Roman" w:hAnsi="Times New Roman"/>
                      <w:color w:val="auto"/>
                      <w:szCs w:val="21"/>
                    </w:rPr>
                    <w:t>′</w:t>
                  </w:r>
                  <w:r>
                    <w:rPr>
                      <w:rFonts w:hint="eastAsia" w:ascii="Times New Roman" w:hAnsi="Times New Roman"/>
                      <w:color w:val="auto"/>
                      <w:szCs w:val="21"/>
                    </w:rPr>
                    <w:t>56.19</w:t>
                  </w:r>
                  <w:r>
                    <w:rPr>
                      <w:rFonts w:ascii="Times New Roman" w:hAnsi="Times New Roman"/>
                      <w:color w:val="auto"/>
                      <w:szCs w:val="21"/>
                    </w:rPr>
                    <w:t>″E</w:t>
                  </w:r>
                </w:p>
                <w:p>
                  <w:pPr>
                    <w:pStyle w:val="86"/>
                    <w:rPr>
                      <w:rFonts w:ascii="Times New Roman" w:hAnsi="Times New Roman"/>
                      <w:color w:val="auto"/>
                    </w:rPr>
                  </w:pPr>
                  <w:r>
                    <w:rPr>
                      <w:rFonts w:hint="eastAsia" w:ascii="Times New Roman" w:hAnsi="Times New Roman"/>
                      <w:color w:val="auto"/>
                    </w:rPr>
                    <w:t>44</w:t>
                  </w:r>
                  <w:r>
                    <w:rPr>
                      <w:rFonts w:ascii="Times New Roman" w:hAnsi="Times New Roman"/>
                      <w:color w:val="auto"/>
                    </w:rPr>
                    <w:t>°</w:t>
                  </w:r>
                  <w:r>
                    <w:rPr>
                      <w:rFonts w:hint="eastAsia" w:ascii="Times New Roman" w:hAnsi="Times New Roman"/>
                      <w:color w:val="auto"/>
                    </w:rPr>
                    <w:t>58</w:t>
                  </w:r>
                  <w:r>
                    <w:rPr>
                      <w:rFonts w:ascii="Times New Roman" w:hAnsi="Times New Roman"/>
                      <w:color w:val="auto"/>
                    </w:rPr>
                    <w:t>′</w:t>
                  </w:r>
                  <w:r>
                    <w:rPr>
                      <w:rFonts w:hint="eastAsia" w:ascii="Times New Roman" w:hAnsi="Times New Roman"/>
                      <w:color w:val="auto"/>
                    </w:rPr>
                    <w:t>22.27</w:t>
                  </w:r>
                  <w:r>
                    <w:rPr>
                      <w:rFonts w:ascii="Times New Roman" w:hAnsi="Times New Roman"/>
                      <w:color w:val="auto"/>
                    </w:rPr>
                    <w:t>″N</w:t>
                  </w:r>
                </w:p>
              </w:tc>
              <w:tc>
                <w:tcPr>
                  <w:tcW w:w="971" w:type="pct"/>
                  <w:vMerge w:val="continue"/>
                  <w:tcMar>
                    <w:left w:w="0" w:type="dxa"/>
                    <w:right w:w="0" w:type="dxa"/>
                  </w:tcMar>
                  <w:vAlign w:val="center"/>
                </w:tcPr>
                <w:p>
                  <w:pPr>
                    <w:pStyle w:val="86"/>
                    <w:rPr>
                      <w:rFonts w:ascii="Times New Roman" w:hAnsi="Times New Roman"/>
                      <w:color w:val="auto"/>
                    </w:rPr>
                  </w:pP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下游</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bCs/>
                      <w:color w:val="auto"/>
                      <w:szCs w:val="22"/>
                      <w:lang w:bidi="ar"/>
                    </w:rPr>
                    <w:t>项目区西</w:t>
                  </w:r>
                  <w:r>
                    <w:rPr>
                      <w:rFonts w:hint="eastAsia" w:ascii="Times New Roman" w:hAnsi="Times New Roman"/>
                      <w:bCs/>
                      <w:color w:val="auto"/>
                      <w:szCs w:val="22"/>
                      <w:lang w:bidi="ar"/>
                    </w:rPr>
                    <w:t>侧0.8</w:t>
                  </w:r>
                  <w:r>
                    <w:rPr>
                      <w:rFonts w:ascii="Times New Roman" w:hAnsi="Times New Roman"/>
                      <w:bCs/>
                      <w:color w:val="auto"/>
                      <w:szCs w:val="22"/>
                      <w:lang w:bidi="ar"/>
                    </w:rPr>
                    <w:t>km处</w:t>
                  </w:r>
                </w:p>
              </w:tc>
            </w:tr>
            <w:tr>
              <w:tblPrEx>
                <w:tblBorders>
                  <w:top w:val="single" w:color="auto" w:sz="12" w:space="0"/>
                  <w:left w:val="none" w:color="auto" w:sz="0" w:space="0"/>
                  <w:bottom w:val="single" w:color="auto" w:sz="12" w:space="0"/>
                  <w:right w:val="none" w:color="auto" w:sz="0" w:space="0"/>
                  <w:insideH w:val="single" w:color="000000" w:sz="2" w:space="0"/>
                  <w:insideV w:val="single" w:color="000000" w:sz="2" w:space="0"/>
                </w:tblBorders>
                <w:tblCellMar>
                  <w:top w:w="0" w:type="dxa"/>
                  <w:left w:w="28" w:type="dxa"/>
                  <w:bottom w:w="0" w:type="dxa"/>
                  <w:right w:w="28" w:type="dxa"/>
                </w:tblCellMar>
              </w:tblPrEx>
              <w:trPr>
                <w:trHeight w:val="284" w:hRule="atLeast"/>
              </w:trPr>
              <w:tc>
                <w:tcPr>
                  <w:tcW w:w="392" w:type="pct"/>
                  <w:tcMar>
                    <w:left w:w="0" w:type="dxa"/>
                    <w:right w:w="0" w:type="dxa"/>
                  </w:tcMar>
                  <w:vAlign w:val="center"/>
                </w:tcPr>
                <w:p>
                  <w:pPr>
                    <w:adjustRightInd w:val="0"/>
                    <w:snapToGrid w:val="0"/>
                    <w:spacing w:line="300" w:lineRule="exact"/>
                    <w:jc w:val="center"/>
                    <w:rPr>
                      <w:rFonts w:ascii="Times New Roman" w:hAnsi="Times New Roman"/>
                      <w:color w:val="auto"/>
                      <w:spacing w:val="-2"/>
                      <w:kern w:val="0"/>
                      <w:szCs w:val="21"/>
                      <w:lang w:bidi="ar"/>
                    </w:rPr>
                  </w:pPr>
                  <w:r>
                    <w:rPr>
                      <w:rFonts w:hint="eastAsia" w:ascii="Times New Roman" w:hAnsi="Times New Roman"/>
                      <w:color w:val="auto"/>
                      <w:spacing w:val="-2"/>
                      <w:kern w:val="0"/>
                      <w:szCs w:val="21"/>
                      <w:lang w:bidi="ar"/>
                    </w:rPr>
                    <w:t>5</w:t>
                  </w:r>
                </w:p>
              </w:tc>
              <w:tc>
                <w:tcPr>
                  <w:tcW w:w="723" w:type="pct"/>
                  <w:tcMar>
                    <w:left w:w="0" w:type="dxa"/>
                    <w:right w:w="0" w:type="dxa"/>
                  </w:tcMar>
                  <w:vAlign w:val="center"/>
                </w:tcPr>
                <w:p>
                  <w:pPr>
                    <w:adjustRightInd w:val="0"/>
                    <w:snapToGrid w:val="0"/>
                    <w:spacing w:line="300" w:lineRule="exact"/>
                    <w:jc w:val="center"/>
                    <w:rPr>
                      <w:rFonts w:ascii="Times New Roman" w:hAnsi="Times New Roman"/>
                      <w:color w:val="auto"/>
                      <w:spacing w:val="-2"/>
                      <w:kern w:val="0"/>
                      <w:szCs w:val="21"/>
                      <w:lang w:bidi="ar"/>
                    </w:rPr>
                  </w:pPr>
                  <w:r>
                    <w:rPr>
                      <w:rFonts w:hint="eastAsia" w:ascii="Times New Roman" w:hAnsi="Times New Roman"/>
                      <w:color w:val="auto"/>
                      <w:spacing w:val="-2"/>
                      <w:kern w:val="0"/>
                      <w:szCs w:val="21"/>
                      <w:lang w:bidi="ar"/>
                    </w:rPr>
                    <w:t>123团16连水井</w:t>
                  </w:r>
                </w:p>
              </w:tc>
              <w:tc>
                <w:tcPr>
                  <w:tcW w:w="938" w:type="pct"/>
                  <w:tcMar>
                    <w:left w:w="0" w:type="dxa"/>
                    <w:right w:w="0" w:type="dxa"/>
                  </w:tcMar>
                  <w:vAlign w:val="center"/>
                </w:tcPr>
                <w:p>
                  <w:pPr>
                    <w:jc w:val="center"/>
                    <w:rPr>
                      <w:rFonts w:ascii="Times New Roman" w:hAnsi="Times New Roman"/>
                      <w:color w:val="auto"/>
                      <w:szCs w:val="21"/>
                    </w:rPr>
                  </w:pPr>
                  <w:r>
                    <w:rPr>
                      <w:rFonts w:hint="eastAsia" w:ascii="Times New Roman" w:hAnsi="Times New Roman"/>
                      <w:color w:val="auto"/>
                      <w:szCs w:val="21"/>
                    </w:rPr>
                    <w:t>84</w:t>
                  </w:r>
                  <w:r>
                    <w:rPr>
                      <w:rFonts w:ascii="Times New Roman" w:hAnsi="Times New Roman"/>
                      <w:color w:val="auto"/>
                      <w:szCs w:val="21"/>
                    </w:rPr>
                    <w:t>°</w:t>
                  </w:r>
                  <w:r>
                    <w:rPr>
                      <w:rFonts w:hint="eastAsia" w:ascii="Times New Roman" w:hAnsi="Times New Roman"/>
                      <w:color w:val="auto"/>
                      <w:szCs w:val="21"/>
                    </w:rPr>
                    <w:t>29</w:t>
                  </w:r>
                  <w:r>
                    <w:rPr>
                      <w:rFonts w:ascii="Times New Roman" w:hAnsi="Times New Roman"/>
                      <w:color w:val="auto"/>
                      <w:szCs w:val="21"/>
                    </w:rPr>
                    <w:t>′</w:t>
                  </w:r>
                  <w:r>
                    <w:rPr>
                      <w:rFonts w:hint="eastAsia" w:ascii="Times New Roman" w:hAnsi="Times New Roman"/>
                      <w:color w:val="auto"/>
                      <w:szCs w:val="21"/>
                    </w:rPr>
                    <w:t>4.20</w:t>
                  </w:r>
                  <w:r>
                    <w:rPr>
                      <w:rFonts w:ascii="Times New Roman" w:hAnsi="Times New Roman"/>
                      <w:color w:val="auto"/>
                      <w:szCs w:val="21"/>
                    </w:rPr>
                    <w:t>″E</w:t>
                  </w:r>
                </w:p>
                <w:p>
                  <w:pPr>
                    <w:adjustRightInd w:val="0"/>
                    <w:snapToGrid w:val="0"/>
                    <w:spacing w:line="300" w:lineRule="exact"/>
                    <w:jc w:val="center"/>
                    <w:rPr>
                      <w:rFonts w:ascii="Times New Roman" w:hAnsi="Times New Roman"/>
                      <w:color w:val="auto"/>
                      <w:spacing w:val="-2"/>
                      <w:kern w:val="0"/>
                      <w:szCs w:val="21"/>
                      <w:lang w:bidi="ar"/>
                    </w:rPr>
                  </w:pPr>
                  <w:r>
                    <w:rPr>
                      <w:rFonts w:hint="eastAsia" w:ascii="Times New Roman" w:hAnsi="Times New Roman"/>
                      <w:color w:val="auto"/>
                      <w:szCs w:val="21"/>
                    </w:rPr>
                    <w:t>44</w:t>
                  </w:r>
                  <w:r>
                    <w:rPr>
                      <w:rFonts w:ascii="Times New Roman" w:hAnsi="Times New Roman"/>
                      <w:color w:val="auto"/>
                      <w:szCs w:val="21"/>
                    </w:rPr>
                    <w:t>°</w:t>
                  </w:r>
                  <w:r>
                    <w:rPr>
                      <w:rFonts w:hint="eastAsia" w:ascii="Times New Roman" w:hAnsi="Times New Roman"/>
                      <w:color w:val="auto"/>
                      <w:szCs w:val="21"/>
                    </w:rPr>
                    <w:t>59</w:t>
                  </w:r>
                  <w:r>
                    <w:rPr>
                      <w:rFonts w:ascii="Times New Roman" w:hAnsi="Times New Roman"/>
                      <w:color w:val="auto"/>
                      <w:szCs w:val="21"/>
                    </w:rPr>
                    <w:t>′</w:t>
                  </w:r>
                  <w:r>
                    <w:rPr>
                      <w:rFonts w:hint="eastAsia" w:ascii="Times New Roman" w:hAnsi="Times New Roman"/>
                      <w:color w:val="auto"/>
                      <w:szCs w:val="21"/>
                    </w:rPr>
                    <w:t>34</w:t>
                  </w:r>
                  <w:r>
                    <w:rPr>
                      <w:rFonts w:hint="eastAsia"/>
                      <w:color w:val="auto"/>
                      <w:szCs w:val="21"/>
                    </w:rPr>
                    <w:t>.</w:t>
                  </w:r>
                  <w:r>
                    <w:rPr>
                      <w:rFonts w:hint="eastAsia" w:ascii="Times New Roman" w:hAnsi="Times New Roman"/>
                      <w:color w:val="auto"/>
                      <w:szCs w:val="21"/>
                    </w:rPr>
                    <w:t>38</w:t>
                  </w:r>
                  <w:r>
                    <w:rPr>
                      <w:rFonts w:ascii="Times New Roman" w:hAnsi="Times New Roman"/>
                      <w:color w:val="auto"/>
                      <w:szCs w:val="21"/>
                    </w:rPr>
                    <w:t>″N</w:t>
                  </w:r>
                </w:p>
              </w:tc>
              <w:tc>
                <w:tcPr>
                  <w:tcW w:w="971" w:type="pct"/>
                  <w:vMerge w:val="continue"/>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p>
              </w:tc>
              <w:tc>
                <w:tcPr>
                  <w:tcW w:w="511"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rPr>
                  </w:pPr>
                  <w:r>
                    <w:rPr>
                      <w:rFonts w:hint="eastAsia" w:ascii="Times New Roman" w:hAnsi="Times New Roman"/>
                      <w:color w:val="auto"/>
                      <w:kern w:val="0"/>
                      <w:szCs w:val="21"/>
                    </w:rPr>
                    <w:t>下游</w:t>
                  </w:r>
                </w:p>
              </w:tc>
              <w:tc>
                <w:tcPr>
                  <w:tcW w:w="1463" w:type="pct"/>
                  <w:tcMar>
                    <w:left w:w="0" w:type="dxa"/>
                    <w:right w:w="0" w:type="dxa"/>
                  </w:tcMar>
                  <w:vAlign w:val="center"/>
                </w:tcPr>
                <w:p>
                  <w:pPr>
                    <w:adjustRightInd w:val="0"/>
                    <w:snapToGrid w:val="0"/>
                    <w:spacing w:line="300" w:lineRule="exact"/>
                    <w:jc w:val="center"/>
                    <w:rPr>
                      <w:rFonts w:ascii="Times New Roman" w:hAnsi="Times New Roman"/>
                      <w:color w:val="auto"/>
                      <w:kern w:val="0"/>
                      <w:szCs w:val="21"/>
                      <w:highlight w:val="yellow"/>
                    </w:rPr>
                  </w:pPr>
                  <w:r>
                    <w:rPr>
                      <w:rFonts w:ascii="Times New Roman" w:hAnsi="Times New Roman"/>
                      <w:color w:val="auto"/>
                      <w:kern w:val="0"/>
                      <w:szCs w:val="21"/>
                    </w:rPr>
                    <w:t>项目区</w:t>
                  </w:r>
                  <w:r>
                    <w:rPr>
                      <w:rFonts w:hint="eastAsia" w:ascii="Times New Roman" w:hAnsi="Times New Roman"/>
                      <w:color w:val="auto"/>
                      <w:kern w:val="0"/>
                      <w:szCs w:val="21"/>
                    </w:rPr>
                    <w:t>西北侧2.8</w:t>
                  </w:r>
                  <w:r>
                    <w:rPr>
                      <w:rFonts w:ascii="Times New Roman" w:hAnsi="Times New Roman"/>
                      <w:color w:val="auto"/>
                      <w:kern w:val="0"/>
                      <w:szCs w:val="21"/>
                    </w:rPr>
                    <w:t>km处</w:t>
                  </w:r>
                </w:p>
              </w:tc>
            </w:tr>
          </w:tbl>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（2）监测因子</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色度、臭和味、浊度、pH、总硬度、溶解性总固体、硫酸盐、氯化物、挥发酚、</w:t>
            </w:r>
            <w:r>
              <w:rPr>
                <w:rFonts w:hint="eastAsia" w:ascii="Times New Roman" w:hAnsi="Times New Roman"/>
                <w:color w:val="auto"/>
                <w:sz w:val="24"/>
              </w:rPr>
              <w:t>耗氧量（</w:t>
            </w:r>
            <w:r>
              <w:rPr>
                <w:rFonts w:ascii="Times New Roman" w:hAnsi="Times New Roman"/>
                <w:color w:val="auto"/>
                <w:sz w:val="24"/>
              </w:rPr>
              <w:t>高锰酸盐指数</w:t>
            </w:r>
            <w:r>
              <w:rPr>
                <w:rFonts w:hint="eastAsia" w:ascii="Times New Roman" w:hAnsi="Times New Roman"/>
                <w:color w:val="auto"/>
                <w:sz w:val="24"/>
              </w:rPr>
              <w:t>）</w:t>
            </w:r>
            <w:r>
              <w:rPr>
                <w:rFonts w:ascii="Times New Roman" w:hAnsi="Times New Roman"/>
                <w:color w:val="auto"/>
                <w:sz w:val="24"/>
              </w:rPr>
              <w:t>、氨氮、硫化物、石油类、氰化物、铁、锰、铜、锌、镉、六价铬、铅、硝酸盐、亚硝酸盐、汞、砷、硒、氟化物、钠共计2</w:t>
            </w:r>
            <w:r>
              <w:rPr>
                <w:rFonts w:hint="eastAsia" w:ascii="Times New Roman" w:hAnsi="Times New Roman"/>
                <w:color w:val="auto"/>
                <w:sz w:val="24"/>
              </w:rPr>
              <w:t>8</w:t>
            </w:r>
            <w:r>
              <w:rPr>
                <w:rFonts w:ascii="Times New Roman" w:hAnsi="Times New Roman"/>
                <w:color w:val="auto"/>
                <w:sz w:val="24"/>
              </w:rPr>
              <w:t>项。</w:t>
            </w:r>
          </w:p>
          <w:p>
            <w:pPr>
              <w:pStyle w:val="48"/>
              <w:spacing w:line="360" w:lineRule="auto"/>
              <w:ind w:firstLine="480"/>
              <w:jc w:val="both"/>
              <w:rPr>
                <w:rFonts w:ascii="Times New Roman" w:hAnsi="Times New Roman"/>
                <w:color w:val="auto"/>
              </w:rPr>
            </w:pPr>
            <w:r>
              <w:rPr>
                <w:rFonts w:ascii="Times New Roman" w:hAnsi="Times New Roman"/>
                <w:color w:val="auto"/>
              </w:rPr>
              <w:t>（3）评价标准</w:t>
            </w:r>
          </w:p>
          <w:p>
            <w:pPr>
              <w:pStyle w:val="48"/>
              <w:spacing w:line="360" w:lineRule="auto"/>
              <w:ind w:firstLine="480"/>
              <w:jc w:val="both"/>
              <w:rPr>
                <w:rFonts w:ascii="Times New Roman" w:hAnsi="Times New Roman"/>
                <w:color w:val="auto"/>
              </w:rPr>
            </w:pPr>
            <w:r>
              <w:rPr>
                <w:rFonts w:ascii="Times New Roman" w:hAnsi="Times New Roman"/>
                <w:color w:val="auto"/>
              </w:rPr>
              <w:t>执行《地下水质量标准》（GB/T14848-2017）III类标准。石油类参照《地表水环境质量标准》（GB3838-2002）中的III类标准。</w:t>
            </w:r>
          </w:p>
          <w:p>
            <w:pPr>
              <w:pStyle w:val="48"/>
              <w:spacing w:line="360" w:lineRule="auto"/>
              <w:ind w:firstLine="480"/>
              <w:jc w:val="both"/>
              <w:rPr>
                <w:rFonts w:ascii="Times New Roman" w:hAnsi="Times New Roman"/>
                <w:color w:val="auto"/>
              </w:rPr>
            </w:pPr>
            <w:r>
              <w:rPr>
                <w:rFonts w:ascii="Times New Roman" w:hAnsi="Times New Roman"/>
                <w:color w:val="auto"/>
              </w:rPr>
              <w:t>（4）评价方法</w:t>
            </w:r>
          </w:p>
          <w:p>
            <w:pPr>
              <w:pStyle w:val="48"/>
              <w:spacing w:line="360" w:lineRule="auto"/>
              <w:ind w:firstLine="480"/>
              <w:jc w:val="both"/>
              <w:rPr>
                <w:rFonts w:ascii="Times New Roman" w:hAnsi="Times New Roman"/>
                <w:color w:val="auto"/>
              </w:rPr>
            </w:pPr>
            <w:r>
              <w:rPr>
                <w:rFonts w:ascii="Times New Roman" w:hAnsi="Times New Roman"/>
                <w:color w:val="auto"/>
              </w:rPr>
              <w:t>采用单因子标准指数法，模式如下：</w:t>
            </w:r>
          </w:p>
          <w:p>
            <w:pPr>
              <w:spacing w:line="500" w:lineRule="exact"/>
              <w:ind w:firstLine="480" w:firstLineChars="200"/>
              <w:jc w:val="both"/>
              <w:rPr>
                <w:rFonts w:ascii="Times New Roman" w:hAnsi="Times New Roman"/>
                <w:bCs/>
                <w:color w:val="auto"/>
                <w:sz w:val="24"/>
              </w:rPr>
            </w:pPr>
            <w:r>
              <w:rPr>
                <w:rFonts w:ascii="Times New Roman" w:hAnsi="Times New Roman"/>
                <w:color w:val="auto"/>
                <w:sz w:val="24"/>
              </w:rPr>
              <w:pict>
                <v:shape id="对象 560" o:spid="_x0000_s1174" o:spt="75" type="#_x0000_t75" style="position:absolute;left:0pt;margin-left:192.15pt;margin-top:7.55pt;height:32.3pt;width:42.3pt;z-index:251659264;mso-width-relative:page;mso-height-relative:page;" o:ole="t" filled="f" o:preferrelative="t" stroked="f" coordsize="21600,21600">
                  <v:path/>
                  <v:fill on="f" focussize="0,0"/>
                  <v:stroke on="f" joinstyle="miter"/>
                  <v:imagedata r:id="rId28" o:title=""/>
                  <o:lock v:ext="edit" aspectratio="t"/>
                </v:shape>
                <o:OLEObject Type="Embed" ProgID="Equation.3" ShapeID="对象 560" DrawAspect="Content" ObjectID="_1468075725" r:id="rId27">
                  <o:LockedField>false</o:LockedField>
                </o:OLEObject>
              </w:pict>
            </w:r>
          </w:p>
          <w:p>
            <w:pPr>
              <w:spacing w:line="500" w:lineRule="exact"/>
              <w:ind w:firstLine="480" w:firstLineChars="200"/>
              <w:jc w:val="both"/>
              <w:rPr>
                <w:rFonts w:ascii="Times New Roman" w:hAnsi="Times New Roman"/>
                <w:color w:val="auto"/>
                <w:sz w:val="24"/>
              </w:rPr>
            </w:pPr>
          </w:p>
          <w:p>
            <w:pPr>
              <w:spacing w:line="500" w:lineRule="exact"/>
              <w:ind w:firstLine="480" w:firstLineChars="200"/>
              <w:jc w:val="both"/>
              <w:rPr>
                <w:rFonts w:ascii="Times New Roman" w:hAnsi="Times New Roman"/>
                <w:color w:val="auto"/>
                <w:sz w:val="24"/>
              </w:rPr>
            </w:pPr>
            <w:r>
              <w:rPr>
                <w:rFonts w:ascii="Times New Roman" w:hAnsi="Times New Roman"/>
                <w:color w:val="auto"/>
                <w:sz w:val="24"/>
              </w:rPr>
              <w:t>式中：S</w:t>
            </w:r>
            <w:r>
              <w:rPr>
                <w:rFonts w:ascii="Times New Roman" w:hAnsi="Times New Roman"/>
                <w:color w:val="auto"/>
                <w:sz w:val="24"/>
                <w:vertAlign w:val="subscript"/>
              </w:rPr>
              <w:t>ij</w:t>
            </w:r>
            <w:r>
              <w:rPr>
                <w:rFonts w:ascii="Times New Roman" w:hAnsi="Times New Roman"/>
                <w:color w:val="auto"/>
                <w:sz w:val="24"/>
              </w:rPr>
              <w:t>—单因子标准指数；</w:t>
            </w:r>
          </w:p>
          <w:p>
            <w:pPr>
              <w:spacing w:line="500" w:lineRule="exact"/>
              <w:ind w:firstLine="1132" w:firstLineChars="472"/>
              <w:jc w:val="both"/>
              <w:rPr>
                <w:rFonts w:ascii="Times New Roman" w:hAnsi="Times New Roman"/>
                <w:color w:val="auto"/>
                <w:sz w:val="24"/>
              </w:rPr>
            </w:pPr>
            <w:r>
              <w:rPr>
                <w:rFonts w:ascii="Times New Roman" w:hAnsi="Times New Roman"/>
                <w:color w:val="auto"/>
                <w:sz w:val="24"/>
              </w:rPr>
              <w:t>C</w:t>
            </w:r>
            <w:r>
              <w:rPr>
                <w:rFonts w:ascii="Times New Roman" w:hAnsi="Times New Roman"/>
                <w:color w:val="auto"/>
                <w:sz w:val="24"/>
                <w:vertAlign w:val="subscript"/>
              </w:rPr>
              <w:t>i</w:t>
            </w:r>
            <w:r>
              <w:rPr>
                <w:rFonts w:ascii="Times New Roman" w:hAnsi="Times New Roman"/>
                <w:color w:val="auto"/>
                <w:sz w:val="24"/>
              </w:rPr>
              <w:t>—i类监测物现状监测浓度，mg/L；</w:t>
            </w:r>
          </w:p>
          <w:p>
            <w:pPr>
              <w:spacing w:line="500" w:lineRule="exact"/>
              <w:ind w:firstLine="1132" w:firstLineChars="472"/>
              <w:jc w:val="both"/>
              <w:rPr>
                <w:rFonts w:ascii="Times New Roman" w:hAnsi="Times New Roman"/>
                <w:color w:val="auto"/>
                <w:sz w:val="24"/>
              </w:rPr>
            </w:pPr>
            <w:r>
              <w:rPr>
                <w:rFonts w:ascii="Times New Roman" w:hAnsi="Times New Roman"/>
                <w:color w:val="auto"/>
                <w:sz w:val="24"/>
              </w:rPr>
              <w:t>C</w:t>
            </w:r>
            <w:r>
              <w:rPr>
                <w:rFonts w:ascii="Times New Roman" w:hAnsi="Times New Roman"/>
                <w:color w:val="auto"/>
                <w:sz w:val="24"/>
                <w:vertAlign w:val="subscript"/>
              </w:rPr>
              <w:t>oi</w:t>
            </w:r>
            <w:r>
              <w:rPr>
                <w:rFonts w:ascii="Times New Roman" w:hAnsi="Times New Roman"/>
                <w:color w:val="auto"/>
                <w:sz w:val="24"/>
              </w:rPr>
              <w:t>—i类监测物浓度标准，mg/L。</w:t>
            </w:r>
          </w:p>
          <w:p>
            <w:pPr>
              <w:spacing w:line="500" w:lineRule="exact"/>
              <w:ind w:firstLine="480" w:firstLineChars="200"/>
              <w:jc w:val="both"/>
              <w:rPr>
                <w:rFonts w:ascii="Times New Roman" w:hAnsi="Times New Roman"/>
                <w:color w:val="auto"/>
                <w:sz w:val="24"/>
              </w:rPr>
            </w:pPr>
            <w:r>
              <w:rPr>
                <w:rFonts w:ascii="Times New Roman" w:hAnsi="Times New Roman"/>
                <w:color w:val="auto"/>
                <w:sz w:val="24"/>
              </w:rPr>
              <w:t>pH的标准指数为：</w:t>
            </w:r>
          </w:p>
          <w:p>
            <w:pPr>
              <w:pStyle w:val="3"/>
              <w:jc w:val="center"/>
              <w:rPr>
                <w:color w:val="auto"/>
              </w:rPr>
            </w:pPr>
            <w:r>
              <w:rPr>
                <w:rFonts w:ascii="Times New Roman" w:hAnsi="Times New Roman"/>
                <w:color w:val="auto"/>
                <w:sz w:val="24"/>
              </w:rPr>
              <w:drawing>
                <wp:inline distT="0" distB="0" distL="0" distR="0">
                  <wp:extent cx="1941195" cy="415925"/>
                  <wp:effectExtent l="0" t="0" r="1905" b="3175"/>
                  <wp:docPr id="1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41195" cy="415925"/>
                          </a:xfrm>
                          <a:prstGeom prst="rect">
                            <a:avLst/>
                          </a:prstGeom>
                          <a:noFill/>
                          <a:ln>
                            <a:noFill/>
                          </a:ln>
                        </pic:spPr>
                      </pic:pic>
                    </a:graphicData>
                  </a:graphic>
                </wp:inline>
              </w:drawing>
            </w:r>
          </w:p>
          <w:p>
            <w:pPr>
              <w:pStyle w:val="3"/>
              <w:spacing w:before="0" w:after="0" w:line="360" w:lineRule="auto"/>
              <w:jc w:val="center"/>
              <w:rPr>
                <w:rFonts w:ascii="Times New Roman" w:hAnsi="Times New Roman"/>
                <w:color w:val="auto"/>
                <w:sz w:val="24"/>
              </w:rPr>
            </w:pPr>
            <w:r>
              <w:rPr>
                <w:rFonts w:ascii="Times New Roman" w:hAnsi="Times New Roman"/>
                <w:color w:val="auto"/>
                <w:sz w:val="24"/>
              </w:rPr>
              <w:drawing>
                <wp:inline distT="0" distB="0" distL="0" distR="0">
                  <wp:extent cx="1873885" cy="401320"/>
                  <wp:effectExtent l="0" t="0" r="0" b="0"/>
                  <wp:docPr id="15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73885" cy="401320"/>
                          </a:xfrm>
                          <a:prstGeom prst="rect">
                            <a:avLst/>
                          </a:prstGeom>
                          <a:noFill/>
                          <a:ln>
                            <a:noFill/>
                          </a:ln>
                        </pic:spPr>
                      </pic:pic>
                    </a:graphicData>
                  </a:graphic>
                </wp:inline>
              </w:drawing>
            </w:r>
          </w:p>
          <w:p>
            <w:pPr>
              <w:pStyle w:val="3"/>
              <w:spacing w:before="0" w:after="0" w:line="360" w:lineRule="auto"/>
              <w:ind w:firstLine="480" w:firstLineChars="200"/>
              <w:rPr>
                <w:rFonts w:ascii="Times New Roman" w:hAnsi="Times New Roman"/>
                <w:b w:val="0"/>
                <w:bCs w:val="0"/>
                <w:color w:val="auto"/>
                <w:sz w:val="24"/>
              </w:rPr>
            </w:pPr>
            <w:r>
              <w:rPr>
                <w:rFonts w:ascii="Times New Roman" w:hAnsi="Times New Roman"/>
                <w:b w:val="0"/>
                <w:bCs w:val="0"/>
                <w:color w:val="auto"/>
                <w:sz w:val="24"/>
              </w:rPr>
              <w:t>式中：S</w:t>
            </w:r>
            <w:r>
              <w:rPr>
                <w:rFonts w:ascii="Times New Roman" w:hAnsi="Times New Roman"/>
                <w:b w:val="0"/>
                <w:bCs w:val="0"/>
                <w:color w:val="auto"/>
                <w:sz w:val="24"/>
                <w:vertAlign w:val="subscript"/>
              </w:rPr>
              <w:t>pH,j</w:t>
            </w:r>
            <w:r>
              <w:rPr>
                <w:rFonts w:ascii="Times New Roman" w:hAnsi="Times New Roman"/>
                <w:b w:val="0"/>
                <w:bCs w:val="0"/>
                <w:color w:val="auto"/>
                <w:sz w:val="24"/>
              </w:rPr>
              <w:t>—pH值的标准指数；</w:t>
            </w:r>
          </w:p>
          <w:p>
            <w:pPr>
              <w:spacing w:line="360" w:lineRule="auto"/>
              <w:ind w:firstLine="1274" w:firstLineChars="531"/>
              <w:jc w:val="both"/>
              <w:rPr>
                <w:rFonts w:ascii="Times New Roman" w:hAnsi="Times New Roman"/>
                <w:color w:val="auto"/>
                <w:sz w:val="24"/>
              </w:rPr>
            </w:pPr>
            <w:r>
              <w:rPr>
                <w:rFonts w:ascii="Times New Roman" w:hAnsi="Times New Roman"/>
                <w:color w:val="auto"/>
                <w:sz w:val="24"/>
              </w:rPr>
              <w:t>pH</w:t>
            </w:r>
            <w:r>
              <w:rPr>
                <w:rFonts w:ascii="Times New Roman" w:hAnsi="Times New Roman"/>
                <w:color w:val="auto"/>
                <w:sz w:val="24"/>
                <w:vertAlign w:val="subscript"/>
              </w:rPr>
              <w:t>j</w:t>
            </w:r>
            <w:r>
              <w:rPr>
                <w:rFonts w:ascii="Times New Roman" w:hAnsi="Times New Roman"/>
                <w:color w:val="auto"/>
                <w:sz w:val="24"/>
              </w:rPr>
              <w:t>—pH的实测值；</w:t>
            </w:r>
          </w:p>
          <w:p>
            <w:pPr>
              <w:spacing w:line="360" w:lineRule="auto"/>
              <w:ind w:firstLine="1274" w:firstLineChars="531"/>
              <w:jc w:val="both"/>
              <w:rPr>
                <w:rFonts w:ascii="Times New Roman" w:hAnsi="Times New Roman"/>
                <w:color w:val="auto"/>
                <w:sz w:val="24"/>
              </w:rPr>
            </w:pPr>
            <w:r>
              <w:rPr>
                <w:rFonts w:ascii="Times New Roman" w:hAnsi="Times New Roman"/>
                <w:color w:val="auto"/>
                <w:sz w:val="24"/>
              </w:rPr>
              <w:t>pH</w:t>
            </w:r>
            <w:r>
              <w:rPr>
                <w:rFonts w:ascii="Times New Roman" w:hAnsi="Times New Roman"/>
                <w:color w:val="auto"/>
                <w:sz w:val="24"/>
                <w:vertAlign w:val="subscript"/>
              </w:rPr>
              <w:t>sd</w:t>
            </w:r>
            <w:r>
              <w:rPr>
                <w:rFonts w:ascii="Times New Roman" w:hAnsi="Times New Roman"/>
                <w:color w:val="auto"/>
                <w:sz w:val="24"/>
              </w:rPr>
              <w:t>—评价标准中pH的下限值；</w:t>
            </w:r>
          </w:p>
          <w:p>
            <w:pPr>
              <w:spacing w:line="360" w:lineRule="auto"/>
              <w:ind w:firstLine="1274" w:firstLineChars="531"/>
              <w:jc w:val="both"/>
              <w:rPr>
                <w:rFonts w:ascii="Times New Roman" w:hAnsi="Times New Roman"/>
                <w:color w:val="auto"/>
                <w:sz w:val="24"/>
              </w:rPr>
            </w:pPr>
            <w:r>
              <w:rPr>
                <w:rFonts w:ascii="Times New Roman" w:hAnsi="Times New Roman"/>
                <w:color w:val="auto"/>
                <w:sz w:val="24"/>
              </w:rPr>
              <w:t>pH</w:t>
            </w:r>
            <w:r>
              <w:rPr>
                <w:rFonts w:ascii="Times New Roman" w:hAnsi="Times New Roman"/>
                <w:color w:val="auto"/>
                <w:sz w:val="24"/>
                <w:vertAlign w:val="subscript"/>
              </w:rPr>
              <w:t>su</w:t>
            </w:r>
            <w:r>
              <w:rPr>
                <w:rFonts w:ascii="Times New Roman" w:hAnsi="Times New Roman"/>
                <w:color w:val="auto"/>
                <w:sz w:val="24"/>
              </w:rPr>
              <w:t>—评价标准中pH的上限值。</w:t>
            </w:r>
          </w:p>
          <w:p>
            <w:pPr>
              <w:pStyle w:val="48"/>
              <w:spacing w:line="360" w:lineRule="auto"/>
              <w:ind w:firstLine="480"/>
              <w:jc w:val="both"/>
              <w:rPr>
                <w:rFonts w:ascii="Times New Roman" w:hAnsi="Times New Roman"/>
                <w:color w:val="auto"/>
              </w:rPr>
            </w:pPr>
            <w:r>
              <w:rPr>
                <w:rFonts w:ascii="Times New Roman" w:hAnsi="Times New Roman"/>
                <w:color w:val="auto"/>
              </w:rPr>
              <w:t>（5）评价结果</w:t>
            </w:r>
          </w:p>
          <w:p>
            <w:pPr>
              <w:pStyle w:val="48"/>
              <w:spacing w:line="360" w:lineRule="auto"/>
              <w:ind w:firstLine="480"/>
              <w:jc w:val="both"/>
              <w:rPr>
                <w:rFonts w:ascii="Times New Roman" w:hAnsi="Times New Roman"/>
                <w:color w:val="auto"/>
              </w:rPr>
            </w:pPr>
            <w:r>
              <w:rPr>
                <w:rFonts w:ascii="Times New Roman" w:hAnsi="Times New Roman"/>
                <w:color w:val="auto"/>
              </w:rPr>
              <w:t>评价区地下水质量</w:t>
            </w:r>
            <w:r>
              <w:rPr>
                <w:rFonts w:hint="eastAsia" w:ascii="Times New Roman" w:hAnsi="Times New Roman"/>
                <w:color w:val="auto"/>
              </w:rPr>
              <w:t>监测</w:t>
            </w:r>
            <w:r>
              <w:rPr>
                <w:rFonts w:ascii="Times New Roman" w:hAnsi="Times New Roman"/>
                <w:color w:val="auto"/>
              </w:rPr>
              <w:t>结果</w:t>
            </w:r>
            <w:r>
              <w:rPr>
                <w:rFonts w:hint="eastAsia" w:ascii="Times New Roman" w:hAnsi="Times New Roman"/>
                <w:color w:val="auto"/>
              </w:rPr>
              <w:t>表</w:t>
            </w:r>
            <w:r>
              <w:rPr>
                <w:rFonts w:ascii="Times New Roman" w:hAnsi="Times New Roman"/>
                <w:color w:val="auto"/>
              </w:rPr>
              <w:t>见表4</w:t>
            </w:r>
            <w:r>
              <w:rPr>
                <w:rFonts w:hint="eastAsia" w:ascii="Times New Roman" w:hAnsi="Times New Roman"/>
                <w:color w:val="auto"/>
              </w:rPr>
              <w:t>，地下水监测评价结果表见表5</w:t>
            </w:r>
            <w:r>
              <w:rPr>
                <w:rFonts w:ascii="Times New Roman" w:hAnsi="Times New Roman"/>
                <w:color w:val="auto"/>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表4  地下水监测结果表</w:t>
            </w:r>
          </w:p>
          <w:tbl>
            <w:tblPr>
              <w:tblStyle w:val="37"/>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503"/>
              <w:gridCol w:w="1344"/>
              <w:gridCol w:w="1043"/>
              <w:gridCol w:w="1276"/>
              <w:gridCol w:w="826"/>
              <w:gridCol w:w="930"/>
              <w:gridCol w:w="791"/>
              <w:gridCol w:w="791"/>
              <w:gridCol w:w="7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303" w:type="pct"/>
                  <w:vAlign w:val="center"/>
                </w:tcPr>
                <w:p>
                  <w:pPr>
                    <w:pStyle w:val="86"/>
                    <w:rPr>
                      <w:rFonts w:ascii="Times New Roman" w:hAnsi="Times New Roman"/>
                      <w:color w:val="auto"/>
                    </w:rPr>
                  </w:pPr>
                  <w:r>
                    <w:rPr>
                      <w:rFonts w:ascii="Times New Roman" w:hAnsi="Times New Roman"/>
                      <w:color w:val="auto"/>
                    </w:rPr>
                    <w:t>序号</w:t>
                  </w:r>
                </w:p>
              </w:tc>
              <w:tc>
                <w:tcPr>
                  <w:tcW w:w="809" w:type="pct"/>
                  <w:vAlign w:val="center"/>
                </w:tcPr>
                <w:p>
                  <w:pPr>
                    <w:pStyle w:val="86"/>
                    <w:rPr>
                      <w:rFonts w:ascii="Times New Roman" w:hAnsi="Times New Roman"/>
                      <w:color w:val="auto"/>
                    </w:rPr>
                  </w:pPr>
                  <w:r>
                    <w:rPr>
                      <w:rFonts w:ascii="Times New Roman" w:hAnsi="Times New Roman"/>
                      <w:color w:val="auto"/>
                    </w:rPr>
                    <w:t>项目</w:t>
                  </w:r>
                </w:p>
              </w:tc>
              <w:tc>
                <w:tcPr>
                  <w:tcW w:w="628" w:type="pct"/>
                  <w:vAlign w:val="center"/>
                </w:tcPr>
                <w:p>
                  <w:pPr>
                    <w:pStyle w:val="86"/>
                    <w:rPr>
                      <w:rFonts w:ascii="Times New Roman" w:hAnsi="Times New Roman"/>
                      <w:color w:val="auto"/>
                    </w:rPr>
                  </w:pPr>
                  <w:r>
                    <w:rPr>
                      <w:rFonts w:ascii="Times New Roman" w:hAnsi="Times New Roman"/>
                      <w:color w:val="auto"/>
                    </w:rPr>
                    <w:t>单位</w:t>
                  </w:r>
                </w:p>
              </w:tc>
              <w:tc>
                <w:tcPr>
                  <w:tcW w:w="768" w:type="pct"/>
                  <w:vAlign w:val="center"/>
                </w:tcPr>
                <w:p>
                  <w:pPr>
                    <w:pStyle w:val="86"/>
                    <w:rPr>
                      <w:rFonts w:ascii="Times New Roman" w:hAnsi="Times New Roman"/>
                      <w:color w:val="auto"/>
                    </w:rPr>
                  </w:pPr>
                  <w:r>
                    <w:rPr>
                      <w:rFonts w:ascii="Times New Roman" w:hAnsi="Times New Roman"/>
                      <w:color w:val="auto"/>
                    </w:rPr>
                    <w:t>III类标准值</w:t>
                  </w:r>
                </w:p>
              </w:tc>
              <w:tc>
                <w:tcPr>
                  <w:tcW w:w="497" w:type="pct"/>
                  <w:vAlign w:val="center"/>
                </w:tcPr>
                <w:p>
                  <w:pPr>
                    <w:pStyle w:val="86"/>
                    <w:rPr>
                      <w:rFonts w:ascii="Times New Roman" w:hAnsi="Times New Roman"/>
                      <w:color w:val="auto"/>
                    </w:rPr>
                  </w:pPr>
                  <w:r>
                    <w:rPr>
                      <w:rFonts w:ascii="Times New Roman" w:hAnsi="Times New Roman"/>
                      <w:color w:val="auto"/>
                    </w:rPr>
                    <w:t>1#</w:t>
                  </w:r>
                </w:p>
              </w:tc>
              <w:tc>
                <w:tcPr>
                  <w:tcW w:w="560" w:type="pct"/>
                  <w:vAlign w:val="center"/>
                </w:tcPr>
                <w:p>
                  <w:pPr>
                    <w:pStyle w:val="86"/>
                    <w:rPr>
                      <w:rFonts w:ascii="Times New Roman" w:hAnsi="Times New Roman"/>
                      <w:color w:val="auto"/>
                    </w:rPr>
                  </w:pPr>
                  <w:r>
                    <w:rPr>
                      <w:rFonts w:ascii="Times New Roman" w:hAnsi="Times New Roman"/>
                      <w:color w:val="auto"/>
                    </w:rPr>
                    <w:t>2#</w:t>
                  </w:r>
                </w:p>
              </w:tc>
              <w:tc>
                <w:tcPr>
                  <w:tcW w:w="476" w:type="pct"/>
                  <w:vAlign w:val="center"/>
                </w:tcPr>
                <w:p>
                  <w:pPr>
                    <w:pStyle w:val="86"/>
                    <w:rPr>
                      <w:rFonts w:ascii="Times New Roman" w:hAnsi="Times New Roman"/>
                      <w:color w:val="auto"/>
                    </w:rPr>
                  </w:pPr>
                  <w:r>
                    <w:rPr>
                      <w:rFonts w:ascii="Times New Roman" w:hAnsi="Times New Roman"/>
                      <w:color w:val="auto"/>
                    </w:rPr>
                    <w:t>3#</w:t>
                  </w:r>
                </w:p>
              </w:tc>
              <w:tc>
                <w:tcPr>
                  <w:tcW w:w="476" w:type="pct"/>
                  <w:vAlign w:val="center"/>
                </w:tcPr>
                <w:p>
                  <w:pPr>
                    <w:pStyle w:val="86"/>
                    <w:rPr>
                      <w:rFonts w:ascii="Times New Roman" w:hAnsi="Times New Roman"/>
                      <w:color w:val="auto"/>
                    </w:rPr>
                  </w:pPr>
                  <w:r>
                    <w:rPr>
                      <w:rFonts w:ascii="Times New Roman" w:hAnsi="Times New Roman"/>
                      <w:color w:val="auto"/>
                    </w:rPr>
                    <w:t>4#</w:t>
                  </w:r>
                </w:p>
              </w:tc>
              <w:tc>
                <w:tcPr>
                  <w:tcW w:w="477" w:type="pct"/>
                  <w:vAlign w:val="center"/>
                </w:tcPr>
                <w:p>
                  <w:pPr>
                    <w:pStyle w:val="86"/>
                    <w:rPr>
                      <w:rFonts w:ascii="Times New Roman" w:hAnsi="Times New Roman"/>
                      <w:color w:val="auto"/>
                    </w:rPr>
                  </w:pPr>
                  <w:r>
                    <w:rPr>
                      <w:rFonts w:ascii="Times New Roman" w:hAnsi="Times New Roman"/>
                      <w:color w:val="auto"/>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1</w:t>
                  </w:r>
                </w:p>
              </w:tc>
              <w:tc>
                <w:tcPr>
                  <w:tcW w:w="809" w:type="pct"/>
                  <w:vAlign w:val="center"/>
                </w:tcPr>
                <w:p>
                  <w:pPr>
                    <w:jc w:val="center"/>
                    <w:rPr>
                      <w:rFonts w:ascii="Times New Roman" w:hAnsi="Times New Roman"/>
                      <w:bCs/>
                      <w:color w:val="auto"/>
                      <w:szCs w:val="21"/>
                      <w:lang w:bidi="ar"/>
                    </w:rPr>
                  </w:pPr>
                  <w:r>
                    <w:rPr>
                      <w:rFonts w:ascii="Times New Roman" w:hAnsi="Times New Roman"/>
                      <w:bCs/>
                      <w:color w:val="auto"/>
                      <w:kern w:val="0"/>
                    </w:rPr>
                    <w:t>pH</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无量纲</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6.5~8.5</w:t>
                  </w:r>
                </w:p>
              </w:tc>
              <w:tc>
                <w:tcPr>
                  <w:tcW w:w="497" w:type="pct"/>
                  <w:vAlign w:val="center"/>
                </w:tcPr>
                <w:p>
                  <w:pPr>
                    <w:pStyle w:val="86"/>
                    <w:rPr>
                      <w:rFonts w:ascii="Times New Roman" w:hAnsi="Times New Roman"/>
                      <w:color w:val="auto"/>
                    </w:rPr>
                  </w:pPr>
                  <w:r>
                    <w:rPr>
                      <w:rFonts w:ascii="Times New Roman" w:hAnsi="Times New Roman"/>
                      <w:color w:val="auto"/>
                    </w:rPr>
                    <w:t>8.07</w:t>
                  </w:r>
                </w:p>
              </w:tc>
              <w:tc>
                <w:tcPr>
                  <w:tcW w:w="560" w:type="pct"/>
                  <w:vAlign w:val="center"/>
                </w:tcPr>
                <w:p>
                  <w:pPr>
                    <w:pStyle w:val="86"/>
                    <w:rPr>
                      <w:rFonts w:ascii="Times New Roman" w:hAnsi="Times New Roman"/>
                      <w:color w:val="auto"/>
                    </w:rPr>
                  </w:pPr>
                  <w:r>
                    <w:rPr>
                      <w:rFonts w:ascii="Times New Roman" w:hAnsi="Times New Roman"/>
                      <w:color w:val="auto"/>
                    </w:rPr>
                    <w:t>8.02</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7.2</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7.2</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2</w:t>
                  </w:r>
                </w:p>
              </w:tc>
              <w:tc>
                <w:tcPr>
                  <w:tcW w:w="809" w:type="pct"/>
                  <w:vAlign w:val="center"/>
                </w:tcPr>
                <w:p>
                  <w:pPr>
                    <w:jc w:val="center"/>
                    <w:rPr>
                      <w:rFonts w:ascii="Times New Roman" w:hAnsi="Times New Roman"/>
                      <w:bCs/>
                      <w:color w:val="auto"/>
                      <w:szCs w:val="21"/>
                      <w:lang w:bidi="ar"/>
                    </w:rPr>
                  </w:pPr>
                  <w:r>
                    <w:rPr>
                      <w:rFonts w:ascii="Times New Roman" w:hAnsi="Times New Roman"/>
                      <w:bCs/>
                      <w:color w:val="auto"/>
                      <w:kern w:val="0"/>
                    </w:rPr>
                    <w:t>总硬度</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≤450mg/L</w:t>
                  </w:r>
                </w:p>
              </w:tc>
              <w:tc>
                <w:tcPr>
                  <w:tcW w:w="497"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463</w:t>
                  </w:r>
                </w:p>
              </w:tc>
              <w:tc>
                <w:tcPr>
                  <w:tcW w:w="560"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685</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70</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68</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3</w:t>
                  </w:r>
                </w:p>
              </w:tc>
              <w:tc>
                <w:tcPr>
                  <w:tcW w:w="809" w:type="pct"/>
                  <w:vAlign w:val="center"/>
                </w:tcPr>
                <w:p>
                  <w:pPr>
                    <w:jc w:val="center"/>
                    <w:rPr>
                      <w:rFonts w:ascii="Times New Roman" w:hAnsi="Times New Roman"/>
                      <w:color w:val="auto"/>
                    </w:rPr>
                  </w:pPr>
                  <w:r>
                    <w:rPr>
                      <w:rFonts w:ascii="Times New Roman" w:hAnsi="Times New Roman"/>
                      <w:color w:val="auto"/>
                      <w:szCs w:val="21"/>
                    </w:rPr>
                    <w:t>耗氧量（高锰酸盐指数）</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≤3.0mg/L</w:t>
                  </w:r>
                </w:p>
              </w:tc>
              <w:tc>
                <w:tcPr>
                  <w:tcW w:w="497" w:type="pct"/>
                  <w:vAlign w:val="center"/>
                </w:tcPr>
                <w:p>
                  <w:pPr>
                    <w:pStyle w:val="86"/>
                    <w:rPr>
                      <w:rFonts w:ascii="Times New Roman" w:hAnsi="Times New Roman"/>
                      <w:color w:val="auto"/>
                    </w:rPr>
                  </w:pPr>
                  <w:r>
                    <w:rPr>
                      <w:rFonts w:ascii="Times New Roman" w:hAnsi="Times New Roman"/>
                      <w:color w:val="auto"/>
                    </w:rPr>
                    <w:t>1.9</w:t>
                  </w:r>
                </w:p>
              </w:tc>
              <w:tc>
                <w:tcPr>
                  <w:tcW w:w="560" w:type="pct"/>
                  <w:vAlign w:val="center"/>
                </w:tcPr>
                <w:p>
                  <w:pPr>
                    <w:pStyle w:val="86"/>
                    <w:rPr>
                      <w:rFonts w:ascii="Times New Roman" w:hAnsi="Times New Roman"/>
                      <w:color w:val="auto"/>
                    </w:rPr>
                  </w:pPr>
                  <w:r>
                    <w:rPr>
                      <w:rFonts w:ascii="Times New Roman" w:hAnsi="Times New Roman"/>
                      <w:color w:val="auto"/>
                    </w:rPr>
                    <w:t>2.8</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1.8</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1.7</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4</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氯化物</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≤250mg/L</w:t>
                  </w:r>
                </w:p>
              </w:tc>
              <w:tc>
                <w:tcPr>
                  <w:tcW w:w="497"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625</w:t>
                  </w:r>
                </w:p>
              </w:tc>
              <w:tc>
                <w:tcPr>
                  <w:tcW w:w="560"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4.21×10</w:t>
                  </w:r>
                  <w:r>
                    <w:rPr>
                      <w:rFonts w:ascii="Times New Roman" w:hAnsi="Times New Roman"/>
                      <w:color w:val="auto"/>
                      <w:vertAlign w:val="superscript"/>
                    </w:rPr>
                    <w:t>3</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11</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7</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5</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溶解性总固体</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≤1000mg/L</w:t>
                  </w:r>
                </w:p>
              </w:tc>
              <w:tc>
                <w:tcPr>
                  <w:tcW w:w="497"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2.1×10</w:t>
                  </w:r>
                  <w:r>
                    <w:rPr>
                      <w:rFonts w:ascii="Times New Roman" w:hAnsi="Times New Roman"/>
                      <w:color w:val="auto"/>
                      <w:vertAlign w:val="superscript"/>
                    </w:rPr>
                    <w:t>-3</w:t>
                  </w:r>
                </w:p>
              </w:tc>
              <w:tc>
                <w:tcPr>
                  <w:tcW w:w="560"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3.1×10</w:t>
                  </w:r>
                  <w:r>
                    <w:rPr>
                      <w:rFonts w:ascii="Times New Roman" w:hAnsi="Times New Roman"/>
                      <w:color w:val="auto"/>
                      <w:vertAlign w:val="superscript"/>
                    </w:rPr>
                    <w:t>-3</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141</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130</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143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03" w:type="pct"/>
                  <w:vAlign w:val="center"/>
                </w:tcPr>
                <w:p>
                  <w:pPr>
                    <w:pStyle w:val="86"/>
                    <w:rPr>
                      <w:rFonts w:ascii="Times New Roman" w:hAnsi="Times New Roman"/>
                      <w:color w:val="auto"/>
                    </w:rPr>
                  </w:pPr>
                  <w:r>
                    <w:rPr>
                      <w:rFonts w:ascii="Times New Roman" w:hAnsi="Times New Roman"/>
                      <w:color w:val="auto"/>
                    </w:rPr>
                    <w:t>6</w:t>
                  </w:r>
                </w:p>
              </w:tc>
              <w:tc>
                <w:tcPr>
                  <w:tcW w:w="809" w:type="pct"/>
                  <w:vAlign w:val="center"/>
                </w:tcPr>
                <w:p>
                  <w:pPr>
                    <w:jc w:val="center"/>
                    <w:rPr>
                      <w:rFonts w:ascii="Times New Roman" w:hAnsi="Times New Roman"/>
                      <w:color w:val="auto"/>
                      <w:szCs w:val="21"/>
                    </w:rPr>
                  </w:pPr>
                  <w:r>
                    <w:rPr>
                      <w:rFonts w:ascii="Times New Roman" w:hAnsi="Times New Roman"/>
                      <w:bCs/>
                      <w:color w:val="auto"/>
                      <w:kern w:val="0"/>
                    </w:rPr>
                    <w:t>氟化物</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≤1.0mg/L</w:t>
                  </w:r>
                </w:p>
              </w:tc>
              <w:tc>
                <w:tcPr>
                  <w:tcW w:w="497"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1.15</w:t>
                  </w:r>
                </w:p>
              </w:tc>
              <w:tc>
                <w:tcPr>
                  <w:tcW w:w="560"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1.94</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0.28</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0.31</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7</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氨氮</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≤0.50mg/L</w:t>
                  </w:r>
                </w:p>
              </w:tc>
              <w:tc>
                <w:tcPr>
                  <w:tcW w:w="497" w:type="pct"/>
                  <w:vAlign w:val="center"/>
                </w:tcPr>
                <w:p>
                  <w:pPr>
                    <w:pStyle w:val="86"/>
                    <w:rPr>
                      <w:rFonts w:ascii="Times New Roman" w:hAnsi="Times New Roman"/>
                      <w:color w:val="auto"/>
                    </w:rPr>
                  </w:pPr>
                  <w:r>
                    <w:rPr>
                      <w:rFonts w:ascii="Times New Roman" w:hAnsi="Times New Roman"/>
                      <w:color w:val="auto"/>
                    </w:rPr>
                    <w:t>0.098</w:t>
                  </w:r>
                </w:p>
              </w:tc>
              <w:tc>
                <w:tcPr>
                  <w:tcW w:w="560" w:type="pct"/>
                  <w:vAlign w:val="center"/>
                </w:tcPr>
                <w:p>
                  <w:pPr>
                    <w:pStyle w:val="86"/>
                    <w:rPr>
                      <w:rFonts w:ascii="Times New Roman" w:hAnsi="Times New Roman"/>
                      <w:color w:val="auto"/>
                    </w:rPr>
                  </w:pPr>
                  <w:r>
                    <w:rPr>
                      <w:rFonts w:ascii="Times New Roman" w:hAnsi="Times New Roman"/>
                      <w:color w:val="auto"/>
                    </w:rPr>
                    <w:t>0.061</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0.230</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0.271</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0.254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8</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硝酸盐</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≤20.0mg/L</w:t>
                  </w:r>
                </w:p>
              </w:tc>
              <w:tc>
                <w:tcPr>
                  <w:tcW w:w="497" w:type="pct"/>
                  <w:vAlign w:val="center"/>
                </w:tcPr>
                <w:p>
                  <w:pPr>
                    <w:pStyle w:val="86"/>
                    <w:rPr>
                      <w:rFonts w:ascii="Times New Roman" w:hAnsi="Times New Roman"/>
                      <w:color w:val="auto"/>
                    </w:rPr>
                  </w:pPr>
                  <w:r>
                    <w:rPr>
                      <w:rFonts w:ascii="Times New Roman" w:hAnsi="Times New Roman"/>
                      <w:color w:val="auto"/>
                    </w:rPr>
                    <w:t>0.4</w:t>
                  </w:r>
                </w:p>
              </w:tc>
              <w:tc>
                <w:tcPr>
                  <w:tcW w:w="560" w:type="pct"/>
                  <w:vAlign w:val="center"/>
                </w:tcPr>
                <w:p>
                  <w:pPr>
                    <w:pStyle w:val="86"/>
                    <w:rPr>
                      <w:rFonts w:ascii="Times New Roman" w:hAnsi="Times New Roman"/>
                      <w:color w:val="auto"/>
                    </w:rPr>
                  </w:pPr>
                  <w:r>
                    <w:rPr>
                      <w:rFonts w:ascii="Times New Roman" w:hAnsi="Times New Roman"/>
                      <w:color w:val="auto"/>
                    </w:rPr>
                    <w:t>0.14</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0.63</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0.68</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03" w:type="pct"/>
                  <w:vAlign w:val="center"/>
                </w:tcPr>
                <w:p>
                  <w:pPr>
                    <w:pStyle w:val="86"/>
                    <w:rPr>
                      <w:rFonts w:ascii="Times New Roman" w:hAnsi="Times New Roman"/>
                      <w:color w:val="auto"/>
                    </w:rPr>
                  </w:pPr>
                  <w:r>
                    <w:rPr>
                      <w:rFonts w:ascii="Times New Roman" w:hAnsi="Times New Roman"/>
                      <w:color w:val="auto"/>
                    </w:rPr>
                    <w:t>9</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亚硝酸盐</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≤1.00mg/L</w:t>
                  </w:r>
                </w:p>
              </w:tc>
              <w:tc>
                <w:tcPr>
                  <w:tcW w:w="497" w:type="pct"/>
                  <w:vAlign w:val="center"/>
                </w:tcPr>
                <w:p>
                  <w:pPr>
                    <w:pStyle w:val="86"/>
                    <w:rPr>
                      <w:rFonts w:ascii="Times New Roman" w:hAnsi="Times New Roman"/>
                      <w:color w:val="auto"/>
                    </w:rPr>
                  </w:pPr>
                  <w:r>
                    <w:rPr>
                      <w:rFonts w:ascii="Times New Roman" w:hAnsi="Times New Roman"/>
                      <w:color w:val="auto"/>
                    </w:rPr>
                    <w:t>0.003L</w:t>
                  </w:r>
                </w:p>
              </w:tc>
              <w:tc>
                <w:tcPr>
                  <w:tcW w:w="560" w:type="pct"/>
                  <w:vAlign w:val="center"/>
                </w:tcPr>
                <w:p>
                  <w:pPr>
                    <w:pStyle w:val="86"/>
                    <w:rPr>
                      <w:rFonts w:ascii="Times New Roman" w:hAnsi="Times New Roman"/>
                      <w:color w:val="auto"/>
                    </w:rPr>
                  </w:pPr>
                  <w:r>
                    <w:rPr>
                      <w:rFonts w:ascii="Times New Roman" w:hAnsi="Times New Roman"/>
                      <w:color w:val="auto"/>
                    </w:rPr>
                    <w:t>0.003L</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&lt;0.003</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&lt;0.003</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10</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硫酸盐</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≤250mg/L</w:t>
                  </w:r>
                </w:p>
              </w:tc>
              <w:tc>
                <w:tcPr>
                  <w:tcW w:w="497"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686</w:t>
                  </w:r>
                </w:p>
              </w:tc>
              <w:tc>
                <w:tcPr>
                  <w:tcW w:w="560"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1.25×10</w:t>
                  </w:r>
                  <w:r>
                    <w:rPr>
                      <w:rFonts w:ascii="Times New Roman" w:hAnsi="Times New Roman"/>
                      <w:color w:val="auto"/>
                      <w:vertAlign w:val="superscript"/>
                    </w:rPr>
                    <w:t>-3</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28</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38</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11</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六价铬</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≤0.05mg/L</w:t>
                  </w:r>
                </w:p>
              </w:tc>
              <w:tc>
                <w:tcPr>
                  <w:tcW w:w="497" w:type="pct"/>
                  <w:vAlign w:val="center"/>
                </w:tcPr>
                <w:p>
                  <w:pPr>
                    <w:pStyle w:val="86"/>
                    <w:rPr>
                      <w:rFonts w:ascii="Times New Roman" w:hAnsi="Times New Roman"/>
                      <w:color w:val="auto"/>
                    </w:rPr>
                  </w:pPr>
                  <w:r>
                    <w:rPr>
                      <w:rFonts w:ascii="Times New Roman" w:hAnsi="Times New Roman"/>
                      <w:color w:val="auto"/>
                    </w:rPr>
                    <w:t>0.004L</w:t>
                  </w:r>
                </w:p>
              </w:tc>
              <w:tc>
                <w:tcPr>
                  <w:tcW w:w="560" w:type="pct"/>
                  <w:vAlign w:val="center"/>
                </w:tcPr>
                <w:p>
                  <w:pPr>
                    <w:pStyle w:val="86"/>
                    <w:rPr>
                      <w:rFonts w:ascii="Times New Roman" w:hAnsi="Times New Roman"/>
                      <w:color w:val="auto"/>
                    </w:rPr>
                  </w:pPr>
                  <w:r>
                    <w:rPr>
                      <w:rFonts w:ascii="Times New Roman" w:hAnsi="Times New Roman"/>
                      <w:color w:val="auto"/>
                    </w:rPr>
                    <w:t>0.004L</w:t>
                  </w:r>
                </w:p>
              </w:tc>
              <w:tc>
                <w:tcPr>
                  <w:tcW w:w="476" w:type="pct"/>
                  <w:vAlign w:val="center"/>
                </w:tcPr>
                <w:p>
                  <w:pPr>
                    <w:jc w:val="center"/>
                    <w:rPr>
                      <w:rFonts w:ascii="Times New Roman" w:hAnsi="Times New Roman"/>
                      <w:color w:val="auto"/>
                      <w:szCs w:val="21"/>
                    </w:rPr>
                  </w:pPr>
                  <w:r>
                    <w:rPr>
                      <w:rFonts w:ascii="Times New Roman" w:hAnsi="Times New Roman"/>
                      <w:color w:val="auto"/>
                      <w:szCs w:val="21"/>
                    </w:rPr>
                    <w:t>0.004</w:t>
                  </w:r>
                </w:p>
              </w:tc>
              <w:tc>
                <w:tcPr>
                  <w:tcW w:w="476" w:type="pct"/>
                  <w:vAlign w:val="center"/>
                </w:tcPr>
                <w:p>
                  <w:pPr>
                    <w:jc w:val="center"/>
                    <w:rPr>
                      <w:rFonts w:ascii="Times New Roman" w:hAnsi="Times New Roman"/>
                      <w:color w:val="auto"/>
                      <w:szCs w:val="21"/>
                    </w:rPr>
                  </w:pPr>
                  <w:r>
                    <w:rPr>
                      <w:rFonts w:ascii="Times New Roman" w:hAnsi="Times New Roman"/>
                      <w:color w:val="auto"/>
                      <w:szCs w:val="21"/>
                    </w:rPr>
                    <w:t>&lt;0.004</w:t>
                  </w:r>
                </w:p>
              </w:tc>
              <w:tc>
                <w:tcPr>
                  <w:tcW w:w="477" w:type="pct"/>
                  <w:vAlign w:val="center"/>
                </w:tcPr>
                <w:p>
                  <w:pPr>
                    <w:jc w:val="center"/>
                    <w:rPr>
                      <w:rFonts w:ascii="Times New Roman" w:hAnsi="Times New Roman"/>
                      <w:color w:val="auto"/>
                      <w:szCs w:val="21"/>
                    </w:rPr>
                  </w:pPr>
                  <w:r>
                    <w:rPr>
                      <w:rFonts w:ascii="Times New Roman" w:hAnsi="Times New Roman"/>
                      <w:color w:val="auto"/>
                      <w:szCs w:val="21"/>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12</w:t>
                  </w:r>
                </w:p>
              </w:tc>
              <w:tc>
                <w:tcPr>
                  <w:tcW w:w="809" w:type="pct"/>
                  <w:vAlign w:val="center"/>
                </w:tcPr>
                <w:p>
                  <w:pPr>
                    <w:jc w:val="center"/>
                    <w:rPr>
                      <w:rFonts w:ascii="Times New Roman" w:hAnsi="Times New Roman"/>
                      <w:color w:val="auto"/>
                    </w:rPr>
                  </w:pPr>
                  <w:r>
                    <w:rPr>
                      <w:rFonts w:ascii="Times New Roman" w:hAnsi="Times New Roman"/>
                      <w:bCs/>
                      <w:color w:val="auto"/>
                      <w:kern w:val="0"/>
                    </w:rPr>
                    <w:t>挥发酚</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≤0.002mg/L</w:t>
                  </w:r>
                </w:p>
              </w:tc>
              <w:tc>
                <w:tcPr>
                  <w:tcW w:w="497" w:type="pct"/>
                  <w:vAlign w:val="center"/>
                </w:tcPr>
                <w:p>
                  <w:pPr>
                    <w:pStyle w:val="86"/>
                    <w:rPr>
                      <w:rFonts w:ascii="Times New Roman" w:hAnsi="Times New Roman"/>
                      <w:color w:val="auto"/>
                    </w:rPr>
                  </w:pPr>
                  <w:r>
                    <w:rPr>
                      <w:rFonts w:ascii="Times New Roman" w:hAnsi="Times New Roman"/>
                      <w:color w:val="auto"/>
                    </w:rPr>
                    <w:t>0.001L</w:t>
                  </w:r>
                </w:p>
              </w:tc>
              <w:tc>
                <w:tcPr>
                  <w:tcW w:w="560" w:type="pct"/>
                  <w:vAlign w:val="center"/>
                </w:tcPr>
                <w:p>
                  <w:pPr>
                    <w:pStyle w:val="86"/>
                    <w:rPr>
                      <w:rFonts w:ascii="Times New Roman" w:hAnsi="Times New Roman"/>
                      <w:color w:val="auto"/>
                    </w:rPr>
                  </w:pPr>
                  <w:r>
                    <w:rPr>
                      <w:rFonts w:ascii="Times New Roman" w:hAnsi="Times New Roman"/>
                      <w:color w:val="auto"/>
                    </w:rPr>
                    <w:t>0.001L</w:t>
                  </w:r>
                </w:p>
              </w:tc>
              <w:tc>
                <w:tcPr>
                  <w:tcW w:w="476" w:type="pct"/>
                  <w:vAlign w:val="center"/>
                </w:tcPr>
                <w:p>
                  <w:pPr>
                    <w:jc w:val="center"/>
                    <w:rPr>
                      <w:rFonts w:ascii="Times New Roman" w:hAnsi="Times New Roman"/>
                      <w:color w:val="auto"/>
                      <w:szCs w:val="21"/>
                    </w:rPr>
                  </w:pPr>
                  <w:r>
                    <w:rPr>
                      <w:rFonts w:ascii="Times New Roman" w:hAnsi="Times New Roman"/>
                      <w:color w:val="auto"/>
                      <w:szCs w:val="21"/>
                    </w:rPr>
                    <w:t>&lt;0.0003</w:t>
                  </w:r>
                </w:p>
              </w:tc>
              <w:tc>
                <w:tcPr>
                  <w:tcW w:w="476" w:type="pct"/>
                  <w:vAlign w:val="center"/>
                </w:tcPr>
                <w:p>
                  <w:pPr>
                    <w:jc w:val="center"/>
                    <w:rPr>
                      <w:rFonts w:ascii="Times New Roman" w:hAnsi="Times New Roman"/>
                      <w:color w:val="auto"/>
                      <w:szCs w:val="21"/>
                    </w:rPr>
                  </w:pPr>
                  <w:r>
                    <w:rPr>
                      <w:rFonts w:ascii="Times New Roman" w:hAnsi="Times New Roman"/>
                      <w:color w:val="auto"/>
                      <w:szCs w:val="21"/>
                    </w:rPr>
                    <w:t>&lt;0.0003</w:t>
                  </w:r>
                </w:p>
              </w:tc>
              <w:tc>
                <w:tcPr>
                  <w:tcW w:w="477" w:type="pct"/>
                  <w:vAlign w:val="center"/>
                </w:tcPr>
                <w:p>
                  <w:pPr>
                    <w:jc w:val="center"/>
                    <w:rPr>
                      <w:rFonts w:ascii="Times New Roman" w:hAnsi="Times New Roman"/>
                      <w:color w:val="auto"/>
                      <w:szCs w:val="21"/>
                    </w:rPr>
                  </w:pPr>
                  <w:r>
                    <w:rPr>
                      <w:rFonts w:ascii="Times New Roman" w:hAnsi="Times New Roman"/>
                      <w:color w:val="auto"/>
                      <w:szCs w:val="21"/>
                    </w:rPr>
                    <w:t>&lt;0.0003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13</w:t>
                  </w:r>
                </w:p>
              </w:tc>
              <w:tc>
                <w:tcPr>
                  <w:tcW w:w="809" w:type="pct"/>
                  <w:vAlign w:val="center"/>
                </w:tcPr>
                <w:p>
                  <w:pPr>
                    <w:jc w:val="center"/>
                    <w:rPr>
                      <w:rFonts w:ascii="Times New Roman" w:hAnsi="Times New Roman"/>
                      <w:color w:val="auto"/>
                      <w:szCs w:val="21"/>
                    </w:rPr>
                  </w:pPr>
                  <w:r>
                    <w:rPr>
                      <w:rFonts w:ascii="Times New Roman" w:hAnsi="Times New Roman"/>
                      <w:bCs/>
                      <w:color w:val="auto"/>
                      <w:kern w:val="0"/>
                    </w:rPr>
                    <w:t>铜</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≤1.00mg/L</w:t>
                  </w:r>
                </w:p>
              </w:tc>
              <w:tc>
                <w:tcPr>
                  <w:tcW w:w="497" w:type="pct"/>
                  <w:vAlign w:val="center"/>
                </w:tcPr>
                <w:p>
                  <w:pPr>
                    <w:pStyle w:val="86"/>
                    <w:rPr>
                      <w:rFonts w:ascii="Times New Roman" w:hAnsi="Times New Roman"/>
                      <w:color w:val="auto"/>
                    </w:rPr>
                  </w:pPr>
                  <w:r>
                    <w:rPr>
                      <w:rFonts w:ascii="Times New Roman" w:hAnsi="Times New Roman"/>
                      <w:color w:val="auto"/>
                    </w:rPr>
                    <w:t>0.04L</w:t>
                  </w:r>
                </w:p>
              </w:tc>
              <w:tc>
                <w:tcPr>
                  <w:tcW w:w="560" w:type="pct"/>
                  <w:vAlign w:val="center"/>
                </w:tcPr>
                <w:p>
                  <w:pPr>
                    <w:pStyle w:val="86"/>
                    <w:rPr>
                      <w:rFonts w:ascii="Times New Roman" w:hAnsi="Times New Roman"/>
                      <w:color w:val="auto"/>
                    </w:rPr>
                  </w:pPr>
                  <w:r>
                    <w:rPr>
                      <w:rFonts w:ascii="Times New Roman" w:hAnsi="Times New Roman"/>
                      <w:color w:val="auto"/>
                    </w:rPr>
                    <w:t>0.04L</w:t>
                  </w:r>
                </w:p>
              </w:tc>
              <w:tc>
                <w:tcPr>
                  <w:tcW w:w="476" w:type="pct"/>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476" w:type="pct"/>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477" w:type="pct"/>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14</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锌</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≤1.00mg/L</w:t>
                  </w:r>
                </w:p>
              </w:tc>
              <w:tc>
                <w:tcPr>
                  <w:tcW w:w="497" w:type="pct"/>
                  <w:vAlign w:val="center"/>
                </w:tcPr>
                <w:p>
                  <w:pPr>
                    <w:pStyle w:val="86"/>
                    <w:rPr>
                      <w:rFonts w:ascii="Times New Roman" w:hAnsi="Times New Roman"/>
                      <w:color w:val="auto"/>
                    </w:rPr>
                  </w:pPr>
                  <w:r>
                    <w:rPr>
                      <w:rFonts w:ascii="Times New Roman" w:hAnsi="Times New Roman"/>
                      <w:color w:val="auto"/>
                    </w:rPr>
                    <w:t>0.009L</w:t>
                  </w:r>
                </w:p>
              </w:tc>
              <w:tc>
                <w:tcPr>
                  <w:tcW w:w="560" w:type="pct"/>
                  <w:vAlign w:val="center"/>
                </w:tcPr>
                <w:p>
                  <w:pPr>
                    <w:pStyle w:val="86"/>
                    <w:rPr>
                      <w:rFonts w:ascii="Times New Roman" w:hAnsi="Times New Roman"/>
                      <w:color w:val="auto"/>
                    </w:rPr>
                  </w:pPr>
                  <w:r>
                    <w:rPr>
                      <w:rFonts w:ascii="Times New Roman" w:hAnsi="Times New Roman"/>
                      <w:color w:val="auto"/>
                    </w:rPr>
                    <w:t>0.009L</w:t>
                  </w:r>
                </w:p>
              </w:tc>
              <w:tc>
                <w:tcPr>
                  <w:tcW w:w="476" w:type="pct"/>
                  <w:vAlign w:val="center"/>
                </w:tcPr>
                <w:p>
                  <w:pPr>
                    <w:widowControl w:val="0"/>
                    <w:jc w:val="center"/>
                    <w:rPr>
                      <w:rFonts w:ascii="Times New Roman" w:hAnsi="Times New Roman"/>
                      <w:color w:val="auto"/>
                      <w:szCs w:val="21"/>
                    </w:rPr>
                  </w:pPr>
                  <w:r>
                    <w:rPr>
                      <w:rFonts w:ascii="Times New Roman" w:hAnsi="Times New Roman"/>
                      <w:color w:val="auto"/>
                      <w:szCs w:val="21"/>
                    </w:rPr>
                    <w:t>&lt;0.05</w:t>
                  </w:r>
                </w:p>
              </w:tc>
              <w:tc>
                <w:tcPr>
                  <w:tcW w:w="476" w:type="pct"/>
                  <w:vAlign w:val="center"/>
                </w:tcPr>
                <w:p>
                  <w:pPr>
                    <w:widowControl w:val="0"/>
                    <w:jc w:val="center"/>
                    <w:rPr>
                      <w:rFonts w:ascii="Times New Roman" w:hAnsi="Times New Roman"/>
                      <w:color w:val="auto"/>
                      <w:szCs w:val="21"/>
                    </w:rPr>
                  </w:pPr>
                  <w:r>
                    <w:rPr>
                      <w:rFonts w:ascii="Times New Roman" w:hAnsi="Times New Roman"/>
                      <w:color w:val="auto"/>
                      <w:szCs w:val="21"/>
                    </w:rPr>
                    <w:t>&lt;0.05</w:t>
                  </w:r>
                </w:p>
              </w:tc>
              <w:tc>
                <w:tcPr>
                  <w:tcW w:w="477" w:type="pct"/>
                  <w:vAlign w:val="center"/>
                </w:tcPr>
                <w:p>
                  <w:pPr>
                    <w:widowControl w:val="0"/>
                    <w:jc w:val="center"/>
                    <w:rPr>
                      <w:rFonts w:ascii="Times New Roman" w:hAnsi="Times New Roman"/>
                      <w:color w:val="auto"/>
                      <w:szCs w:val="21"/>
                    </w:rPr>
                  </w:pPr>
                  <w:r>
                    <w:rPr>
                      <w:rFonts w:ascii="Times New Roman" w:hAnsi="Times New Roman"/>
                      <w:color w:val="auto"/>
                      <w:szCs w:val="21"/>
                    </w:rPr>
                    <w:t>&lt;0.05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03" w:type="pct"/>
                  <w:vAlign w:val="center"/>
                </w:tcPr>
                <w:p>
                  <w:pPr>
                    <w:pStyle w:val="86"/>
                    <w:rPr>
                      <w:rFonts w:ascii="Times New Roman" w:hAnsi="Times New Roman"/>
                      <w:color w:val="auto"/>
                    </w:rPr>
                  </w:pPr>
                  <w:r>
                    <w:rPr>
                      <w:rFonts w:ascii="Times New Roman" w:hAnsi="Times New Roman"/>
                      <w:color w:val="auto"/>
                    </w:rPr>
                    <w:t>15</w:t>
                  </w:r>
                </w:p>
              </w:tc>
              <w:tc>
                <w:tcPr>
                  <w:tcW w:w="809" w:type="pct"/>
                  <w:vAlign w:val="center"/>
                </w:tcPr>
                <w:p>
                  <w:pPr>
                    <w:jc w:val="center"/>
                    <w:rPr>
                      <w:rFonts w:ascii="Times New Roman" w:hAnsi="Times New Roman"/>
                      <w:color w:val="auto"/>
                      <w:szCs w:val="21"/>
                    </w:rPr>
                  </w:pPr>
                  <w:r>
                    <w:rPr>
                      <w:rFonts w:ascii="Times New Roman" w:hAnsi="Times New Roman"/>
                      <w:bCs/>
                      <w:color w:val="auto"/>
                      <w:kern w:val="0"/>
                    </w:rPr>
                    <w:t>镉</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≤0.005mg/L</w:t>
                  </w:r>
                </w:p>
              </w:tc>
              <w:tc>
                <w:tcPr>
                  <w:tcW w:w="497" w:type="pct"/>
                  <w:vAlign w:val="center"/>
                </w:tcPr>
                <w:p>
                  <w:pPr>
                    <w:pStyle w:val="86"/>
                    <w:rPr>
                      <w:rFonts w:ascii="Times New Roman" w:hAnsi="Times New Roman"/>
                      <w:color w:val="auto"/>
                    </w:rPr>
                  </w:pPr>
                  <w:r>
                    <w:rPr>
                      <w:rFonts w:ascii="Times New Roman" w:hAnsi="Times New Roman"/>
                      <w:color w:val="auto"/>
                    </w:rPr>
                    <w:t>0.05L</w:t>
                  </w:r>
                </w:p>
              </w:tc>
              <w:tc>
                <w:tcPr>
                  <w:tcW w:w="560" w:type="pct"/>
                  <w:vAlign w:val="center"/>
                </w:tcPr>
                <w:p>
                  <w:pPr>
                    <w:pStyle w:val="86"/>
                    <w:rPr>
                      <w:rFonts w:ascii="Times New Roman" w:hAnsi="Times New Roman"/>
                      <w:color w:val="auto"/>
                    </w:rPr>
                  </w:pPr>
                  <w:r>
                    <w:rPr>
                      <w:rFonts w:ascii="Times New Roman" w:hAnsi="Times New Roman"/>
                      <w:color w:val="auto"/>
                    </w:rPr>
                    <w:t>0.05L</w:t>
                  </w:r>
                </w:p>
              </w:tc>
              <w:tc>
                <w:tcPr>
                  <w:tcW w:w="476" w:type="pct"/>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476" w:type="pct"/>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c>
                <w:tcPr>
                  <w:tcW w:w="477" w:type="pct"/>
                  <w:vAlign w:val="center"/>
                </w:tcPr>
                <w:p>
                  <w:pPr>
                    <w:jc w:val="center"/>
                    <w:rPr>
                      <w:rFonts w:ascii="Times New Roman" w:hAnsi="Times New Roman"/>
                      <w:color w:val="auto"/>
                      <w:szCs w:val="21"/>
                    </w:rPr>
                  </w:pPr>
                  <w:r>
                    <w:rPr>
                      <w:rFonts w:ascii="Times New Roman" w:hAnsi="Times New Roman"/>
                      <w:color w:val="auto"/>
                      <w:szCs w:val="21"/>
                    </w:rPr>
                    <w:t>&lt;</w:t>
                  </w:r>
                  <w:r>
                    <w:rPr>
                      <w:rFonts w:ascii="Times New Roman" w:hAnsi="Times New Roman"/>
                      <w:bCs/>
                      <w:color w:val="auto"/>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16</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砷</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≤0.01mg/L</w:t>
                  </w:r>
                </w:p>
              </w:tc>
              <w:tc>
                <w:tcPr>
                  <w:tcW w:w="497" w:type="pct"/>
                  <w:vAlign w:val="center"/>
                </w:tcPr>
                <w:p>
                  <w:pPr>
                    <w:pStyle w:val="86"/>
                    <w:rPr>
                      <w:rFonts w:ascii="Times New Roman" w:hAnsi="Times New Roman"/>
                      <w:color w:val="auto"/>
                    </w:rPr>
                  </w:pPr>
                  <w:r>
                    <w:rPr>
                      <w:rFonts w:hint="eastAsia" w:ascii="Times New Roman" w:hAnsi="Times New Roman"/>
                      <w:color w:val="auto"/>
                    </w:rPr>
                    <w:t>2.5</w:t>
                  </w:r>
                </w:p>
              </w:tc>
              <w:tc>
                <w:tcPr>
                  <w:tcW w:w="560" w:type="pct"/>
                  <w:vAlign w:val="center"/>
                </w:tcPr>
                <w:p>
                  <w:pPr>
                    <w:pStyle w:val="86"/>
                    <w:rPr>
                      <w:rFonts w:ascii="Times New Roman" w:hAnsi="Times New Roman"/>
                      <w:color w:val="auto"/>
                    </w:rPr>
                  </w:pPr>
                  <w:r>
                    <w:rPr>
                      <w:rFonts w:hint="eastAsia" w:ascii="Times New Roman" w:hAnsi="Times New Roman"/>
                      <w:color w:val="auto"/>
                    </w:rPr>
                    <w:t>2.7</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&lt;0.3</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&lt;0.3</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17</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汞</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≤0.001mg/L</w:t>
                  </w:r>
                </w:p>
              </w:tc>
              <w:tc>
                <w:tcPr>
                  <w:tcW w:w="497" w:type="pct"/>
                  <w:vAlign w:val="center"/>
                </w:tcPr>
                <w:p>
                  <w:pPr>
                    <w:pStyle w:val="86"/>
                    <w:rPr>
                      <w:rFonts w:ascii="Times New Roman" w:hAnsi="Times New Roman"/>
                      <w:color w:val="auto"/>
                    </w:rPr>
                  </w:pPr>
                  <w:r>
                    <w:rPr>
                      <w:rFonts w:hint="eastAsia" w:ascii="Times New Roman" w:hAnsi="Times New Roman"/>
                      <w:color w:val="auto"/>
                    </w:rPr>
                    <w:t>0.46</w:t>
                  </w:r>
                </w:p>
              </w:tc>
              <w:tc>
                <w:tcPr>
                  <w:tcW w:w="560" w:type="pct"/>
                  <w:vAlign w:val="center"/>
                </w:tcPr>
                <w:p>
                  <w:pPr>
                    <w:pStyle w:val="86"/>
                    <w:rPr>
                      <w:rFonts w:ascii="Times New Roman" w:hAnsi="Times New Roman"/>
                      <w:color w:val="auto"/>
                    </w:rPr>
                  </w:pPr>
                  <w:r>
                    <w:rPr>
                      <w:rFonts w:hint="eastAsia" w:ascii="Times New Roman" w:hAnsi="Times New Roman"/>
                      <w:color w:val="auto"/>
                    </w:rPr>
                    <w:t>0.46</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&lt;0.04</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&lt;0.04</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18</w:t>
                  </w:r>
                </w:p>
              </w:tc>
              <w:tc>
                <w:tcPr>
                  <w:tcW w:w="809" w:type="pct"/>
                  <w:vAlign w:val="center"/>
                </w:tcPr>
                <w:p>
                  <w:pPr>
                    <w:jc w:val="center"/>
                    <w:rPr>
                      <w:rFonts w:ascii="Times New Roman" w:hAnsi="Times New Roman"/>
                      <w:color w:val="auto"/>
                      <w:szCs w:val="21"/>
                    </w:rPr>
                  </w:pPr>
                  <w:r>
                    <w:rPr>
                      <w:rFonts w:ascii="Times New Roman" w:hAnsi="Times New Roman"/>
                      <w:color w:val="auto"/>
                      <w:szCs w:val="21"/>
                    </w:rPr>
                    <w:t>钠</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≤200mg/L</w:t>
                  </w:r>
                </w:p>
              </w:tc>
              <w:tc>
                <w:tcPr>
                  <w:tcW w:w="497"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257</w:t>
                  </w:r>
                </w:p>
              </w:tc>
              <w:tc>
                <w:tcPr>
                  <w:tcW w:w="560" w:type="pct"/>
                  <w:shd w:val="clear" w:color="auto" w:fill="E7E6E6" w:themeFill="background2"/>
                  <w:vAlign w:val="center"/>
                </w:tcPr>
                <w:p>
                  <w:pPr>
                    <w:pStyle w:val="86"/>
                    <w:rPr>
                      <w:rFonts w:ascii="Times New Roman" w:hAnsi="Times New Roman"/>
                      <w:color w:val="auto"/>
                    </w:rPr>
                  </w:pPr>
                  <w:r>
                    <w:rPr>
                      <w:rFonts w:ascii="Times New Roman" w:hAnsi="Times New Roman"/>
                      <w:color w:val="auto"/>
                    </w:rPr>
                    <w:t>294</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22.6</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21.4</w:t>
                  </w:r>
                </w:p>
              </w:tc>
              <w:tc>
                <w:tcPr>
                  <w:tcW w:w="477"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51.5</w:t>
                  </w:r>
                </w:p>
              </w:tc>
            </w:tr>
          </w:tbl>
          <w:p>
            <w:pPr>
              <w:spacing w:before="156" w:beforeLines="50"/>
              <w:ind w:firstLine="422" w:firstLineChars="200"/>
              <w:jc w:val="center"/>
              <w:rPr>
                <w:color w:val="auto"/>
              </w:rPr>
            </w:pPr>
            <w:r>
              <w:rPr>
                <w:rFonts w:hint="eastAsia" w:ascii="Times New Roman" w:hAnsi="Times New Roman"/>
                <w:b/>
                <w:color w:val="auto"/>
                <w:kern w:val="0"/>
                <w:szCs w:val="21"/>
              </w:rPr>
              <w:t>续</w:t>
            </w:r>
            <w:r>
              <w:rPr>
                <w:rFonts w:ascii="Times New Roman" w:hAnsi="Times New Roman"/>
                <w:b/>
                <w:color w:val="auto"/>
                <w:kern w:val="0"/>
                <w:szCs w:val="21"/>
              </w:rPr>
              <w:t>表4  地下水监测结果表</w:t>
            </w:r>
          </w:p>
          <w:tbl>
            <w:tblPr>
              <w:tblStyle w:val="37"/>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503"/>
              <w:gridCol w:w="1344"/>
              <w:gridCol w:w="1043"/>
              <w:gridCol w:w="1276"/>
              <w:gridCol w:w="826"/>
              <w:gridCol w:w="930"/>
              <w:gridCol w:w="791"/>
              <w:gridCol w:w="791"/>
              <w:gridCol w:w="7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序号</w:t>
                  </w:r>
                </w:p>
              </w:tc>
              <w:tc>
                <w:tcPr>
                  <w:tcW w:w="809" w:type="pct"/>
                  <w:vAlign w:val="center"/>
                </w:tcPr>
                <w:p>
                  <w:pPr>
                    <w:pStyle w:val="86"/>
                    <w:rPr>
                      <w:rFonts w:ascii="Times New Roman" w:hAnsi="Times New Roman"/>
                      <w:color w:val="auto"/>
                    </w:rPr>
                  </w:pPr>
                  <w:r>
                    <w:rPr>
                      <w:rFonts w:ascii="Times New Roman" w:hAnsi="Times New Roman"/>
                      <w:color w:val="auto"/>
                    </w:rPr>
                    <w:t>项目</w:t>
                  </w:r>
                </w:p>
              </w:tc>
              <w:tc>
                <w:tcPr>
                  <w:tcW w:w="628" w:type="pct"/>
                  <w:vAlign w:val="center"/>
                </w:tcPr>
                <w:p>
                  <w:pPr>
                    <w:pStyle w:val="86"/>
                    <w:rPr>
                      <w:rFonts w:ascii="Times New Roman" w:hAnsi="Times New Roman"/>
                      <w:color w:val="auto"/>
                    </w:rPr>
                  </w:pPr>
                  <w:r>
                    <w:rPr>
                      <w:rFonts w:ascii="Times New Roman" w:hAnsi="Times New Roman"/>
                      <w:color w:val="auto"/>
                    </w:rPr>
                    <w:t>单位</w:t>
                  </w:r>
                </w:p>
              </w:tc>
              <w:tc>
                <w:tcPr>
                  <w:tcW w:w="768" w:type="pct"/>
                  <w:vAlign w:val="center"/>
                </w:tcPr>
                <w:p>
                  <w:pPr>
                    <w:pStyle w:val="86"/>
                    <w:rPr>
                      <w:rFonts w:ascii="Times New Roman" w:hAnsi="Times New Roman"/>
                      <w:color w:val="auto"/>
                    </w:rPr>
                  </w:pPr>
                  <w:r>
                    <w:rPr>
                      <w:rFonts w:ascii="Times New Roman" w:hAnsi="Times New Roman"/>
                      <w:color w:val="auto"/>
                    </w:rPr>
                    <w:t>III类标准值</w:t>
                  </w:r>
                </w:p>
              </w:tc>
              <w:tc>
                <w:tcPr>
                  <w:tcW w:w="497" w:type="pct"/>
                  <w:vAlign w:val="center"/>
                </w:tcPr>
                <w:p>
                  <w:pPr>
                    <w:pStyle w:val="86"/>
                    <w:rPr>
                      <w:rFonts w:ascii="Times New Roman" w:hAnsi="Times New Roman"/>
                      <w:color w:val="auto"/>
                    </w:rPr>
                  </w:pPr>
                  <w:r>
                    <w:rPr>
                      <w:rFonts w:ascii="Times New Roman" w:hAnsi="Times New Roman"/>
                      <w:color w:val="auto"/>
                    </w:rPr>
                    <w:t>1#</w:t>
                  </w:r>
                </w:p>
              </w:tc>
              <w:tc>
                <w:tcPr>
                  <w:tcW w:w="560" w:type="pct"/>
                  <w:vAlign w:val="center"/>
                </w:tcPr>
                <w:p>
                  <w:pPr>
                    <w:pStyle w:val="86"/>
                    <w:rPr>
                      <w:rFonts w:ascii="Times New Roman" w:hAnsi="Times New Roman"/>
                      <w:color w:val="auto"/>
                    </w:rPr>
                  </w:pPr>
                  <w:r>
                    <w:rPr>
                      <w:rFonts w:ascii="Times New Roman" w:hAnsi="Times New Roman"/>
                      <w:color w:val="auto"/>
                    </w:rPr>
                    <w:t>2#</w:t>
                  </w:r>
                </w:p>
              </w:tc>
              <w:tc>
                <w:tcPr>
                  <w:tcW w:w="476" w:type="pct"/>
                  <w:vAlign w:val="center"/>
                </w:tcPr>
                <w:p>
                  <w:pPr>
                    <w:pStyle w:val="86"/>
                    <w:rPr>
                      <w:rFonts w:ascii="Times New Roman" w:hAnsi="Times New Roman"/>
                      <w:color w:val="auto"/>
                    </w:rPr>
                  </w:pPr>
                  <w:r>
                    <w:rPr>
                      <w:rFonts w:ascii="Times New Roman" w:hAnsi="Times New Roman"/>
                      <w:color w:val="auto"/>
                    </w:rPr>
                    <w:t>3#</w:t>
                  </w:r>
                </w:p>
              </w:tc>
              <w:tc>
                <w:tcPr>
                  <w:tcW w:w="476" w:type="pct"/>
                  <w:vAlign w:val="center"/>
                </w:tcPr>
                <w:p>
                  <w:pPr>
                    <w:pStyle w:val="86"/>
                    <w:rPr>
                      <w:rFonts w:ascii="Times New Roman" w:hAnsi="Times New Roman"/>
                      <w:color w:val="auto"/>
                    </w:rPr>
                  </w:pPr>
                  <w:r>
                    <w:rPr>
                      <w:rFonts w:ascii="Times New Roman" w:hAnsi="Times New Roman"/>
                      <w:color w:val="auto"/>
                    </w:rPr>
                    <w:t>4#</w:t>
                  </w:r>
                </w:p>
              </w:tc>
              <w:tc>
                <w:tcPr>
                  <w:tcW w:w="478" w:type="pct"/>
                  <w:vAlign w:val="center"/>
                </w:tcPr>
                <w:p>
                  <w:pPr>
                    <w:pStyle w:val="86"/>
                    <w:rPr>
                      <w:rFonts w:ascii="Times New Roman" w:hAnsi="Times New Roman"/>
                      <w:color w:val="auto"/>
                    </w:rPr>
                  </w:pPr>
                  <w:r>
                    <w:rPr>
                      <w:rFonts w:ascii="Times New Roman" w:hAnsi="Times New Roman"/>
                      <w:color w:val="auto"/>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19</w:t>
                  </w:r>
                </w:p>
              </w:tc>
              <w:tc>
                <w:tcPr>
                  <w:tcW w:w="809" w:type="pct"/>
                  <w:vAlign w:val="center"/>
                </w:tcPr>
                <w:p>
                  <w:pPr>
                    <w:jc w:val="center"/>
                    <w:rPr>
                      <w:rFonts w:ascii="Times New Roman" w:hAnsi="Times New Roman"/>
                      <w:color w:val="auto"/>
                      <w:szCs w:val="21"/>
                    </w:rPr>
                  </w:pPr>
                  <w:r>
                    <w:rPr>
                      <w:rFonts w:ascii="Times New Roman" w:hAnsi="Times New Roman"/>
                      <w:bCs/>
                      <w:color w:val="auto"/>
                      <w:kern w:val="0"/>
                    </w:rPr>
                    <w:t>锰</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≤0.10mg/L</w:t>
                  </w:r>
                </w:p>
              </w:tc>
              <w:tc>
                <w:tcPr>
                  <w:tcW w:w="497" w:type="pct"/>
                  <w:vAlign w:val="center"/>
                </w:tcPr>
                <w:p>
                  <w:pPr>
                    <w:pStyle w:val="86"/>
                    <w:rPr>
                      <w:rFonts w:ascii="Times New Roman" w:hAnsi="Times New Roman"/>
                      <w:color w:val="auto"/>
                    </w:rPr>
                  </w:pPr>
                  <w:r>
                    <w:rPr>
                      <w:rFonts w:ascii="Times New Roman" w:hAnsi="Times New Roman"/>
                      <w:color w:val="auto"/>
                    </w:rPr>
                    <w:t>0.01L</w:t>
                  </w:r>
                </w:p>
              </w:tc>
              <w:tc>
                <w:tcPr>
                  <w:tcW w:w="560" w:type="pct"/>
                  <w:vAlign w:val="center"/>
                </w:tcPr>
                <w:p>
                  <w:pPr>
                    <w:pStyle w:val="86"/>
                    <w:rPr>
                      <w:rFonts w:ascii="Times New Roman" w:hAnsi="Times New Roman"/>
                      <w:color w:val="auto"/>
                    </w:rPr>
                  </w:pPr>
                  <w:r>
                    <w:rPr>
                      <w:rFonts w:ascii="Times New Roman" w:hAnsi="Times New Roman"/>
                      <w:color w:val="auto"/>
                    </w:rPr>
                    <w:t>0.01L</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&lt;0.01</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&lt;0.01</w:t>
                  </w:r>
                </w:p>
              </w:tc>
              <w:tc>
                <w:tcPr>
                  <w:tcW w:w="47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20</w:t>
                  </w:r>
                </w:p>
              </w:tc>
              <w:tc>
                <w:tcPr>
                  <w:tcW w:w="809" w:type="pct"/>
                  <w:vAlign w:val="center"/>
                </w:tcPr>
                <w:p>
                  <w:pPr>
                    <w:jc w:val="center"/>
                    <w:rPr>
                      <w:rFonts w:ascii="Times New Roman" w:hAnsi="Times New Roman"/>
                      <w:color w:val="auto"/>
                      <w:szCs w:val="21"/>
                    </w:rPr>
                  </w:pPr>
                  <w:r>
                    <w:rPr>
                      <w:rFonts w:ascii="Times New Roman" w:hAnsi="Times New Roman"/>
                      <w:bCs/>
                      <w:color w:val="auto"/>
                      <w:kern w:val="0"/>
                    </w:rPr>
                    <w:t>铁</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≤0.3mg/L</w:t>
                  </w:r>
                </w:p>
              </w:tc>
              <w:tc>
                <w:tcPr>
                  <w:tcW w:w="497" w:type="pct"/>
                  <w:vAlign w:val="center"/>
                </w:tcPr>
                <w:p>
                  <w:pPr>
                    <w:pStyle w:val="86"/>
                    <w:rPr>
                      <w:rFonts w:ascii="Times New Roman" w:hAnsi="Times New Roman"/>
                      <w:color w:val="auto"/>
                    </w:rPr>
                  </w:pPr>
                  <w:r>
                    <w:rPr>
                      <w:rFonts w:ascii="Times New Roman" w:hAnsi="Times New Roman"/>
                      <w:color w:val="auto"/>
                    </w:rPr>
                    <w:t>0.01L</w:t>
                  </w:r>
                </w:p>
              </w:tc>
              <w:tc>
                <w:tcPr>
                  <w:tcW w:w="560" w:type="pct"/>
                  <w:vAlign w:val="center"/>
                </w:tcPr>
                <w:p>
                  <w:pPr>
                    <w:pStyle w:val="86"/>
                    <w:rPr>
                      <w:rFonts w:ascii="Times New Roman" w:hAnsi="Times New Roman"/>
                      <w:color w:val="auto"/>
                    </w:rPr>
                  </w:pPr>
                  <w:r>
                    <w:rPr>
                      <w:rFonts w:ascii="Times New Roman" w:hAnsi="Times New Roman"/>
                      <w:color w:val="auto"/>
                    </w:rPr>
                    <w:t>0.01L</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&lt;0.03</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&lt;0.03</w:t>
                  </w:r>
                </w:p>
              </w:tc>
              <w:tc>
                <w:tcPr>
                  <w:tcW w:w="47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21</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铅</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≤0.01mg/L</w:t>
                  </w:r>
                </w:p>
              </w:tc>
              <w:tc>
                <w:tcPr>
                  <w:tcW w:w="497" w:type="pct"/>
                  <w:vAlign w:val="center"/>
                </w:tcPr>
                <w:p>
                  <w:pPr>
                    <w:pStyle w:val="86"/>
                    <w:rPr>
                      <w:rFonts w:ascii="Times New Roman" w:hAnsi="Times New Roman"/>
                      <w:color w:val="auto"/>
                    </w:rPr>
                  </w:pPr>
                  <w:r>
                    <w:rPr>
                      <w:rFonts w:ascii="Times New Roman" w:hAnsi="Times New Roman"/>
                      <w:color w:val="auto"/>
                    </w:rPr>
                    <w:t>0.1L</w:t>
                  </w:r>
                </w:p>
              </w:tc>
              <w:tc>
                <w:tcPr>
                  <w:tcW w:w="560" w:type="pct"/>
                  <w:vAlign w:val="center"/>
                </w:tcPr>
                <w:p>
                  <w:pPr>
                    <w:pStyle w:val="86"/>
                    <w:rPr>
                      <w:rFonts w:ascii="Times New Roman" w:hAnsi="Times New Roman"/>
                      <w:color w:val="auto"/>
                    </w:rPr>
                  </w:pPr>
                  <w:r>
                    <w:rPr>
                      <w:rFonts w:ascii="Times New Roman" w:hAnsi="Times New Roman"/>
                      <w:color w:val="auto"/>
                    </w:rPr>
                    <w:t>0.1L</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&lt;10</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&lt;10</w:t>
                  </w:r>
                </w:p>
              </w:tc>
              <w:tc>
                <w:tcPr>
                  <w:tcW w:w="47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22</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硒</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μg/L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≤0.01mg/L</w:t>
                  </w:r>
                </w:p>
              </w:tc>
              <w:tc>
                <w:tcPr>
                  <w:tcW w:w="497" w:type="pct"/>
                  <w:vAlign w:val="center"/>
                </w:tcPr>
                <w:p>
                  <w:pPr>
                    <w:pStyle w:val="86"/>
                    <w:rPr>
                      <w:rFonts w:ascii="Times New Roman" w:hAnsi="Times New Roman"/>
                      <w:color w:val="auto"/>
                    </w:rPr>
                  </w:pPr>
                  <w:r>
                    <w:rPr>
                      <w:rFonts w:hint="eastAsia" w:ascii="Times New Roman" w:hAnsi="Times New Roman"/>
                      <w:color w:val="auto"/>
                    </w:rPr>
                    <w:t>0.7</w:t>
                  </w:r>
                </w:p>
              </w:tc>
              <w:tc>
                <w:tcPr>
                  <w:tcW w:w="560" w:type="pct"/>
                  <w:vAlign w:val="center"/>
                </w:tcPr>
                <w:p>
                  <w:pPr>
                    <w:pStyle w:val="86"/>
                    <w:rPr>
                      <w:rFonts w:ascii="Times New Roman" w:hAnsi="Times New Roman"/>
                      <w:color w:val="auto"/>
                    </w:rPr>
                  </w:pPr>
                  <w:r>
                    <w:rPr>
                      <w:rFonts w:hint="eastAsia" w:ascii="Times New Roman" w:hAnsi="Times New Roman"/>
                      <w:color w:val="auto"/>
                    </w:rPr>
                    <w:t>0.7</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&lt;0.4</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&lt;0.4</w:t>
                  </w:r>
                </w:p>
              </w:tc>
              <w:tc>
                <w:tcPr>
                  <w:tcW w:w="47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23</w:t>
                  </w:r>
                </w:p>
              </w:tc>
              <w:tc>
                <w:tcPr>
                  <w:tcW w:w="809" w:type="pct"/>
                  <w:vAlign w:val="center"/>
                </w:tcPr>
                <w:p>
                  <w:pPr>
                    <w:jc w:val="center"/>
                    <w:rPr>
                      <w:rFonts w:ascii="Times New Roman" w:hAnsi="Times New Roman"/>
                      <w:color w:val="auto"/>
                      <w:szCs w:val="21"/>
                    </w:rPr>
                  </w:pPr>
                  <w:r>
                    <w:rPr>
                      <w:rFonts w:ascii="Times New Roman" w:hAnsi="Times New Roman"/>
                      <w:color w:val="auto"/>
                      <w:szCs w:val="21"/>
                    </w:rPr>
                    <w:t>硫化物</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≤0.02mg/L</w:t>
                  </w:r>
                </w:p>
              </w:tc>
              <w:tc>
                <w:tcPr>
                  <w:tcW w:w="497" w:type="pct"/>
                  <w:vAlign w:val="center"/>
                </w:tcPr>
                <w:p>
                  <w:pPr>
                    <w:pStyle w:val="86"/>
                    <w:rPr>
                      <w:rFonts w:ascii="Times New Roman" w:hAnsi="Times New Roman"/>
                      <w:color w:val="auto"/>
                    </w:rPr>
                  </w:pPr>
                  <w:r>
                    <w:rPr>
                      <w:rFonts w:ascii="Times New Roman" w:hAnsi="Times New Roman"/>
                      <w:color w:val="auto"/>
                    </w:rPr>
                    <w:t>0.005L</w:t>
                  </w:r>
                </w:p>
              </w:tc>
              <w:tc>
                <w:tcPr>
                  <w:tcW w:w="560" w:type="pct"/>
                  <w:vAlign w:val="center"/>
                </w:tcPr>
                <w:p>
                  <w:pPr>
                    <w:pStyle w:val="86"/>
                    <w:rPr>
                      <w:rFonts w:ascii="Times New Roman" w:hAnsi="Times New Roman"/>
                      <w:color w:val="auto"/>
                    </w:rPr>
                  </w:pPr>
                  <w:r>
                    <w:rPr>
                      <w:rFonts w:ascii="Times New Roman" w:hAnsi="Times New Roman"/>
                      <w:color w:val="auto"/>
                    </w:rPr>
                    <w:t>0.006</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&lt;0.005</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&lt;0.005</w:t>
                  </w:r>
                </w:p>
              </w:tc>
              <w:tc>
                <w:tcPr>
                  <w:tcW w:w="47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24</w:t>
                  </w:r>
                </w:p>
              </w:tc>
              <w:tc>
                <w:tcPr>
                  <w:tcW w:w="809" w:type="pct"/>
                  <w:vAlign w:val="center"/>
                </w:tcPr>
                <w:p>
                  <w:pPr>
                    <w:jc w:val="center"/>
                    <w:rPr>
                      <w:rFonts w:ascii="Times New Roman" w:hAnsi="Times New Roman"/>
                      <w:color w:val="auto"/>
                      <w:szCs w:val="21"/>
                    </w:rPr>
                  </w:pPr>
                  <w:r>
                    <w:rPr>
                      <w:rFonts w:ascii="Times New Roman" w:hAnsi="Times New Roman"/>
                      <w:bCs/>
                      <w:color w:val="auto"/>
                      <w:kern w:val="0"/>
                    </w:rPr>
                    <w:t>色度</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度</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≤15（铂钴色度单位）</w:t>
                  </w:r>
                </w:p>
              </w:tc>
              <w:tc>
                <w:tcPr>
                  <w:tcW w:w="497" w:type="pct"/>
                  <w:vAlign w:val="center"/>
                </w:tcPr>
                <w:p>
                  <w:pPr>
                    <w:pStyle w:val="86"/>
                    <w:rPr>
                      <w:rFonts w:ascii="Times New Roman" w:hAnsi="Times New Roman"/>
                      <w:color w:val="auto"/>
                    </w:rPr>
                  </w:pPr>
                  <w:r>
                    <w:rPr>
                      <w:rFonts w:ascii="Times New Roman" w:hAnsi="Times New Roman"/>
                      <w:color w:val="auto"/>
                    </w:rPr>
                    <w:t>5</w:t>
                  </w:r>
                </w:p>
              </w:tc>
              <w:tc>
                <w:tcPr>
                  <w:tcW w:w="560" w:type="pct"/>
                  <w:vAlign w:val="center"/>
                </w:tcPr>
                <w:p>
                  <w:pPr>
                    <w:pStyle w:val="86"/>
                    <w:rPr>
                      <w:rFonts w:ascii="Times New Roman" w:hAnsi="Times New Roman"/>
                      <w:color w:val="auto"/>
                    </w:rPr>
                  </w:pPr>
                  <w:r>
                    <w:rPr>
                      <w:rFonts w:ascii="Times New Roman" w:hAnsi="Times New Roman"/>
                      <w:color w:val="auto"/>
                    </w:rPr>
                    <w:t>5</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&lt;5</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&lt;5</w:t>
                  </w:r>
                </w:p>
              </w:tc>
              <w:tc>
                <w:tcPr>
                  <w:tcW w:w="47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25</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臭和味</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无量纲</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无</w:t>
                  </w:r>
                </w:p>
              </w:tc>
              <w:tc>
                <w:tcPr>
                  <w:tcW w:w="497" w:type="pct"/>
                  <w:vAlign w:val="center"/>
                </w:tcPr>
                <w:p>
                  <w:pPr>
                    <w:pStyle w:val="86"/>
                    <w:rPr>
                      <w:rFonts w:ascii="Times New Roman" w:hAnsi="Times New Roman"/>
                      <w:color w:val="auto"/>
                    </w:rPr>
                  </w:pPr>
                  <w:r>
                    <w:rPr>
                      <w:rFonts w:ascii="Times New Roman" w:hAnsi="Times New Roman"/>
                      <w:color w:val="auto"/>
                    </w:rPr>
                    <w:t>0</w:t>
                  </w:r>
                </w:p>
              </w:tc>
              <w:tc>
                <w:tcPr>
                  <w:tcW w:w="560" w:type="pct"/>
                  <w:vAlign w:val="center"/>
                </w:tcPr>
                <w:p>
                  <w:pPr>
                    <w:pStyle w:val="86"/>
                    <w:rPr>
                      <w:rFonts w:ascii="Times New Roman" w:hAnsi="Times New Roman"/>
                      <w:color w:val="auto"/>
                    </w:rPr>
                  </w:pPr>
                  <w:r>
                    <w:rPr>
                      <w:rFonts w:ascii="Times New Roman" w:hAnsi="Times New Roman"/>
                      <w:color w:val="auto"/>
                    </w:rPr>
                    <w:t>0</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无任何臭味</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无任何臭味</w:t>
                  </w:r>
                </w:p>
              </w:tc>
              <w:tc>
                <w:tcPr>
                  <w:tcW w:w="47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无任何臭味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26</w:t>
                  </w:r>
                </w:p>
              </w:tc>
              <w:tc>
                <w:tcPr>
                  <w:tcW w:w="809" w:type="pct"/>
                  <w:vAlign w:val="center"/>
                </w:tcPr>
                <w:p>
                  <w:pPr>
                    <w:jc w:val="center"/>
                    <w:rPr>
                      <w:rFonts w:ascii="Times New Roman" w:hAnsi="Times New Roman"/>
                      <w:color w:val="auto"/>
                      <w:szCs w:val="21"/>
                    </w:rPr>
                  </w:pPr>
                  <w:r>
                    <w:rPr>
                      <w:rFonts w:ascii="Times New Roman" w:hAnsi="Times New Roman"/>
                      <w:bCs/>
                      <w:color w:val="auto"/>
                      <w:kern w:val="0"/>
                    </w:rPr>
                    <w:t>浑浊度</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度</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≤3NTU</w:t>
                  </w:r>
                </w:p>
              </w:tc>
              <w:tc>
                <w:tcPr>
                  <w:tcW w:w="497" w:type="pct"/>
                  <w:vAlign w:val="center"/>
                </w:tcPr>
                <w:p>
                  <w:pPr>
                    <w:pStyle w:val="86"/>
                    <w:rPr>
                      <w:rFonts w:ascii="Times New Roman" w:hAnsi="Times New Roman"/>
                      <w:color w:val="auto"/>
                    </w:rPr>
                  </w:pPr>
                  <w:r>
                    <w:rPr>
                      <w:rFonts w:ascii="Times New Roman" w:hAnsi="Times New Roman"/>
                      <w:color w:val="auto"/>
                    </w:rPr>
                    <w:t>1</w:t>
                  </w:r>
                </w:p>
              </w:tc>
              <w:tc>
                <w:tcPr>
                  <w:tcW w:w="560" w:type="pct"/>
                  <w:vAlign w:val="center"/>
                </w:tcPr>
                <w:p>
                  <w:pPr>
                    <w:pStyle w:val="86"/>
                    <w:rPr>
                      <w:rFonts w:ascii="Times New Roman" w:hAnsi="Times New Roman"/>
                      <w:color w:val="auto"/>
                    </w:rPr>
                  </w:pPr>
                  <w:r>
                    <w:rPr>
                      <w:rFonts w:ascii="Times New Roman" w:hAnsi="Times New Roman"/>
                      <w:color w:val="auto"/>
                    </w:rPr>
                    <w:t>1</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0.9</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0.9</w:t>
                  </w:r>
                </w:p>
              </w:tc>
              <w:tc>
                <w:tcPr>
                  <w:tcW w:w="47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03" w:type="pct"/>
                  <w:vAlign w:val="center"/>
                </w:tcPr>
                <w:p>
                  <w:pPr>
                    <w:pStyle w:val="86"/>
                    <w:rPr>
                      <w:rFonts w:ascii="Times New Roman" w:hAnsi="Times New Roman"/>
                      <w:color w:val="auto"/>
                    </w:rPr>
                  </w:pPr>
                  <w:r>
                    <w:rPr>
                      <w:rFonts w:ascii="Times New Roman" w:hAnsi="Times New Roman"/>
                      <w:color w:val="auto"/>
                    </w:rPr>
                    <w:t>27</w:t>
                  </w:r>
                </w:p>
              </w:tc>
              <w:tc>
                <w:tcPr>
                  <w:tcW w:w="809" w:type="pct"/>
                  <w:vAlign w:val="center"/>
                </w:tcPr>
                <w:p>
                  <w:pPr>
                    <w:jc w:val="center"/>
                    <w:rPr>
                      <w:rFonts w:ascii="Times New Roman" w:hAnsi="Times New Roman"/>
                      <w:bCs/>
                      <w:color w:val="auto"/>
                      <w:kern w:val="0"/>
                    </w:rPr>
                  </w:pPr>
                  <w:r>
                    <w:rPr>
                      <w:rFonts w:ascii="Times New Roman" w:hAnsi="Times New Roman"/>
                      <w:bCs/>
                      <w:color w:val="auto"/>
                      <w:kern w:val="0"/>
                    </w:rPr>
                    <w:t>氰化物</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≤0.05mg/L</w:t>
                  </w:r>
                </w:p>
              </w:tc>
              <w:tc>
                <w:tcPr>
                  <w:tcW w:w="497" w:type="pct"/>
                  <w:vAlign w:val="center"/>
                </w:tcPr>
                <w:p>
                  <w:pPr>
                    <w:pStyle w:val="86"/>
                    <w:rPr>
                      <w:rFonts w:ascii="Times New Roman" w:hAnsi="Times New Roman"/>
                      <w:color w:val="auto"/>
                    </w:rPr>
                  </w:pPr>
                  <w:r>
                    <w:rPr>
                      <w:rFonts w:ascii="Times New Roman" w:hAnsi="Times New Roman"/>
                      <w:color w:val="auto"/>
                    </w:rPr>
                    <w:t>0.001L</w:t>
                  </w:r>
                </w:p>
              </w:tc>
              <w:tc>
                <w:tcPr>
                  <w:tcW w:w="560" w:type="pct"/>
                  <w:vAlign w:val="center"/>
                </w:tcPr>
                <w:p>
                  <w:pPr>
                    <w:pStyle w:val="86"/>
                    <w:rPr>
                      <w:rFonts w:ascii="Times New Roman" w:hAnsi="Times New Roman"/>
                      <w:color w:val="auto"/>
                    </w:rPr>
                  </w:pPr>
                  <w:r>
                    <w:rPr>
                      <w:rFonts w:ascii="Times New Roman" w:hAnsi="Times New Roman"/>
                      <w:color w:val="auto"/>
                    </w:rPr>
                    <w:t>0.001L</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&lt;0.004</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&lt;0.004</w:t>
                  </w:r>
                </w:p>
              </w:tc>
              <w:tc>
                <w:tcPr>
                  <w:tcW w:w="47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&lt;0.004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9" w:hRule="atLeast"/>
              </w:trPr>
              <w:tc>
                <w:tcPr>
                  <w:tcW w:w="303" w:type="pct"/>
                  <w:vAlign w:val="center"/>
                </w:tcPr>
                <w:p>
                  <w:pPr>
                    <w:pStyle w:val="86"/>
                    <w:rPr>
                      <w:rFonts w:ascii="Times New Roman" w:hAnsi="Times New Roman"/>
                      <w:color w:val="auto"/>
                    </w:rPr>
                  </w:pPr>
                  <w:r>
                    <w:rPr>
                      <w:rFonts w:ascii="Times New Roman" w:hAnsi="Times New Roman"/>
                      <w:color w:val="auto"/>
                    </w:rPr>
                    <w:t>28</w:t>
                  </w:r>
                </w:p>
              </w:tc>
              <w:tc>
                <w:tcPr>
                  <w:tcW w:w="809" w:type="pct"/>
                  <w:vAlign w:val="center"/>
                </w:tcPr>
                <w:p>
                  <w:pPr>
                    <w:jc w:val="center"/>
                    <w:rPr>
                      <w:rFonts w:ascii="Times New Roman" w:hAnsi="Times New Roman"/>
                      <w:color w:val="auto"/>
                      <w:szCs w:val="21"/>
                    </w:rPr>
                  </w:pPr>
                  <w:r>
                    <w:rPr>
                      <w:rFonts w:ascii="Times New Roman" w:hAnsi="Times New Roman"/>
                      <w:color w:val="auto"/>
                    </w:rPr>
                    <w:t>石油类</w:t>
                  </w:r>
                </w:p>
              </w:tc>
              <w:tc>
                <w:tcPr>
                  <w:tcW w:w="62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mg/L</w:t>
                  </w:r>
                </w:p>
              </w:tc>
              <w:tc>
                <w:tcPr>
                  <w:tcW w:w="768" w:type="pct"/>
                  <w:vAlign w:val="center"/>
                </w:tcPr>
                <w:p>
                  <w:pPr>
                    <w:snapToGrid w:val="0"/>
                    <w:ind w:left="72"/>
                    <w:jc w:val="center"/>
                    <w:rPr>
                      <w:rFonts w:ascii="Times New Roman" w:hAnsi="Times New Roman"/>
                      <w:color w:val="auto"/>
                      <w:szCs w:val="21"/>
                      <w:highlight w:val="yellow"/>
                    </w:rPr>
                  </w:pPr>
                  <w:r>
                    <w:rPr>
                      <w:rFonts w:ascii="Times New Roman" w:hAnsi="Times New Roman"/>
                      <w:color w:val="auto"/>
                      <w:szCs w:val="21"/>
                    </w:rPr>
                    <w:t>≤0.05mg/L）</w:t>
                  </w:r>
                </w:p>
              </w:tc>
              <w:tc>
                <w:tcPr>
                  <w:tcW w:w="497" w:type="pct"/>
                  <w:vAlign w:val="center"/>
                </w:tcPr>
                <w:p>
                  <w:pPr>
                    <w:pStyle w:val="86"/>
                    <w:rPr>
                      <w:rFonts w:ascii="Times New Roman" w:hAnsi="Times New Roman"/>
                      <w:color w:val="auto"/>
                    </w:rPr>
                  </w:pPr>
                  <w:r>
                    <w:rPr>
                      <w:rFonts w:ascii="Times New Roman" w:hAnsi="Times New Roman"/>
                      <w:color w:val="auto"/>
                    </w:rPr>
                    <w:t>0.01L</w:t>
                  </w:r>
                </w:p>
              </w:tc>
              <w:tc>
                <w:tcPr>
                  <w:tcW w:w="560" w:type="pct"/>
                  <w:vAlign w:val="center"/>
                </w:tcPr>
                <w:p>
                  <w:pPr>
                    <w:pStyle w:val="86"/>
                    <w:rPr>
                      <w:rFonts w:ascii="Times New Roman" w:hAnsi="Times New Roman"/>
                      <w:color w:val="auto"/>
                    </w:rPr>
                  </w:pPr>
                  <w:r>
                    <w:rPr>
                      <w:rFonts w:ascii="Times New Roman" w:hAnsi="Times New Roman"/>
                      <w:color w:val="auto"/>
                    </w:rPr>
                    <w:t>0.01L</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0.02</w:t>
                  </w:r>
                </w:p>
              </w:tc>
              <w:tc>
                <w:tcPr>
                  <w:tcW w:w="476"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0.03</w:t>
                  </w:r>
                </w:p>
              </w:tc>
              <w:tc>
                <w:tcPr>
                  <w:tcW w:w="478" w:type="pct"/>
                  <w:vAlign w:val="center"/>
                </w:tcPr>
                <w:p>
                  <w:pPr>
                    <w:snapToGrid w:val="0"/>
                    <w:ind w:left="72"/>
                    <w:jc w:val="center"/>
                    <w:rPr>
                      <w:rFonts w:ascii="Times New Roman" w:hAnsi="Times New Roman"/>
                      <w:color w:val="auto"/>
                      <w:szCs w:val="21"/>
                    </w:rPr>
                  </w:pPr>
                  <w:r>
                    <w:rPr>
                      <w:rFonts w:ascii="Times New Roman" w:hAnsi="Times New Roman"/>
                      <w:color w:val="auto"/>
                      <w:szCs w:val="21"/>
                    </w:rPr>
                    <w:t>0.02</w:t>
                  </w:r>
                </w:p>
              </w:tc>
            </w:tr>
          </w:tbl>
          <w:p>
            <w:pPr>
              <w:pStyle w:val="48"/>
              <w:adjustRightInd w:val="0"/>
              <w:snapToGrid w:val="0"/>
              <w:spacing w:before="156" w:beforeLines="50" w:line="240" w:lineRule="auto"/>
              <w:ind w:firstLine="422"/>
              <w:jc w:val="center"/>
              <w:rPr>
                <w:rFonts w:ascii="Times New Roman" w:hAnsi="Times New Roman"/>
                <w:b/>
                <w:color w:val="auto"/>
                <w:kern w:val="0"/>
                <w:sz w:val="21"/>
                <w:szCs w:val="21"/>
              </w:rPr>
            </w:pPr>
            <w:r>
              <w:rPr>
                <w:rFonts w:ascii="Times New Roman" w:hAnsi="Times New Roman"/>
                <w:b/>
                <w:color w:val="auto"/>
                <w:kern w:val="0"/>
                <w:sz w:val="21"/>
                <w:szCs w:val="21"/>
              </w:rPr>
              <w:t>表</w:t>
            </w:r>
            <w:r>
              <w:rPr>
                <w:rFonts w:hint="eastAsia" w:ascii="Times New Roman" w:hAnsi="Times New Roman"/>
                <w:b/>
                <w:color w:val="auto"/>
                <w:kern w:val="0"/>
                <w:sz w:val="21"/>
                <w:szCs w:val="21"/>
              </w:rPr>
              <w:t>5</w:t>
            </w:r>
            <w:r>
              <w:rPr>
                <w:rFonts w:ascii="Times New Roman" w:hAnsi="Times New Roman"/>
                <w:b/>
                <w:color w:val="auto"/>
                <w:kern w:val="0"/>
                <w:sz w:val="21"/>
                <w:szCs w:val="21"/>
              </w:rPr>
              <w:t xml:space="preserve">  地下水监测评价结果表</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415"/>
              <w:gridCol w:w="962"/>
              <w:gridCol w:w="977"/>
              <w:gridCol w:w="744"/>
              <w:gridCol w:w="1115"/>
              <w:gridCol w:w="934"/>
              <w:gridCol w:w="14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序号</w:t>
                  </w:r>
                </w:p>
              </w:tc>
              <w:tc>
                <w:tcPr>
                  <w:tcW w:w="852"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项目</w:t>
                  </w:r>
                </w:p>
              </w:tc>
              <w:tc>
                <w:tcPr>
                  <w:tcW w:w="2848" w:type="pct"/>
                  <w:gridSpan w:val="5"/>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标准指数</w:t>
                  </w:r>
                </w:p>
              </w:tc>
              <w:tc>
                <w:tcPr>
                  <w:tcW w:w="865"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vMerge w:val="continue"/>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p>
              </w:tc>
              <w:tc>
                <w:tcPr>
                  <w:tcW w:w="852" w:type="pct"/>
                  <w:vMerge w:val="continue"/>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p>
              </w:tc>
              <w:tc>
                <w:tcPr>
                  <w:tcW w:w="579"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1#</w:t>
                  </w:r>
                </w:p>
              </w:tc>
              <w:tc>
                <w:tcPr>
                  <w:tcW w:w="588"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2#</w:t>
                  </w:r>
                </w:p>
              </w:tc>
              <w:tc>
                <w:tcPr>
                  <w:tcW w:w="448"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3#</w:t>
                  </w:r>
                </w:p>
              </w:tc>
              <w:tc>
                <w:tcPr>
                  <w:tcW w:w="671"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4#</w:t>
                  </w:r>
                </w:p>
              </w:tc>
              <w:tc>
                <w:tcPr>
                  <w:tcW w:w="561"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5#</w:t>
                  </w:r>
                </w:p>
              </w:tc>
              <w:tc>
                <w:tcPr>
                  <w:tcW w:w="865" w:type="pct"/>
                  <w:vMerge w:val="continue"/>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kern w:val="0"/>
                      <w:szCs w:val="21"/>
                    </w:rPr>
                    <w:t>pH</w:t>
                  </w:r>
                </w:p>
              </w:tc>
              <w:tc>
                <w:tcPr>
                  <w:tcW w:w="579"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0.71</w:t>
                  </w:r>
                </w:p>
              </w:tc>
              <w:tc>
                <w:tcPr>
                  <w:tcW w:w="5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0.68</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0.13</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0.13</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0.20</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2</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kern w:val="0"/>
                      <w:szCs w:val="21"/>
                    </w:rPr>
                    <w:t>总硬度</w:t>
                  </w:r>
                </w:p>
              </w:tc>
              <w:tc>
                <w:tcPr>
                  <w:tcW w:w="579"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1.03</w:t>
                  </w:r>
                </w:p>
              </w:tc>
              <w:tc>
                <w:tcPr>
                  <w:tcW w:w="588"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1.52</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0.16</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0.15</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0.15</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引用点超标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3</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color w:val="auto"/>
                      <w:szCs w:val="21"/>
                    </w:rPr>
                  </w:pPr>
                  <w:r>
                    <w:rPr>
                      <w:rFonts w:ascii="Times New Roman" w:hAnsi="Times New Roman"/>
                      <w:color w:val="auto"/>
                      <w:szCs w:val="21"/>
                    </w:rPr>
                    <w:t>耗氧量</w:t>
                  </w:r>
                </w:p>
                <w:p>
                  <w:pPr>
                    <w:jc w:val="center"/>
                    <w:rPr>
                      <w:rFonts w:ascii="Times New Roman" w:hAnsi="Times New Roman"/>
                      <w:bCs/>
                      <w:snapToGrid w:val="0"/>
                      <w:color w:val="auto"/>
                      <w:szCs w:val="21"/>
                    </w:rPr>
                  </w:pPr>
                  <w:r>
                    <w:rPr>
                      <w:rFonts w:ascii="Times New Roman" w:hAnsi="Times New Roman"/>
                      <w:color w:val="auto"/>
                      <w:szCs w:val="21"/>
                    </w:rPr>
                    <w:t>（高锰酸盐指数）</w:t>
                  </w:r>
                </w:p>
              </w:tc>
              <w:tc>
                <w:tcPr>
                  <w:tcW w:w="579"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0.63</w:t>
                  </w:r>
                </w:p>
              </w:tc>
              <w:tc>
                <w:tcPr>
                  <w:tcW w:w="5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0.93</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0.60</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0.57</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0.60</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4</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氯化物</w:t>
                  </w:r>
                </w:p>
              </w:tc>
              <w:tc>
                <w:tcPr>
                  <w:tcW w:w="579"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shd w:val="clear" w:color="auto" w:fill="E7E6E6" w:themeFill="background2"/>
                      <w:lang w:bidi="ar"/>
                    </w:rPr>
                    <w:t>2.50</w:t>
                  </w:r>
                </w:p>
              </w:tc>
              <w:tc>
                <w:tcPr>
                  <w:tcW w:w="588"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hint="eastAsia" w:ascii="Times New Roman" w:hAnsi="Times New Roman" w:eastAsia="等线"/>
                      <w:color w:val="auto"/>
                      <w:kern w:val="0"/>
                      <w:szCs w:val="21"/>
                      <w:lang w:bidi="ar"/>
                    </w:rPr>
                    <w:t>16.84</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0.04</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0.03</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0.02</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引用点超标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5</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溶解性总固体</w:t>
                  </w:r>
                </w:p>
              </w:tc>
              <w:tc>
                <w:tcPr>
                  <w:tcW w:w="579"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hint="eastAsia" w:ascii="Times New Roman" w:hAnsi="Times New Roman"/>
                      <w:bCs/>
                      <w:color w:val="auto"/>
                      <w:szCs w:val="21"/>
                    </w:rPr>
                    <w:t>2.1</w:t>
                  </w:r>
                </w:p>
              </w:tc>
              <w:tc>
                <w:tcPr>
                  <w:tcW w:w="588"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hint="eastAsia" w:ascii="Times New Roman" w:hAnsi="Times New Roman"/>
                      <w:bCs/>
                      <w:color w:val="auto"/>
                      <w:szCs w:val="21"/>
                    </w:rPr>
                    <w:t>3.1</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0.14</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0.13</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0.14</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引用点超标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6</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氟化物</w:t>
                  </w:r>
                </w:p>
              </w:tc>
              <w:tc>
                <w:tcPr>
                  <w:tcW w:w="579"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1.15</w:t>
                  </w:r>
                </w:p>
              </w:tc>
              <w:tc>
                <w:tcPr>
                  <w:tcW w:w="588"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1.94</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0.28</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0.31</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0.28</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引用点超标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7</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氨氮</w:t>
                  </w:r>
                </w:p>
              </w:tc>
              <w:tc>
                <w:tcPr>
                  <w:tcW w:w="579"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0.20</w:t>
                  </w:r>
                </w:p>
              </w:tc>
              <w:tc>
                <w:tcPr>
                  <w:tcW w:w="5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0.12</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0.46</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0.54</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0.51</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8</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硝酸盐</w:t>
                  </w:r>
                </w:p>
              </w:tc>
              <w:tc>
                <w:tcPr>
                  <w:tcW w:w="579"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0.02</w:t>
                  </w:r>
                </w:p>
              </w:tc>
              <w:tc>
                <w:tcPr>
                  <w:tcW w:w="5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0.01</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0.03</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0.03</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0.03</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9</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kern w:val="0"/>
                      <w:szCs w:val="21"/>
                    </w:rPr>
                    <w:t>亚硝酸盐</w:t>
                  </w:r>
                </w:p>
              </w:tc>
              <w:tc>
                <w:tcPr>
                  <w:tcW w:w="579"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10</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硫酸盐</w:t>
                  </w:r>
                </w:p>
              </w:tc>
              <w:tc>
                <w:tcPr>
                  <w:tcW w:w="579"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2.74</w:t>
                  </w:r>
                </w:p>
              </w:tc>
              <w:tc>
                <w:tcPr>
                  <w:tcW w:w="588" w:type="pct"/>
                  <w:shd w:val="clear" w:color="auto" w:fill="E7E6E6" w:themeFill="background2"/>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hint="eastAsia" w:ascii="Times New Roman" w:hAnsi="Times New Roman" w:eastAsia="等线"/>
                      <w:color w:val="auto"/>
                      <w:kern w:val="0"/>
                      <w:szCs w:val="21"/>
                      <w:lang w:bidi="ar"/>
                    </w:rPr>
                    <w:t>5</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0.11</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0.15</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0.14</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引用点超标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11</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六价铬</w:t>
                  </w:r>
                </w:p>
              </w:tc>
              <w:tc>
                <w:tcPr>
                  <w:tcW w:w="579"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0.08</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0.08</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12</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挥发酚</w:t>
                  </w:r>
                </w:p>
              </w:tc>
              <w:tc>
                <w:tcPr>
                  <w:tcW w:w="579"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13</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铜</w:t>
                  </w:r>
                </w:p>
              </w:tc>
              <w:tc>
                <w:tcPr>
                  <w:tcW w:w="579"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14</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锌</w:t>
                  </w:r>
                </w:p>
              </w:tc>
              <w:tc>
                <w:tcPr>
                  <w:tcW w:w="579"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15</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kern w:val="0"/>
                      <w:szCs w:val="21"/>
                    </w:rPr>
                    <w:t>镉</w:t>
                  </w:r>
                </w:p>
              </w:tc>
              <w:tc>
                <w:tcPr>
                  <w:tcW w:w="579"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16</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snapToGrid w:val="0"/>
                      <w:color w:val="auto"/>
                      <w:szCs w:val="21"/>
                    </w:rPr>
                  </w:pPr>
                  <w:r>
                    <w:rPr>
                      <w:rFonts w:ascii="Times New Roman" w:hAnsi="Times New Roman"/>
                      <w:bCs/>
                      <w:color w:val="auto"/>
                      <w:kern w:val="0"/>
                      <w:szCs w:val="21"/>
                    </w:rPr>
                    <w:t>砷</w:t>
                  </w:r>
                </w:p>
              </w:tc>
              <w:tc>
                <w:tcPr>
                  <w:tcW w:w="579"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0.25</w:t>
                  </w:r>
                </w:p>
              </w:tc>
              <w:tc>
                <w:tcPr>
                  <w:tcW w:w="58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0.27</w:t>
                  </w:r>
                </w:p>
              </w:tc>
              <w:tc>
                <w:tcPr>
                  <w:tcW w:w="448" w:type="pct"/>
                  <w:shd w:val="clear" w:color="auto" w:fill="auto"/>
                  <w:tcMar>
                    <w:top w:w="15" w:type="dxa"/>
                    <w:left w:w="15" w:type="dxa"/>
                    <w:bottom w:w="15" w:type="dxa"/>
                    <w:right w:w="15" w:type="dxa"/>
                  </w:tcMar>
                  <w:vAlign w:val="center"/>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1" w:type="pct"/>
                  <w:shd w:val="clear" w:color="auto" w:fill="auto"/>
                  <w:tcMar>
                    <w:top w:w="15" w:type="dxa"/>
                    <w:left w:w="15" w:type="dxa"/>
                    <w:bottom w:w="15" w:type="dxa"/>
                    <w:right w:w="15" w:type="dxa"/>
                  </w:tcMar>
                  <w:vAlign w:val="center"/>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17</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color w:val="auto"/>
                      <w:kern w:val="0"/>
                      <w:szCs w:val="21"/>
                    </w:rPr>
                  </w:pPr>
                  <w:r>
                    <w:rPr>
                      <w:rFonts w:ascii="Times New Roman" w:hAnsi="Times New Roman"/>
                      <w:bCs/>
                      <w:color w:val="auto"/>
                      <w:kern w:val="0"/>
                      <w:szCs w:val="21"/>
                    </w:rPr>
                    <w:t>汞</w:t>
                  </w:r>
                </w:p>
              </w:tc>
              <w:tc>
                <w:tcPr>
                  <w:tcW w:w="579"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0.46</w:t>
                  </w:r>
                </w:p>
              </w:tc>
              <w:tc>
                <w:tcPr>
                  <w:tcW w:w="588"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0.46</w:t>
                  </w:r>
                </w:p>
              </w:tc>
              <w:tc>
                <w:tcPr>
                  <w:tcW w:w="448"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shd w:val="clear" w:color="auto" w:fill="auto"/>
                  <w:tcMar>
                    <w:top w:w="15" w:type="dxa"/>
                    <w:left w:w="15" w:type="dxa"/>
                    <w:bottom w:w="15" w:type="dxa"/>
                    <w:right w:w="15" w:type="dxa"/>
                  </w:tcMar>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1" w:type="pct"/>
                  <w:shd w:val="clear" w:color="auto" w:fill="auto"/>
                  <w:tcMar>
                    <w:top w:w="15" w:type="dxa"/>
                    <w:left w:w="15" w:type="dxa"/>
                    <w:bottom w:w="15" w:type="dxa"/>
                    <w:right w:w="15" w:type="dxa"/>
                  </w:tcMar>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3"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18</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color w:val="auto"/>
                      <w:szCs w:val="21"/>
                    </w:rPr>
                  </w:pPr>
                  <w:r>
                    <w:rPr>
                      <w:rFonts w:ascii="Times New Roman" w:hAnsi="Times New Roman"/>
                      <w:color w:val="auto"/>
                      <w:szCs w:val="21"/>
                    </w:rPr>
                    <w:t>钠</w:t>
                  </w:r>
                </w:p>
              </w:tc>
              <w:tc>
                <w:tcPr>
                  <w:tcW w:w="579" w:type="pct"/>
                  <w:shd w:val="clear" w:color="auto" w:fill="E7E6E6" w:themeFill="background2"/>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1.29</w:t>
                  </w:r>
                </w:p>
              </w:tc>
              <w:tc>
                <w:tcPr>
                  <w:tcW w:w="588" w:type="pct"/>
                  <w:shd w:val="clear" w:color="auto" w:fill="E7E6E6" w:themeFill="background2"/>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1.47</w:t>
                  </w:r>
                </w:p>
              </w:tc>
              <w:tc>
                <w:tcPr>
                  <w:tcW w:w="448"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0.11</w:t>
                  </w:r>
                </w:p>
              </w:tc>
              <w:tc>
                <w:tcPr>
                  <w:tcW w:w="671" w:type="pct"/>
                  <w:shd w:val="clear" w:color="auto" w:fill="auto"/>
                  <w:tcMar>
                    <w:top w:w="15" w:type="dxa"/>
                    <w:left w:w="15" w:type="dxa"/>
                    <w:bottom w:w="15" w:type="dxa"/>
                    <w:right w:w="15" w:type="dxa"/>
                  </w:tcMar>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0.11</w:t>
                  </w:r>
                </w:p>
              </w:tc>
              <w:tc>
                <w:tcPr>
                  <w:tcW w:w="561" w:type="pct"/>
                  <w:shd w:val="clear" w:color="auto" w:fill="auto"/>
                  <w:tcMar>
                    <w:top w:w="15" w:type="dxa"/>
                    <w:left w:w="15" w:type="dxa"/>
                    <w:bottom w:w="15" w:type="dxa"/>
                    <w:right w:w="15" w:type="dxa"/>
                  </w:tcMar>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0.26</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引用点超标</w:t>
                  </w:r>
                </w:p>
              </w:tc>
            </w:tr>
          </w:tbl>
          <w:p>
            <w:pPr>
              <w:rPr>
                <w:color w:val="auto"/>
              </w:rPr>
            </w:pPr>
          </w:p>
          <w:p>
            <w:pPr>
              <w:pStyle w:val="48"/>
              <w:adjustRightInd w:val="0"/>
              <w:snapToGrid w:val="0"/>
              <w:spacing w:before="156" w:beforeLines="50" w:line="240" w:lineRule="auto"/>
              <w:ind w:firstLine="422"/>
              <w:jc w:val="center"/>
              <w:rPr>
                <w:color w:val="auto"/>
              </w:rPr>
            </w:pPr>
            <w:r>
              <w:rPr>
                <w:rFonts w:hint="eastAsia"/>
                <w:b/>
                <w:bCs/>
                <w:color w:val="auto"/>
                <w:sz w:val="21"/>
                <w:szCs w:val="21"/>
              </w:rPr>
              <w:t>续</w:t>
            </w:r>
            <w:r>
              <w:rPr>
                <w:rFonts w:ascii="Times New Roman" w:hAnsi="Times New Roman"/>
                <w:b/>
                <w:bCs/>
                <w:color w:val="auto"/>
                <w:kern w:val="0"/>
                <w:sz w:val="21"/>
                <w:szCs w:val="21"/>
              </w:rPr>
              <w:t>表</w:t>
            </w:r>
            <w:r>
              <w:rPr>
                <w:rFonts w:hint="eastAsia" w:ascii="Times New Roman" w:hAnsi="Times New Roman"/>
                <w:b/>
                <w:color w:val="auto"/>
                <w:kern w:val="0"/>
                <w:sz w:val="21"/>
                <w:szCs w:val="21"/>
              </w:rPr>
              <w:t>5</w:t>
            </w:r>
            <w:r>
              <w:rPr>
                <w:rFonts w:ascii="Times New Roman" w:hAnsi="Times New Roman"/>
                <w:b/>
                <w:color w:val="auto"/>
                <w:kern w:val="0"/>
                <w:sz w:val="21"/>
                <w:szCs w:val="21"/>
              </w:rPr>
              <w:t xml:space="preserve">  地下水监测评价结果表</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17"/>
              <w:gridCol w:w="1414"/>
              <w:gridCol w:w="962"/>
              <w:gridCol w:w="977"/>
              <w:gridCol w:w="744"/>
              <w:gridCol w:w="1115"/>
              <w:gridCol w:w="937"/>
              <w:gridCol w:w="14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432"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hint="eastAsia" w:ascii="Times New Roman" w:hAnsi="Times New Roman"/>
                      <w:bCs/>
                      <w:color w:val="auto"/>
                      <w:szCs w:val="21"/>
                    </w:rPr>
                    <w:t>序号</w:t>
                  </w:r>
                </w:p>
              </w:tc>
              <w:tc>
                <w:tcPr>
                  <w:tcW w:w="852"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项目</w:t>
                  </w:r>
                </w:p>
              </w:tc>
              <w:tc>
                <w:tcPr>
                  <w:tcW w:w="2850" w:type="pct"/>
                  <w:gridSpan w:val="5"/>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标准指数</w:t>
                  </w:r>
                </w:p>
              </w:tc>
              <w:tc>
                <w:tcPr>
                  <w:tcW w:w="865" w:type="pct"/>
                  <w:vMerge w:val="restar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432" w:type="pct"/>
                  <w:vMerge w:val="continue"/>
                  <w:shd w:val="clear" w:color="auto" w:fill="auto"/>
                  <w:tcMar>
                    <w:top w:w="15" w:type="dxa"/>
                    <w:left w:w="15" w:type="dxa"/>
                    <w:bottom w:w="15" w:type="dxa"/>
                    <w:right w:w="15" w:type="dxa"/>
                  </w:tcMar>
                  <w:vAlign w:val="center"/>
                </w:tcPr>
                <w:p>
                  <w:pPr>
                    <w:jc w:val="center"/>
                    <w:textAlignment w:val="bottom"/>
                    <w:rPr>
                      <w:color w:val="auto"/>
                    </w:rPr>
                  </w:pPr>
                </w:p>
              </w:tc>
              <w:tc>
                <w:tcPr>
                  <w:tcW w:w="852" w:type="pct"/>
                  <w:vMerge w:val="continue"/>
                  <w:shd w:val="clear" w:color="auto" w:fill="auto"/>
                  <w:tcMar>
                    <w:top w:w="15" w:type="dxa"/>
                    <w:left w:w="15" w:type="dxa"/>
                    <w:bottom w:w="15" w:type="dxa"/>
                    <w:right w:w="15" w:type="dxa"/>
                  </w:tcMar>
                  <w:vAlign w:val="center"/>
                </w:tcPr>
                <w:p>
                  <w:pPr>
                    <w:jc w:val="center"/>
                    <w:textAlignment w:val="bottom"/>
                    <w:rPr>
                      <w:color w:val="auto"/>
                    </w:rPr>
                  </w:pPr>
                </w:p>
              </w:tc>
              <w:tc>
                <w:tcPr>
                  <w:tcW w:w="579"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1#</w:t>
                  </w:r>
                </w:p>
              </w:tc>
              <w:tc>
                <w:tcPr>
                  <w:tcW w:w="588"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2#</w:t>
                  </w:r>
                </w:p>
              </w:tc>
              <w:tc>
                <w:tcPr>
                  <w:tcW w:w="448"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3#</w:t>
                  </w:r>
                </w:p>
              </w:tc>
              <w:tc>
                <w:tcPr>
                  <w:tcW w:w="671"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4#</w:t>
                  </w:r>
                </w:p>
              </w:tc>
              <w:tc>
                <w:tcPr>
                  <w:tcW w:w="563"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5#</w:t>
                  </w:r>
                </w:p>
              </w:tc>
              <w:tc>
                <w:tcPr>
                  <w:tcW w:w="865" w:type="pct"/>
                  <w:vMerge w:val="continue"/>
                  <w:shd w:val="clear" w:color="auto" w:fill="auto"/>
                  <w:tcMar>
                    <w:top w:w="15" w:type="dxa"/>
                    <w:left w:w="15" w:type="dxa"/>
                    <w:bottom w:w="15" w:type="dxa"/>
                    <w:right w:w="15" w:type="dxa"/>
                  </w:tcMar>
                  <w:vAlign w:val="center"/>
                </w:tcPr>
                <w:p>
                  <w:pPr>
                    <w:jc w:val="center"/>
                    <w:textAlignment w:val="bottom"/>
                    <w:rPr>
                      <w:rFonts w:ascii="Times New Roman" w:hAnsi="Times New Roman" w:eastAsia="等线"/>
                      <w:color w:val="auto"/>
                      <w:kern w:val="0"/>
                      <w:szCs w:val="21"/>
                      <w:lang w:bidi="ar"/>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2"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19</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color w:val="auto"/>
                      <w:szCs w:val="21"/>
                    </w:rPr>
                  </w:pPr>
                  <w:r>
                    <w:rPr>
                      <w:rFonts w:ascii="Times New Roman" w:hAnsi="Times New Roman"/>
                      <w:bCs/>
                      <w:color w:val="auto"/>
                      <w:kern w:val="0"/>
                      <w:szCs w:val="21"/>
                    </w:rPr>
                    <w:t>锰</w:t>
                  </w:r>
                </w:p>
              </w:tc>
              <w:tc>
                <w:tcPr>
                  <w:tcW w:w="579"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shd w:val="clear" w:color="auto" w:fill="auto"/>
                  <w:tcMar>
                    <w:top w:w="15" w:type="dxa"/>
                    <w:left w:w="15" w:type="dxa"/>
                    <w:bottom w:w="15" w:type="dxa"/>
                    <w:right w:w="15" w:type="dxa"/>
                  </w:tcMar>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3" w:type="pct"/>
                  <w:shd w:val="clear" w:color="auto" w:fill="auto"/>
                  <w:tcMar>
                    <w:top w:w="15" w:type="dxa"/>
                    <w:left w:w="15" w:type="dxa"/>
                    <w:bottom w:w="15" w:type="dxa"/>
                    <w:right w:w="15" w:type="dxa"/>
                  </w:tcMar>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2"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20</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color w:val="auto"/>
                      <w:szCs w:val="21"/>
                    </w:rPr>
                  </w:pPr>
                  <w:r>
                    <w:rPr>
                      <w:rFonts w:ascii="Times New Roman" w:hAnsi="Times New Roman"/>
                      <w:bCs/>
                      <w:color w:val="auto"/>
                      <w:kern w:val="0"/>
                      <w:szCs w:val="21"/>
                    </w:rPr>
                    <w:t>铁</w:t>
                  </w:r>
                </w:p>
              </w:tc>
              <w:tc>
                <w:tcPr>
                  <w:tcW w:w="579"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shd w:val="clear" w:color="auto" w:fill="auto"/>
                  <w:tcMar>
                    <w:top w:w="15" w:type="dxa"/>
                    <w:left w:w="15" w:type="dxa"/>
                    <w:bottom w:w="15" w:type="dxa"/>
                    <w:right w:w="15" w:type="dxa"/>
                  </w:tcMar>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3" w:type="pct"/>
                  <w:shd w:val="clear" w:color="auto" w:fill="auto"/>
                  <w:tcMar>
                    <w:top w:w="15" w:type="dxa"/>
                    <w:left w:w="15" w:type="dxa"/>
                    <w:bottom w:w="15" w:type="dxa"/>
                    <w:right w:w="15" w:type="dxa"/>
                  </w:tcMar>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2" w:type="pct"/>
                  <w:shd w:val="clear" w:color="auto" w:fill="auto"/>
                  <w:tcMar>
                    <w:top w:w="15" w:type="dxa"/>
                    <w:left w:w="15" w:type="dxa"/>
                    <w:bottom w:w="15" w:type="dxa"/>
                    <w:right w:w="15" w:type="dxa"/>
                  </w:tcMar>
                  <w:vAlign w:val="center"/>
                </w:tcPr>
                <w:p>
                  <w:pPr>
                    <w:pStyle w:val="86"/>
                    <w:rPr>
                      <w:rFonts w:ascii="Times New Roman" w:hAnsi="Times New Roman"/>
                      <w:color w:val="auto"/>
                    </w:rPr>
                  </w:pPr>
                  <w:r>
                    <w:rPr>
                      <w:rFonts w:ascii="Times New Roman" w:hAnsi="Times New Roman"/>
                      <w:color w:val="auto"/>
                    </w:rPr>
                    <w:t>21</w:t>
                  </w:r>
                </w:p>
              </w:tc>
              <w:tc>
                <w:tcPr>
                  <w:tcW w:w="852" w:type="pct"/>
                  <w:shd w:val="clear" w:color="auto" w:fill="auto"/>
                  <w:tcMar>
                    <w:top w:w="15" w:type="dxa"/>
                    <w:left w:w="15" w:type="dxa"/>
                    <w:bottom w:w="15" w:type="dxa"/>
                    <w:right w:w="15" w:type="dxa"/>
                  </w:tcMar>
                  <w:vAlign w:val="center"/>
                </w:tcPr>
                <w:p>
                  <w:pPr>
                    <w:jc w:val="center"/>
                    <w:rPr>
                      <w:rFonts w:ascii="Times New Roman" w:hAnsi="Times New Roman"/>
                      <w:bCs/>
                      <w:color w:val="auto"/>
                      <w:kern w:val="0"/>
                      <w:szCs w:val="21"/>
                    </w:rPr>
                  </w:pPr>
                  <w:r>
                    <w:rPr>
                      <w:rFonts w:ascii="Times New Roman" w:hAnsi="Times New Roman"/>
                      <w:bCs/>
                      <w:color w:val="auto"/>
                      <w:kern w:val="0"/>
                      <w:szCs w:val="21"/>
                    </w:rPr>
                    <w:t>铅</w:t>
                  </w:r>
                </w:p>
              </w:tc>
              <w:tc>
                <w:tcPr>
                  <w:tcW w:w="579"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shd w:val="clear" w:color="auto" w:fill="auto"/>
                  <w:tcMar>
                    <w:top w:w="15" w:type="dxa"/>
                    <w:left w:w="15" w:type="dxa"/>
                    <w:bottom w:w="15" w:type="dxa"/>
                    <w:right w:w="15" w:type="dxa"/>
                  </w:tcMar>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shd w:val="clear" w:color="auto" w:fill="auto"/>
                  <w:tcMar>
                    <w:top w:w="15" w:type="dxa"/>
                    <w:left w:w="15" w:type="dxa"/>
                    <w:bottom w:w="15" w:type="dxa"/>
                    <w:right w:w="15" w:type="dxa"/>
                  </w:tcMar>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3" w:type="pct"/>
                  <w:shd w:val="clear" w:color="auto" w:fill="auto"/>
                  <w:tcMar>
                    <w:top w:w="15" w:type="dxa"/>
                    <w:left w:w="15" w:type="dxa"/>
                    <w:bottom w:w="15" w:type="dxa"/>
                    <w:right w:w="15" w:type="dxa"/>
                  </w:tcMar>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shd w:val="clear" w:color="auto" w:fill="auto"/>
                  <w:tcMar>
                    <w:top w:w="15" w:type="dxa"/>
                    <w:left w:w="15" w:type="dxa"/>
                    <w:bottom w:w="15" w:type="dxa"/>
                    <w:right w:w="15" w:type="dxa"/>
                  </w:tcMar>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2" w:type="pct"/>
                  <w:vAlign w:val="center"/>
                </w:tcPr>
                <w:p>
                  <w:pPr>
                    <w:pStyle w:val="86"/>
                    <w:rPr>
                      <w:rFonts w:ascii="Times New Roman" w:hAnsi="Times New Roman"/>
                      <w:color w:val="auto"/>
                    </w:rPr>
                  </w:pPr>
                  <w:r>
                    <w:rPr>
                      <w:rFonts w:ascii="Times New Roman" w:hAnsi="Times New Roman"/>
                      <w:color w:val="auto"/>
                    </w:rPr>
                    <w:t>22</w:t>
                  </w:r>
                </w:p>
              </w:tc>
              <w:tc>
                <w:tcPr>
                  <w:tcW w:w="852" w:type="pct"/>
                  <w:vAlign w:val="center"/>
                </w:tcPr>
                <w:p>
                  <w:pPr>
                    <w:jc w:val="center"/>
                    <w:rPr>
                      <w:rFonts w:ascii="Times New Roman" w:hAnsi="Times New Roman"/>
                      <w:bCs/>
                      <w:color w:val="auto"/>
                      <w:kern w:val="0"/>
                      <w:szCs w:val="21"/>
                    </w:rPr>
                  </w:pPr>
                  <w:r>
                    <w:rPr>
                      <w:rFonts w:ascii="Times New Roman" w:hAnsi="Times New Roman"/>
                      <w:bCs/>
                      <w:color w:val="auto"/>
                      <w:kern w:val="0"/>
                      <w:szCs w:val="21"/>
                    </w:rPr>
                    <w:t>硒</w:t>
                  </w:r>
                </w:p>
              </w:tc>
              <w:tc>
                <w:tcPr>
                  <w:tcW w:w="579"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0.07</w:t>
                  </w:r>
                </w:p>
              </w:tc>
              <w:tc>
                <w:tcPr>
                  <w:tcW w:w="58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0.07</w:t>
                  </w:r>
                </w:p>
              </w:tc>
              <w:tc>
                <w:tcPr>
                  <w:tcW w:w="44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3"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2" w:type="pct"/>
                  <w:vAlign w:val="center"/>
                </w:tcPr>
                <w:p>
                  <w:pPr>
                    <w:pStyle w:val="86"/>
                    <w:rPr>
                      <w:rFonts w:ascii="Times New Roman" w:hAnsi="Times New Roman"/>
                      <w:color w:val="auto"/>
                    </w:rPr>
                  </w:pPr>
                  <w:r>
                    <w:rPr>
                      <w:rFonts w:ascii="Times New Roman" w:hAnsi="Times New Roman"/>
                      <w:color w:val="auto"/>
                    </w:rPr>
                    <w:t>23</w:t>
                  </w:r>
                </w:p>
              </w:tc>
              <w:tc>
                <w:tcPr>
                  <w:tcW w:w="852" w:type="pct"/>
                  <w:vAlign w:val="center"/>
                </w:tcPr>
                <w:p>
                  <w:pPr>
                    <w:jc w:val="center"/>
                    <w:rPr>
                      <w:rFonts w:ascii="Times New Roman" w:hAnsi="Times New Roman"/>
                      <w:color w:val="auto"/>
                      <w:szCs w:val="21"/>
                    </w:rPr>
                  </w:pPr>
                  <w:r>
                    <w:rPr>
                      <w:rFonts w:ascii="Times New Roman" w:hAnsi="Times New Roman"/>
                      <w:color w:val="auto"/>
                      <w:szCs w:val="21"/>
                    </w:rPr>
                    <w:t>硫化物</w:t>
                  </w:r>
                </w:p>
              </w:tc>
              <w:tc>
                <w:tcPr>
                  <w:tcW w:w="579"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0.30</w:t>
                  </w:r>
                </w:p>
              </w:tc>
              <w:tc>
                <w:tcPr>
                  <w:tcW w:w="44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3"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2" w:type="pct"/>
                  <w:vAlign w:val="center"/>
                </w:tcPr>
                <w:p>
                  <w:pPr>
                    <w:pStyle w:val="86"/>
                    <w:rPr>
                      <w:rFonts w:ascii="Times New Roman" w:hAnsi="Times New Roman"/>
                      <w:color w:val="auto"/>
                    </w:rPr>
                  </w:pPr>
                  <w:r>
                    <w:rPr>
                      <w:rFonts w:ascii="Times New Roman" w:hAnsi="Times New Roman"/>
                      <w:color w:val="auto"/>
                    </w:rPr>
                    <w:t>24</w:t>
                  </w:r>
                </w:p>
              </w:tc>
              <w:tc>
                <w:tcPr>
                  <w:tcW w:w="852" w:type="pct"/>
                  <w:vAlign w:val="center"/>
                </w:tcPr>
                <w:p>
                  <w:pPr>
                    <w:jc w:val="center"/>
                    <w:rPr>
                      <w:rFonts w:ascii="Times New Roman" w:hAnsi="Times New Roman"/>
                      <w:color w:val="auto"/>
                      <w:szCs w:val="21"/>
                    </w:rPr>
                  </w:pPr>
                  <w:r>
                    <w:rPr>
                      <w:rFonts w:ascii="Times New Roman" w:hAnsi="Times New Roman"/>
                      <w:bCs/>
                      <w:color w:val="auto"/>
                      <w:kern w:val="0"/>
                      <w:szCs w:val="21"/>
                    </w:rPr>
                    <w:t>色度</w:t>
                  </w:r>
                </w:p>
              </w:tc>
              <w:tc>
                <w:tcPr>
                  <w:tcW w:w="579" w:type="pct"/>
                  <w:vAlign w:val="bottom"/>
                </w:tcPr>
                <w:p>
                  <w:pPr>
                    <w:jc w:val="center"/>
                    <w:textAlignment w:val="bottom"/>
                    <w:rPr>
                      <w:rFonts w:ascii="Times New Roman" w:hAnsi="Times New Roman"/>
                      <w:bCs/>
                      <w:color w:val="auto"/>
                      <w:szCs w:val="21"/>
                    </w:rPr>
                  </w:pPr>
                  <w:r>
                    <w:rPr>
                      <w:rFonts w:hint="eastAsia" w:ascii="Times New Roman" w:hAnsi="Times New Roman" w:eastAsia="等线"/>
                      <w:color w:val="auto"/>
                      <w:kern w:val="0"/>
                      <w:szCs w:val="21"/>
                      <w:lang w:bidi="ar"/>
                    </w:rPr>
                    <w:t>0.33</w:t>
                  </w:r>
                </w:p>
              </w:tc>
              <w:tc>
                <w:tcPr>
                  <w:tcW w:w="588" w:type="pct"/>
                  <w:vAlign w:val="bottom"/>
                </w:tcPr>
                <w:p>
                  <w:pPr>
                    <w:jc w:val="center"/>
                    <w:textAlignment w:val="bottom"/>
                    <w:rPr>
                      <w:rFonts w:ascii="Times New Roman" w:hAnsi="Times New Roman"/>
                      <w:bCs/>
                      <w:color w:val="auto"/>
                      <w:szCs w:val="21"/>
                    </w:rPr>
                  </w:pPr>
                  <w:r>
                    <w:rPr>
                      <w:rFonts w:hint="eastAsia" w:ascii="Times New Roman" w:hAnsi="Times New Roman"/>
                      <w:bCs/>
                      <w:color w:val="auto"/>
                      <w:szCs w:val="21"/>
                    </w:rPr>
                    <w:t>0.33</w:t>
                  </w:r>
                </w:p>
              </w:tc>
              <w:tc>
                <w:tcPr>
                  <w:tcW w:w="44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3"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2" w:type="pct"/>
                  <w:vAlign w:val="center"/>
                </w:tcPr>
                <w:p>
                  <w:pPr>
                    <w:pStyle w:val="86"/>
                    <w:rPr>
                      <w:rFonts w:ascii="Times New Roman" w:hAnsi="Times New Roman"/>
                      <w:color w:val="auto"/>
                    </w:rPr>
                  </w:pPr>
                  <w:r>
                    <w:rPr>
                      <w:rFonts w:ascii="Times New Roman" w:hAnsi="Times New Roman"/>
                      <w:color w:val="auto"/>
                    </w:rPr>
                    <w:t>25</w:t>
                  </w:r>
                </w:p>
              </w:tc>
              <w:tc>
                <w:tcPr>
                  <w:tcW w:w="852" w:type="pct"/>
                  <w:vAlign w:val="center"/>
                </w:tcPr>
                <w:p>
                  <w:pPr>
                    <w:jc w:val="center"/>
                    <w:rPr>
                      <w:rFonts w:ascii="Times New Roman" w:hAnsi="Times New Roman"/>
                      <w:bCs/>
                      <w:color w:val="auto"/>
                      <w:kern w:val="0"/>
                      <w:szCs w:val="21"/>
                    </w:rPr>
                  </w:pPr>
                  <w:r>
                    <w:rPr>
                      <w:rFonts w:ascii="Times New Roman" w:hAnsi="Times New Roman"/>
                      <w:bCs/>
                      <w:color w:val="auto"/>
                      <w:kern w:val="0"/>
                      <w:szCs w:val="21"/>
                    </w:rPr>
                    <w:t>臭和味</w:t>
                  </w:r>
                </w:p>
              </w:tc>
              <w:tc>
                <w:tcPr>
                  <w:tcW w:w="579"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3"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2" w:type="pct"/>
                  <w:vAlign w:val="center"/>
                </w:tcPr>
                <w:p>
                  <w:pPr>
                    <w:pStyle w:val="86"/>
                    <w:rPr>
                      <w:rFonts w:ascii="Times New Roman" w:hAnsi="Times New Roman"/>
                      <w:color w:val="auto"/>
                    </w:rPr>
                  </w:pPr>
                  <w:r>
                    <w:rPr>
                      <w:rFonts w:ascii="Times New Roman" w:hAnsi="Times New Roman"/>
                      <w:color w:val="auto"/>
                    </w:rPr>
                    <w:t>26</w:t>
                  </w:r>
                </w:p>
              </w:tc>
              <w:tc>
                <w:tcPr>
                  <w:tcW w:w="852" w:type="pct"/>
                  <w:vAlign w:val="center"/>
                </w:tcPr>
                <w:p>
                  <w:pPr>
                    <w:jc w:val="center"/>
                    <w:rPr>
                      <w:rFonts w:ascii="Times New Roman" w:hAnsi="Times New Roman"/>
                      <w:color w:val="auto"/>
                      <w:szCs w:val="21"/>
                    </w:rPr>
                  </w:pPr>
                  <w:r>
                    <w:rPr>
                      <w:rFonts w:ascii="Times New Roman" w:hAnsi="Times New Roman"/>
                      <w:bCs/>
                      <w:color w:val="auto"/>
                      <w:kern w:val="0"/>
                      <w:szCs w:val="21"/>
                    </w:rPr>
                    <w:t>浑浊度</w:t>
                  </w:r>
                </w:p>
              </w:tc>
              <w:tc>
                <w:tcPr>
                  <w:tcW w:w="579"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0.33</w:t>
                  </w:r>
                </w:p>
              </w:tc>
              <w:tc>
                <w:tcPr>
                  <w:tcW w:w="58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0.33</w:t>
                  </w:r>
                </w:p>
              </w:tc>
              <w:tc>
                <w:tcPr>
                  <w:tcW w:w="44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0.30</w:t>
                  </w:r>
                </w:p>
              </w:tc>
              <w:tc>
                <w:tcPr>
                  <w:tcW w:w="671"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0.30</w:t>
                  </w:r>
                </w:p>
              </w:tc>
              <w:tc>
                <w:tcPr>
                  <w:tcW w:w="563"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0.30</w:t>
                  </w:r>
                </w:p>
              </w:tc>
              <w:tc>
                <w:tcPr>
                  <w:tcW w:w="865"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2" w:type="pct"/>
                  <w:vAlign w:val="center"/>
                </w:tcPr>
                <w:p>
                  <w:pPr>
                    <w:pStyle w:val="86"/>
                    <w:rPr>
                      <w:rFonts w:ascii="Times New Roman" w:hAnsi="Times New Roman"/>
                      <w:color w:val="auto"/>
                    </w:rPr>
                  </w:pPr>
                  <w:r>
                    <w:rPr>
                      <w:rFonts w:ascii="Times New Roman" w:hAnsi="Times New Roman"/>
                      <w:color w:val="auto"/>
                    </w:rPr>
                    <w:t>27</w:t>
                  </w:r>
                </w:p>
              </w:tc>
              <w:tc>
                <w:tcPr>
                  <w:tcW w:w="852" w:type="pct"/>
                  <w:vAlign w:val="center"/>
                </w:tcPr>
                <w:p>
                  <w:pPr>
                    <w:jc w:val="center"/>
                    <w:rPr>
                      <w:rFonts w:ascii="Times New Roman" w:hAnsi="Times New Roman"/>
                      <w:bCs/>
                      <w:color w:val="auto"/>
                      <w:kern w:val="0"/>
                      <w:szCs w:val="21"/>
                    </w:rPr>
                  </w:pPr>
                  <w:r>
                    <w:rPr>
                      <w:rFonts w:ascii="Times New Roman" w:hAnsi="Times New Roman"/>
                      <w:bCs/>
                      <w:color w:val="auto"/>
                      <w:kern w:val="0"/>
                      <w:szCs w:val="21"/>
                    </w:rPr>
                    <w:t>氰化物</w:t>
                  </w:r>
                </w:p>
              </w:tc>
              <w:tc>
                <w:tcPr>
                  <w:tcW w:w="579"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671"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563"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w:t>
                  </w:r>
                </w:p>
              </w:tc>
              <w:tc>
                <w:tcPr>
                  <w:tcW w:w="865"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2" w:type="pct"/>
                  <w:vAlign w:val="center"/>
                </w:tcPr>
                <w:p>
                  <w:pPr>
                    <w:pStyle w:val="86"/>
                    <w:rPr>
                      <w:rFonts w:ascii="Times New Roman" w:hAnsi="Times New Roman"/>
                      <w:color w:val="auto"/>
                    </w:rPr>
                  </w:pPr>
                  <w:r>
                    <w:rPr>
                      <w:rFonts w:ascii="Times New Roman" w:hAnsi="Times New Roman"/>
                      <w:color w:val="auto"/>
                    </w:rPr>
                    <w:t>28</w:t>
                  </w:r>
                </w:p>
              </w:tc>
              <w:tc>
                <w:tcPr>
                  <w:tcW w:w="852" w:type="pct"/>
                  <w:vAlign w:val="center"/>
                </w:tcPr>
                <w:p>
                  <w:pPr>
                    <w:jc w:val="center"/>
                    <w:rPr>
                      <w:rFonts w:ascii="Times New Roman" w:hAnsi="Times New Roman"/>
                      <w:color w:val="auto"/>
                      <w:szCs w:val="21"/>
                    </w:rPr>
                  </w:pPr>
                  <w:r>
                    <w:rPr>
                      <w:rFonts w:ascii="Times New Roman" w:hAnsi="Times New Roman"/>
                      <w:color w:val="auto"/>
                      <w:szCs w:val="21"/>
                    </w:rPr>
                    <w:t>石油类</w:t>
                  </w:r>
                </w:p>
              </w:tc>
              <w:tc>
                <w:tcPr>
                  <w:tcW w:w="579"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58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w:t>
                  </w:r>
                </w:p>
              </w:tc>
              <w:tc>
                <w:tcPr>
                  <w:tcW w:w="448" w:type="pct"/>
                  <w:vAlign w:val="bottom"/>
                </w:tcPr>
                <w:p>
                  <w:pPr>
                    <w:jc w:val="center"/>
                    <w:textAlignment w:val="bottom"/>
                    <w:rPr>
                      <w:rFonts w:ascii="Times New Roman" w:hAnsi="Times New Roman"/>
                      <w:bCs/>
                      <w:color w:val="auto"/>
                      <w:szCs w:val="21"/>
                    </w:rPr>
                  </w:pPr>
                  <w:r>
                    <w:rPr>
                      <w:rFonts w:ascii="Times New Roman" w:hAnsi="Times New Roman" w:eastAsia="等线"/>
                      <w:color w:val="auto"/>
                      <w:kern w:val="0"/>
                      <w:szCs w:val="21"/>
                      <w:lang w:bidi="ar"/>
                    </w:rPr>
                    <w:t>0.40</w:t>
                  </w:r>
                </w:p>
              </w:tc>
              <w:tc>
                <w:tcPr>
                  <w:tcW w:w="671"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0.60</w:t>
                  </w:r>
                </w:p>
              </w:tc>
              <w:tc>
                <w:tcPr>
                  <w:tcW w:w="563" w:type="pct"/>
                  <w:vAlign w:val="bottom"/>
                </w:tcPr>
                <w:p>
                  <w:pPr>
                    <w:jc w:val="center"/>
                    <w:textAlignment w:val="bottom"/>
                    <w:rPr>
                      <w:rFonts w:ascii="Times New Roman" w:hAnsi="Times New Roman"/>
                      <w:color w:val="auto"/>
                      <w:szCs w:val="21"/>
                      <w:lang w:bidi="ar"/>
                    </w:rPr>
                  </w:pPr>
                  <w:r>
                    <w:rPr>
                      <w:rFonts w:ascii="Times New Roman" w:hAnsi="Times New Roman" w:eastAsia="等线"/>
                      <w:color w:val="auto"/>
                      <w:kern w:val="0"/>
                      <w:szCs w:val="21"/>
                      <w:lang w:bidi="ar"/>
                    </w:rPr>
                    <w:t>0.40</w:t>
                  </w:r>
                </w:p>
              </w:tc>
              <w:tc>
                <w:tcPr>
                  <w:tcW w:w="865" w:type="pct"/>
                  <w:vAlign w:val="center"/>
                </w:tcPr>
                <w:p>
                  <w:pPr>
                    <w:jc w:val="center"/>
                    <w:rPr>
                      <w:rFonts w:ascii="Times New Roman" w:hAnsi="Times New Roman"/>
                      <w:bCs/>
                      <w:color w:val="auto"/>
                      <w:szCs w:val="21"/>
                    </w:rPr>
                  </w:pPr>
                  <w:r>
                    <w:rPr>
                      <w:rFonts w:ascii="Times New Roman" w:hAnsi="Times New Roman"/>
                      <w:bCs/>
                      <w:color w:val="auto"/>
                      <w:szCs w:val="21"/>
                    </w:rPr>
                    <w:t>达标</w:t>
                  </w:r>
                </w:p>
              </w:tc>
            </w:tr>
          </w:tbl>
          <w:p>
            <w:pPr>
              <w:pStyle w:val="48"/>
              <w:adjustRightInd w:val="0"/>
              <w:snapToGrid w:val="0"/>
              <w:spacing w:before="156" w:beforeLines="50" w:line="360" w:lineRule="auto"/>
              <w:ind w:firstLine="480"/>
              <w:jc w:val="both"/>
              <w:rPr>
                <w:rFonts w:ascii="Times New Roman" w:hAnsi="Times New Roman"/>
                <w:color w:val="auto"/>
              </w:rPr>
            </w:pPr>
            <w:r>
              <w:rPr>
                <w:rFonts w:ascii="Times New Roman" w:hAnsi="Times New Roman"/>
                <w:color w:val="auto"/>
                <w:kern w:val="0"/>
              </w:rPr>
              <w:t>由监测结果可知</w:t>
            </w:r>
            <w:bookmarkStart w:id="43" w:name="_Hlk521700127"/>
            <w:r>
              <w:rPr>
                <w:rFonts w:ascii="Times New Roman" w:hAnsi="Times New Roman"/>
                <w:color w:val="auto"/>
                <w:kern w:val="0"/>
              </w:rPr>
              <w:t>：</w:t>
            </w:r>
            <w:bookmarkEnd w:id="43"/>
            <w:bookmarkStart w:id="44" w:name="_Hlk5108229"/>
            <w:r>
              <w:rPr>
                <w:rFonts w:ascii="Times New Roman" w:hAnsi="Times New Roman"/>
                <w:color w:val="auto"/>
              </w:rPr>
              <w:t>地下水引用点中总硬度、氯化物、溶解性总固体、氟化物、硫酸盐和钠均有不同程度超标，其余监测点各监测因子均能够满足《地下水质量标准》（</w:t>
            </w:r>
            <w:r>
              <w:rPr>
                <w:rFonts w:ascii="Times New Roman" w:hAnsi="Times New Roman" w:eastAsia="TimesNewRomanPSMT"/>
                <w:color w:val="auto"/>
              </w:rPr>
              <w:t>GB/T14848-2017</w:t>
            </w:r>
            <w:r>
              <w:rPr>
                <w:rFonts w:ascii="Times New Roman" w:hAnsi="Times New Roman"/>
                <w:color w:val="auto"/>
              </w:rPr>
              <w:t>）</w:t>
            </w:r>
            <w:r>
              <w:rPr>
                <w:rFonts w:ascii="Times New Roman" w:hAnsi="Times New Roman" w:eastAsia="TimesNewRomanPSMT"/>
                <w:color w:val="auto"/>
              </w:rPr>
              <w:t>Ⅲ</w:t>
            </w:r>
            <w:r>
              <w:rPr>
                <w:rFonts w:ascii="Times New Roman" w:hAnsi="Times New Roman"/>
                <w:color w:val="auto"/>
              </w:rPr>
              <w:t>类标准的要求，石油类满足《地表水环境质量标准》（</w:t>
            </w:r>
            <w:r>
              <w:rPr>
                <w:rFonts w:ascii="Times New Roman" w:hAnsi="Times New Roman" w:eastAsia="TimesNewRomanPSMT"/>
                <w:color w:val="auto"/>
              </w:rPr>
              <w:t>GB3838-2002</w:t>
            </w:r>
            <w:r>
              <w:rPr>
                <w:rFonts w:ascii="Times New Roman" w:hAnsi="Times New Roman"/>
                <w:color w:val="auto"/>
              </w:rPr>
              <w:t>）中的</w:t>
            </w:r>
            <w:r>
              <w:rPr>
                <w:rFonts w:ascii="Times New Roman" w:hAnsi="Times New Roman" w:eastAsia="TimesNewRomanPSMT"/>
                <w:color w:val="auto"/>
              </w:rPr>
              <w:t>Ⅲ</w:t>
            </w:r>
            <w:r>
              <w:rPr>
                <w:rFonts w:ascii="Times New Roman" w:hAnsi="Times New Roman"/>
                <w:color w:val="auto"/>
              </w:rPr>
              <w:t>类标准。</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项目区地下水水质天然背景值较高，</w:t>
            </w:r>
            <w:bookmarkEnd w:id="44"/>
            <w:r>
              <w:rPr>
                <w:rFonts w:ascii="Times New Roman" w:hAnsi="Times New Roman"/>
                <w:color w:val="auto"/>
                <w:sz w:val="24"/>
              </w:rPr>
              <w:t>超标</w:t>
            </w:r>
            <w:r>
              <w:rPr>
                <w:rFonts w:hint="eastAsia" w:ascii="Times New Roman" w:hAnsi="Times New Roman"/>
                <w:color w:val="auto"/>
                <w:sz w:val="24"/>
              </w:rPr>
              <w:t>原因由</w:t>
            </w:r>
            <w:r>
              <w:rPr>
                <w:rFonts w:ascii="Times New Roman" w:hAnsi="Times New Roman"/>
                <w:color w:val="auto"/>
                <w:sz w:val="24"/>
              </w:rPr>
              <w:t>原生水文地质因素所致，非人为污染，须经处理后方可作为生产生活用水。</w:t>
            </w:r>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3</w:t>
            </w:r>
            <w:r>
              <w:rPr>
                <w:rFonts w:hint="eastAsia" w:ascii="Times New Roman" w:hAnsi="Times New Roman"/>
                <w:b/>
                <w:bCs/>
                <w:color w:val="auto"/>
                <w:sz w:val="24"/>
              </w:rPr>
              <w:t>．</w:t>
            </w:r>
            <w:r>
              <w:rPr>
                <w:rFonts w:ascii="Times New Roman" w:hAnsi="Times New Roman"/>
                <w:b/>
                <w:bCs/>
                <w:color w:val="auto"/>
                <w:sz w:val="24"/>
              </w:rPr>
              <w:t>水环境</w:t>
            </w:r>
            <w:r>
              <w:rPr>
                <w:rFonts w:hint="eastAsia" w:ascii="Times New Roman" w:hAnsi="Times New Roman"/>
                <w:b/>
                <w:bCs/>
                <w:color w:val="auto"/>
                <w:sz w:val="24"/>
              </w:rPr>
              <w:t>概况</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（1）水文地质特征</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油田区域埋藏有三种类型的地下水，即第四系松散岩类孔隙水和第三系碎屑岩类孔隙裂隙水、白垩系含水岩组。各含水层水文地质特征如下：</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白垩系含水岩组：含水层为砂岩、砾岩，富水性为贫乏—中等，一般水质较差，为咸水。矿化度75.9～12.4g/L，水化学类型主要属CaCl</w:t>
            </w:r>
            <w:r>
              <w:rPr>
                <w:rFonts w:ascii="Times New Roman" w:hAnsi="Times New Roman"/>
                <w:color w:val="auto"/>
                <w:kern w:val="0"/>
                <w:sz w:val="24"/>
                <w:szCs w:val="22"/>
                <w:vertAlign w:val="subscript"/>
              </w:rPr>
              <w:t>2</w:t>
            </w:r>
            <w:r>
              <w:rPr>
                <w:rFonts w:ascii="Times New Roman" w:hAnsi="Times New Roman"/>
                <w:color w:val="auto"/>
                <w:kern w:val="0"/>
                <w:sz w:val="24"/>
                <w:szCs w:val="22"/>
              </w:rPr>
              <w:t>水型。</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第三系含水岩组：岩性为中、粗粒砂岩、砾岩、泥岩互层，泥岩将含水的中粗粒砂岩、砾岩分隔成若干层，岩石颗粒越粗，相对富水性越好。因第三系地层在项目区内厚度很大，分布广泛，主要为承压水，为项目区内重要的含水岩组。承压水顶板埋深在100m以下，矿化度3～10g/L，水化学类型主要以Cl-Na型和Cl-SO</w:t>
            </w:r>
            <w:r>
              <w:rPr>
                <w:rFonts w:ascii="Times New Roman" w:hAnsi="Times New Roman"/>
                <w:color w:val="auto"/>
                <w:kern w:val="0"/>
                <w:sz w:val="24"/>
                <w:szCs w:val="22"/>
                <w:vertAlign w:val="subscript"/>
              </w:rPr>
              <w:t>4</w:t>
            </w:r>
            <w:r>
              <w:rPr>
                <w:rFonts w:ascii="Times New Roman" w:hAnsi="Times New Roman"/>
                <w:color w:val="auto"/>
                <w:kern w:val="0"/>
                <w:sz w:val="24"/>
                <w:szCs w:val="22"/>
              </w:rPr>
              <w:t>-Na型为主；富水性极不均匀。</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第四系含水岩组：第四系松散岩地层沉积厚度数十米至上百米不等，含水层为一套冲积—湖积的双层结构，上部为潜水，下部为承压水，含水层岩性以粗砂为主，承压含水顶板埋深多大于100m，潜水位埋深较小(2～10m)，矿化度＞10g/</w:t>
            </w:r>
            <w:r>
              <w:rPr>
                <w:rFonts w:hint="eastAsia" w:ascii="Times New Roman" w:hAnsi="Times New Roman"/>
                <w:color w:val="auto"/>
                <w:kern w:val="0"/>
                <w:sz w:val="24"/>
                <w:szCs w:val="22"/>
              </w:rPr>
              <w:t>L</w:t>
            </w:r>
            <w:r>
              <w:rPr>
                <w:rFonts w:ascii="Times New Roman" w:hAnsi="Times New Roman"/>
                <w:color w:val="auto"/>
                <w:kern w:val="0"/>
                <w:sz w:val="24"/>
                <w:szCs w:val="22"/>
              </w:rPr>
              <w:t>，水化学类型主要以Cl-Na型和Cl-SO</w:t>
            </w:r>
            <w:r>
              <w:rPr>
                <w:rFonts w:ascii="Times New Roman" w:hAnsi="Times New Roman"/>
                <w:color w:val="auto"/>
                <w:kern w:val="0"/>
                <w:sz w:val="24"/>
                <w:szCs w:val="22"/>
                <w:vertAlign w:val="subscript"/>
              </w:rPr>
              <w:t>4</w:t>
            </w:r>
            <w:r>
              <w:rPr>
                <w:rFonts w:ascii="Times New Roman" w:hAnsi="Times New Roman"/>
                <w:color w:val="auto"/>
                <w:kern w:val="0"/>
                <w:sz w:val="24"/>
                <w:szCs w:val="22"/>
              </w:rPr>
              <w:t>-Na型为主；水量小，无开采利用价值。</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（2）地下水贮存条件和分布</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乌苏市平原区第四系松散岩类孔隙水分布广泛。从南山山前向准噶尔盆地中心，即由山前洪积倾斜砾质平原→冲洪积细土平原→风成沙漠、冲积湖积细土平原，第四纪沉积物由单一的卵砾石层、砂砾石层渐变为砂砾石、砂、粘性土的互层，地下水的类型由单一结构的潜水过渡到多层结构的潜水—承压水。由于南部山体升降幅度、侵蚀搬运强度等地质作用较北部强烈，平原区主要接受了来自南山的沉积，从而形成了以南山松散岩类堆积物为主的含水层。</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从南部山前倾斜洪积砾质平原到冲洪积平原上部，潜水的埋藏深度由深逐渐变浅直至溢出地表</w:t>
            </w:r>
            <w:r>
              <w:rPr>
                <w:rFonts w:hint="eastAsia" w:ascii="Times New Roman" w:hAnsi="Times New Roman"/>
                <w:color w:val="auto"/>
                <w:kern w:val="0"/>
                <w:sz w:val="24"/>
                <w:szCs w:val="22"/>
              </w:rPr>
              <w:t>；</w:t>
            </w:r>
            <w:r>
              <w:rPr>
                <w:rFonts w:ascii="Times New Roman" w:hAnsi="Times New Roman"/>
                <w:color w:val="auto"/>
                <w:kern w:val="0"/>
                <w:sz w:val="24"/>
                <w:szCs w:val="22"/>
              </w:rPr>
              <w:t>冲洪积细土平原的潜水埋藏深度一般小于5m，潜水的埋藏深度主要受灌区的影响</w:t>
            </w:r>
            <w:r>
              <w:rPr>
                <w:rFonts w:hint="eastAsia" w:ascii="Times New Roman" w:hAnsi="Times New Roman"/>
                <w:color w:val="auto"/>
                <w:kern w:val="0"/>
                <w:sz w:val="24"/>
                <w:szCs w:val="22"/>
              </w:rPr>
              <w:t>；</w:t>
            </w:r>
            <w:r>
              <w:rPr>
                <w:rFonts w:ascii="Times New Roman" w:hAnsi="Times New Roman"/>
                <w:color w:val="auto"/>
                <w:kern w:val="0"/>
                <w:sz w:val="24"/>
                <w:szCs w:val="22"/>
              </w:rPr>
              <w:t>冲湖积平原的潜水埋藏深度一般小于10 m。</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冲洪积、冲湖积细土平原承压( 自流) 水分布范围广泛，南部大致以312 国道北为界，北部以奎屯河道为界。</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车排子灌区以西、佐顿爱力生沙漠北至东西向的吉尔尕郎河( 奎屯河下游河道，以下简称吉河) 之间( 该区域称甘家湖梭梭自然保护区) 为冲湖积细土平原。冲湖积细土平原广泛赋水，潜水位埋深一般大于3m，承压( 自流) 含水层埋藏深度在50～80m 以下，含水介质上部为粉砂、细砂，下部为细砂、粗砂，中间夹有粉质粘土、粉土层。</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项目区地下水主要为双层结构的松散岩类孔隙水。</w:t>
            </w:r>
            <w:r>
              <w:rPr>
                <w:rFonts w:ascii="Times New Roman" w:hAnsi="Times New Roman"/>
                <w:color w:val="auto"/>
                <w:sz w:val="24"/>
                <w:szCs w:val="20"/>
              </w:rPr>
              <w:t>项目区水文地质示</w:t>
            </w:r>
            <w:r>
              <w:rPr>
                <w:rFonts w:ascii="Times New Roman" w:hAnsi="Times New Roman"/>
                <w:color w:val="auto"/>
                <w:sz w:val="24"/>
              </w:rPr>
              <w:t>意图见图1。</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（3）补给、径流、排泄条件</w:t>
            </w:r>
          </w:p>
          <w:p>
            <w:pPr>
              <w:adjustRightInd w:val="0"/>
              <w:snapToGrid w:val="0"/>
              <w:spacing w:line="360" w:lineRule="auto"/>
              <w:ind w:firstLine="456" w:firstLineChars="200"/>
              <w:jc w:val="both"/>
              <w:rPr>
                <w:rFonts w:ascii="Times New Roman" w:hAnsi="Times New Roman"/>
                <w:color w:val="auto"/>
                <w:spacing w:val="-6"/>
                <w:kern w:val="0"/>
                <w:sz w:val="24"/>
                <w:szCs w:val="22"/>
              </w:rPr>
            </w:pPr>
            <w:r>
              <w:rPr>
                <w:rFonts w:ascii="Times New Roman" w:hAnsi="Times New Roman"/>
                <w:color w:val="auto"/>
                <w:spacing w:val="-6"/>
                <w:kern w:val="0"/>
                <w:sz w:val="24"/>
                <w:szCs w:val="22"/>
              </w:rPr>
              <w:t>南部山前倾斜洪积砾质平原的地下水在水平方向上接收山区地下水的侧向补给，在垂向主要接收河道水渗漏、渠系水入渗及前山带暴雨形成的洪水渗漏，由于地下水水位埋藏深，稀少的大气降水对地下水的补给作用不大。山区地下水的侧向补给、河道水、洪水渗漏是平原区地下水的重要补给源。洪积砾质平原地层颗粒粗大、孔隙大，且地形坡度较大，地下水径流强烈，是地下水的补给径流区。</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冲洪积、冲积细土平原的地下水一方面接受山前倾斜洪积砾质平原地下水的侧向补给，另一方面灌区内渠道水、水库水、田灌水的渗漏补给也是该地带地下水主要的补给源。山前倾斜洪积砾质平原地下水的侧向补给是细土平原区中深部承压水的最主要补给源，灌区内渠道水、水库水、田间灌溉水的渗漏主要补给浅部潜水。下伏承压水对上覆潜水进行顶托越流补给。</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佐顿爱力生沙漠的下伏地层与上游四棵树河、古尔图河冲积细土平原和下游冲湖积细土平原在沉积岩性、岩相上基本无大的差别，是地下水的径流区。冲湖积细土平原是乌苏市平原的下游区，地下水主要接受佐顿爱力生沙漠(南面) 、奎屯河冲积细土平原( 东面) 的侧向径流补给，由于潜水位埋藏浅，潜水的蒸发蒸腾作用强烈，且地形较为平坦低洼，地下水径流滞缓，是地下水的排泄区。</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（4）地下水化学特征</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冲洪积、冲积平原地势平缓，地层颗粒细，潜水径流条件较差，潜水埋藏浅以垂向交替循环为主，蒸发浓缩作用强，以脱碳酸作用为主，使水中的SO</w:t>
            </w:r>
            <w:r>
              <w:rPr>
                <w:rFonts w:ascii="Times New Roman" w:hAnsi="Times New Roman"/>
                <w:color w:val="auto"/>
                <w:kern w:val="0"/>
                <w:sz w:val="24"/>
                <w:szCs w:val="22"/>
                <w:vertAlign w:val="subscript"/>
              </w:rPr>
              <w:t>4</w:t>
            </w:r>
            <w:r>
              <w:rPr>
                <w:rFonts w:ascii="Times New Roman" w:hAnsi="Times New Roman"/>
                <w:color w:val="auto"/>
                <w:kern w:val="0"/>
                <w:sz w:val="24"/>
                <w:szCs w:val="22"/>
                <w:vertAlign w:val="superscript"/>
              </w:rPr>
              <w:t>2-</w:t>
            </w:r>
            <w:r>
              <w:rPr>
                <w:rFonts w:ascii="Times New Roman" w:hAnsi="Times New Roman"/>
                <w:color w:val="auto"/>
                <w:kern w:val="0"/>
                <w:sz w:val="24"/>
                <w:szCs w:val="22"/>
              </w:rPr>
              <w:t>相应增加，主要为SO</w:t>
            </w:r>
            <w:r>
              <w:rPr>
                <w:rFonts w:ascii="Times New Roman" w:hAnsi="Times New Roman"/>
                <w:color w:val="auto"/>
                <w:kern w:val="0"/>
                <w:sz w:val="24"/>
                <w:szCs w:val="22"/>
                <w:vertAlign w:val="subscript"/>
              </w:rPr>
              <w:t>4</w:t>
            </w:r>
            <w:r>
              <w:rPr>
                <w:rFonts w:ascii="Times New Roman" w:hAnsi="Times New Roman"/>
                <w:color w:val="auto"/>
                <w:kern w:val="0"/>
                <w:sz w:val="24"/>
                <w:szCs w:val="22"/>
              </w:rPr>
              <w:t>·Cl－Na·Ca型，最终向Cl·SO</w:t>
            </w:r>
            <w:r>
              <w:rPr>
                <w:rFonts w:ascii="Times New Roman" w:hAnsi="Times New Roman"/>
                <w:color w:val="auto"/>
                <w:kern w:val="0"/>
                <w:sz w:val="24"/>
                <w:szCs w:val="22"/>
                <w:vertAlign w:val="subscript"/>
              </w:rPr>
              <w:t>4</w:t>
            </w:r>
            <w:r>
              <w:rPr>
                <w:rFonts w:ascii="Times New Roman" w:hAnsi="Times New Roman"/>
                <w:color w:val="auto"/>
                <w:kern w:val="0"/>
                <w:sz w:val="24"/>
                <w:szCs w:val="22"/>
              </w:rPr>
              <w:t>－Na和Cl－Na型水发展，潜水矿化度在上游地区一般小于1g/L，向下游地区逐渐增高。在灌区由于受渠系、田间灌溉水入渗的影响，使局部地区潜水淡化，出现了SO</w:t>
            </w:r>
            <w:r>
              <w:rPr>
                <w:rFonts w:ascii="Times New Roman" w:hAnsi="Times New Roman"/>
                <w:color w:val="auto"/>
                <w:kern w:val="0"/>
                <w:sz w:val="24"/>
                <w:szCs w:val="22"/>
                <w:vertAlign w:val="subscript"/>
              </w:rPr>
              <w:t>4</w:t>
            </w:r>
            <w:r>
              <w:rPr>
                <w:rFonts w:ascii="Times New Roman" w:hAnsi="Times New Roman"/>
                <w:color w:val="auto"/>
                <w:kern w:val="0"/>
                <w:sz w:val="24"/>
                <w:szCs w:val="22"/>
              </w:rPr>
              <w:t>·HCO</w:t>
            </w:r>
            <w:r>
              <w:rPr>
                <w:rFonts w:ascii="Times New Roman" w:hAnsi="Times New Roman"/>
                <w:color w:val="auto"/>
                <w:kern w:val="0"/>
                <w:sz w:val="24"/>
                <w:szCs w:val="22"/>
                <w:vertAlign w:val="subscript"/>
              </w:rPr>
              <w:t>3</w:t>
            </w:r>
            <w:r>
              <w:rPr>
                <w:rFonts w:ascii="Times New Roman" w:hAnsi="Times New Roman"/>
                <w:color w:val="auto"/>
                <w:kern w:val="0"/>
                <w:sz w:val="24"/>
                <w:szCs w:val="22"/>
              </w:rPr>
              <w:t>－Na·Ca和SO</w:t>
            </w:r>
            <w:r>
              <w:rPr>
                <w:rFonts w:ascii="Times New Roman" w:hAnsi="Times New Roman"/>
                <w:color w:val="auto"/>
                <w:kern w:val="0"/>
                <w:sz w:val="24"/>
                <w:szCs w:val="22"/>
                <w:vertAlign w:val="subscript"/>
              </w:rPr>
              <w:t>4</w:t>
            </w:r>
            <w:r>
              <w:rPr>
                <w:rFonts w:ascii="Times New Roman" w:hAnsi="Times New Roman"/>
                <w:color w:val="auto"/>
                <w:kern w:val="0"/>
                <w:sz w:val="24"/>
                <w:szCs w:val="22"/>
              </w:rPr>
              <w:t>－Ca·Na型水。在现代河道两侧的地区，潜水矿化度一般小于1g/L，水化学类型为HCO</w:t>
            </w:r>
            <w:r>
              <w:rPr>
                <w:rFonts w:ascii="Times New Roman" w:hAnsi="Times New Roman"/>
                <w:color w:val="auto"/>
                <w:kern w:val="0"/>
                <w:sz w:val="24"/>
                <w:szCs w:val="22"/>
                <w:vertAlign w:val="subscript"/>
              </w:rPr>
              <w:t>3</w:t>
            </w:r>
            <w:r>
              <w:rPr>
                <w:rFonts w:ascii="Times New Roman" w:hAnsi="Times New Roman"/>
                <w:color w:val="auto"/>
                <w:kern w:val="0"/>
                <w:sz w:val="24"/>
                <w:szCs w:val="22"/>
              </w:rPr>
              <w:t>·SO</w:t>
            </w:r>
            <w:r>
              <w:rPr>
                <w:rFonts w:ascii="Times New Roman" w:hAnsi="Times New Roman"/>
                <w:color w:val="auto"/>
                <w:kern w:val="0"/>
                <w:sz w:val="24"/>
                <w:szCs w:val="22"/>
                <w:vertAlign w:val="subscript"/>
              </w:rPr>
              <w:t>4</w:t>
            </w:r>
            <w:r>
              <w:rPr>
                <w:rFonts w:ascii="Times New Roman" w:hAnsi="Times New Roman"/>
                <w:color w:val="auto"/>
                <w:kern w:val="0"/>
                <w:sz w:val="24"/>
                <w:szCs w:val="22"/>
              </w:rPr>
              <w:t>－Ca或HCO</w:t>
            </w:r>
            <w:r>
              <w:rPr>
                <w:rFonts w:ascii="Times New Roman" w:hAnsi="Times New Roman"/>
                <w:color w:val="auto"/>
                <w:kern w:val="0"/>
                <w:sz w:val="24"/>
                <w:szCs w:val="22"/>
                <w:vertAlign w:val="subscript"/>
              </w:rPr>
              <w:t>3</w:t>
            </w:r>
            <w:r>
              <w:rPr>
                <w:rFonts w:ascii="Times New Roman" w:hAnsi="Times New Roman"/>
                <w:color w:val="auto"/>
                <w:kern w:val="0"/>
                <w:sz w:val="24"/>
                <w:szCs w:val="22"/>
              </w:rPr>
              <w:t>·SO</w:t>
            </w:r>
            <w:r>
              <w:rPr>
                <w:rFonts w:ascii="Times New Roman" w:hAnsi="Times New Roman"/>
                <w:color w:val="auto"/>
                <w:kern w:val="0"/>
                <w:sz w:val="24"/>
                <w:szCs w:val="22"/>
                <w:vertAlign w:val="subscript"/>
              </w:rPr>
              <w:t>4</w:t>
            </w:r>
            <w:r>
              <w:rPr>
                <w:rFonts w:ascii="Times New Roman" w:hAnsi="Times New Roman"/>
                <w:color w:val="auto"/>
                <w:kern w:val="0"/>
                <w:sz w:val="24"/>
                <w:szCs w:val="22"/>
              </w:rPr>
              <w:t>－Ca·Na。</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根据排203井水化验分析结果，该区</w:t>
            </w:r>
            <w:r>
              <w:rPr>
                <w:rFonts w:ascii="Times New Roman" w:hAnsi="Times New Roman"/>
                <w:bCs/>
                <w:color w:val="auto"/>
                <w:kern w:val="0"/>
                <w:sz w:val="24"/>
                <w:szCs w:val="22"/>
              </w:rPr>
              <w:t>沙湾组</w:t>
            </w:r>
            <w:r>
              <w:rPr>
                <w:rFonts w:ascii="Times New Roman" w:hAnsi="Times New Roman"/>
                <w:color w:val="auto"/>
                <w:kern w:val="0"/>
                <w:sz w:val="24"/>
                <w:szCs w:val="22"/>
              </w:rPr>
              <w:t>地层水主要含有K</w:t>
            </w:r>
            <w:r>
              <w:rPr>
                <w:rFonts w:ascii="Times New Roman" w:hAnsi="Times New Roman"/>
                <w:color w:val="auto"/>
                <w:kern w:val="0"/>
                <w:sz w:val="24"/>
                <w:szCs w:val="22"/>
                <w:vertAlign w:val="superscript"/>
              </w:rPr>
              <w:t>+</w:t>
            </w:r>
            <w:r>
              <w:rPr>
                <w:rFonts w:ascii="Times New Roman" w:hAnsi="Times New Roman"/>
                <w:color w:val="auto"/>
                <w:kern w:val="0"/>
                <w:sz w:val="24"/>
                <w:szCs w:val="22"/>
              </w:rPr>
              <w:t>、Na</w:t>
            </w:r>
            <w:r>
              <w:rPr>
                <w:rFonts w:ascii="Times New Roman" w:hAnsi="Times New Roman"/>
                <w:color w:val="auto"/>
                <w:kern w:val="0"/>
                <w:sz w:val="24"/>
                <w:szCs w:val="22"/>
                <w:vertAlign w:val="superscript"/>
              </w:rPr>
              <w:t>+</w:t>
            </w:r>
            <w:r>
              <w:rPr>
                <w:rFonts w:ascii="Times New Roman" w:hAnsi="Times New Roman"/>
                <w:color w:val="auto"/>
                <w:kern w:val="0"/>
                <w:sz w:val="24"/>
                <w:szCs w:val="22"/>
              </w:rPr>
              <w:t>、Ca</w:t>
            </w:r>
            <w:r>
              <w:rPr>
                <w:rFonts w:ascii="Times New Roman" w:hAnsi="Times New Roman"/>
                <w:color w:val="auto"/>
                <w:kern w:val="0"/>
                <w:sz w:val="24"/>
                <w:szCs w:val="22"/>
                <w:vertAlign w:val="superscript"/>
              </w:rPr>
              <w:t>2+</w:t>
            </w:r>
            <w:r>
              <w:rPr>
                <w:rFonts w:ascii="Times New Roman" w:hAnsi="Times New Roman"/>
                <w:color w:val="auto"/>
                <w:kern w:val="0"/>
                <w:sz w:val="24"/>
                <w:szCs w:val="22"/>
              </w:rPr>
              <w:t>、Mg</w:t>
            </w:r>
            <w:r>
              <w:rPr>
                <w:rFonts w:ascii="Times New Roman" w:hAnsi="Times New Roman"/>
                <w:color w:val="auto"/>
                <w:kern w:val="0"/>
                <w:sz w:val="24"/>
                <w:szCs w:val="22"/>
                <w:vertAlign w:val="superscript"/>
              </w:rPr>
              <w:t>2+</w:t>
            </w:r>
            <w:r>
              <w:rPr>
                <w:rFonts w:ascii="Times New Roman" w:hAnsi="Times New Roman"/>
                <w:color w:val="auto"/>
                <w:kern w:val="0"/>
                <w:sz w:val="24"/>
                <w:szCs w:val="22"/>
              </w:rPr>
              <w:t>、Cl</w:t>
            </w:r>
            <w:r>
              <w:rPr>
                <w:rFonts w:ascii="Times New Roman" w:hAnsi="Times New Roman"/>
                <w:color w:val="auto"/>
                <w:kern w:val="0"/>
                <w:sz w:val="24"/>
                <w:szCs w:val="22"/>
                <w:vertAlign w:val="superscript"/>
              </w:rPr>
              <w:t>-</w:t>
            </w:r>
            <w:r>
              <w:rPr>
                <w:rFonts w:ascii="Times New Roman" w:hAnsi="Times New Roman"/>
                <w:color w:val="auto"/>
                <w:kern w:val="0"/>
                <w:sz w:val="24"/>
                <w:szCs w:val="22"/>
              </w:rPr>
              <w:t>、SO</w:t>
            </w:r>
            <w:r>
              <w:rPr>
                <w:rFonts w:ascii="Times New Roman" w:hAnsi="Times New Roman"/>
                <w:color w:val="auto"/>
                <w:kern w:val="0"/>
                <w:sz w:val="24"/>
                <w:szCs w:val="22"/>
                <w:vertAlign w:val="subscript"/>
              </w:rPr>
              <w:t>4</w:t>
            </w:r>
            <w:r>
              <w:rPr>
                <w:rFonts w:ascii="Times New Roman" w:hAnsi="Times New Roman"/>
                <w:color w:val="auto"/>
                <w:kern w:val="0"/>
                <w:sz w:val="24"/>
                <w:szCs w:val="22"/>
                <w:vertAlign w:val="superscript"/>
              </w:rPr>
              <w:t>2-</w:t>
            </w:r>
            <w:r>
              <w:rPr>
                <w:rFonts w:ascii="Times New Roman" w:hAnsi="Times New Roman"/>
                <w:color w:val="auto"/>
                <w:kern w:val="0"/>
                <w:sz w:val="24"/>
                <w:szCs w:val="22"/>
              </w:rPr>
              <w:t>、CO</w:t>
            </w:r>
            <w:r>
              <w:rPr>
                <w:rFonts w:ascii="Times New Roman" w:hAnsi="Times New Roman"/>
                <w:color w:val="auto"/>
                <w:kern w:val="0"/>
                <w:sz w:val="24"/>
                <w:szCs w:val="22"/>
                <w:vertAlign w:val="subscript"/>
              </w:rPr>
              <w:t>3</w:t>
            </w:r>
            <w:r>
              <w:rPr>
                <w:rFonts w:ascii="Times New Roman" w:hAnsi="Times New Roman"/>
                <w:color w:val="auto"/>
                <w:kern w:val="0"/>
                <w:sz w:val="24"/>
                <w:szCs w:val="22"/>
                <w:vertAlign w:val="superscript"/>
              </w:rPr>
              <w:t>2-</w:t>
            </w:r>
            <w:r>
              <w:rPr>
                <w:rFonts w:ascii="Times New Roman" w:hAnsi="Times New Roman"/>
                <w:color w:val="auto"/>
                <w:kern w:val="0"/>
                <w:sz w:val="24"/>
                <w:szCs w:val="22"/>
              </w:rPr>
              <w:t>、HCO</w:t>
            </w:r>
            <w:r>
              <w:rPr>
                <w:rFonts w:ascii="Times New Roman" w:hAnsi="Times New Roman"/>
                <w:color w:val="auto"/>
                <w:kern w:val="0"/>
                <w:sz w:val="24"/>
                <w:szCs w:val="22"/>
                <w:vertAlign w:val="subscript"/>
              </w:rPr>
              <w:t>3</w:t>
            </w:r>
            <w:r>
              <w:rPr>
                <w:rFonts w:ascii="Times New Roman" w:hAnsi="Times New Roman"/>
                <w:color w:val="auto"/>
                <w:kern w:val="0"/>
                <w:sz w:val="24"/>
                <w:szCs w:val="22"/>
                <w:vertAlign w:val="superscript"/>
              </w:rPr>
              <w:t>-</w:t>
            </w:r>
            <w:r>
              <w:rPr>
                <w:rFonts w:ascii="Times New Roman" w:hAnsi="Times New Roman"/>
                <w:color w:val="auto"/>
                <w:kern w:val="0"/>
                <w:sz w:val="24"/>
                <w:szCs w:val="22"/>
              </w:rPr>
              <w:t>、OH</w:t>
            </w:r>
            <w:r>
              <w:rPr>
                <w:rFonts w:ascii="Times New Roman" w:hAnsi="Times New Roman"/>
                <w:color w:val="auto"/>
                <w:kern w:val="0"/>
                <w:sz w:val="24"/>
                <w:szCs w:val="22"/>
                <w:vertAlign w:val="superscript"/>
              </w:rPr>
              <w:t>-</w:t>
            </w:r>
            <w:r>
              <w:rPr>
                <w:rFonts w:ascii="Times New Roman" w:hAnsi="Times New Roman"/>
                <w:color w:val="auto"/>
                <w:kern w:val="0"/>
                <w:sz w:val="24"/>
                <w:szCs w:val="22"/>
              </w:rPr>
              <w:t>离子。春光油田春2井区油藏</w:t>
            </w:r>
            <w:r>
              <w:rPr>
                <w:rFonts w:hint="eastAsia" w:ascii="Times New Roman" w:hAnsi="Times New Roman"/>
                <w:color w:val="auto"/>
                <w:kern w:val="0"/>
                <w:sz w:val="24"/>
                <w:szCs w:val="22"/>
              </w:rPr>
              <w:t>不产伴生气</w:t>
            </w:r>
            <w:r>
              <w:rPr>
                <w:rFonts w:ascii="Times New Roman" w:hAnsi="Times New Roman"/>
                <w:color w:val="auto"/>
                <w:kern w:val="0"/>
                <w:sz w:val="24"/>
                <w:szCs w:val="22"/>
              </w:rPr>
              <w:t>，地层水为CaCl</w:t>
            </w:r>
            <w:r>
              <w:rPr>
                <w:rFonts w:ascii="Times New Roman" w:hAnsi="Times New Roman"/>
                <w:color w:val="auto"/>
                <w:kern w:val="0"/>
                <w:sz w:val="24"/>
                <w:szCs w:val="22"/>
                <w:vertAlign w:val="subscript"/>
              </w:rPr>
              <w:t>2</w:t>
            </w:r>
            <w:r>
              <w:rPr>
                <w:rFonts w:ascii="Times New Roman" w:hAnsi="Times New Roman"/>
                <w:color w:val="auto"/>
                <w:kern w:val="0"/>
                <w:sz w:val="24"/>
                <w:szCs w:val="22"/>
              </w:rPr>
              <w:t>水型，Cl</w:t>
            </w:r>
            <w:r>
              <w:rPr>
                <w:rFonts w:ascii="Times New Roman" w:hAnsi="Times New Roman"/>
                <w:color w:val="auto"/>
                <w:kern w:val="0"/>
                <w:sz w:val="24"/>
                <w:szCs w:val="22"/>
                <w:vertAlign w:val="superscript"/>
              </w:rPr>
              <w:noBreakHyphen/>
            </w:r>
            <w:r>
              <w:rPr>
                <w:rFonts w:ascii="Times New Roman" w:hAnsi="Times New Roman"/>
                <w:color w:val="auto"/>
                <w:kern w:val="0"/>
                <w:sz w:val="24"/>
                <w:szCs w:val="22"/>
              </w:rPr>
              <w:t>含量为51418mg/L，总矿化度86676mg/L，pH值7.9。</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（5）地下水动态</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由于奎屯河流域四棵树河水引水率的下降以及外流域地表水的调入，势必引起本流域地下水补给量及资源量的增大，相应地使地下水水位上升。地下水位在外流域调入水之前，本流域水资源利用情况不会有大的变化，地下水资源量不会有太大的变化，地下水水位维持现状。随着外流域地表水的调入、本流域河水引水率的降低等因素的变化，地下水资源量较现状年增加，相应地灌区地下水资源量增大，地下水水位将回升。</w:t>
            </w:r>
            <w:bookmarkStart w:id="45" w:name="_Toc519088096"/>
          </w:p>
          <w:p>
            <w:pPr>
              <w:ind w:firstLine="172"/>
              <w:jc w:val="center"/>
              <w:rPr>
                <w:rFonts w:ascii="Times New Roman" w:hAnsi="Times New Roman"/>
                <w:color w:val="auto"/>
                <w:szCs w:val="20"/>
                <w:highlight w:val="yellow"/>
              </w:rPr>
            </w:pPr>
            <w:r>
              <w:rPr>
                <w:color w:val="auto"/>
                <w:bdr w:val="single" w:color="auto" w:sz="4" w:space="0"/>
              </w:rPr>
              <w:drawing>
                <wp:inline distT="0" distB="0" distL="0" distR="0">
                  <wp:extent cx="3789045" cy="3289935"/>
                  <wp:effectExtent l="0" t="0" r="190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789045" cy="3289935"/>
                          </a:xfrm>
                          <a:prstGeom prst="rect">
                            <a:avLst/>
                          </a:prstGeom>
                          <a:noFill/>
                          <a:ln>
                            <a:noFill/>
                          </a:ln>
                        </pic:spPr>
                      </pic:pic>
                    </a:graphicData>
                  </a:graphic>
                </wp:inline>
              </w:drawing>
            </w:r>
          </w:p>
          <w:p>
            <w:pPr>
              <w:spacing w:line="360" w:lineRule="auto"/>
              <w:ind w:firstLine="172"/>
              <w:jc w:val="center"/>
              <w:rPr>
                <w:rFonts w:ascii="Times New Roman" w:hAnsi="Times New Roman"/>
                <w:b/>
                <w:color w:val="auto"/>
                <w:sz w:val="24"/>
                <w:szCs w:val="20"/>
              </w:rPr>
            </w:pPr>
            <w:bookmarkStart w:id="46" w:name="_Ref5097528"/>
            <w:r>
              <w:rPr>
                <w:rFonts w:ascii="Times New Roman" w:hAnsi="Times New Roman"/>
                <w:b/>
                <w:color w:val="auto"/>
                <w:sz w:val="24"/>
              </w:rPr>
              <w:t>图</w:t>
            </w:r>
            <w:bookmarkEnd w:id="46"/>
            <w:r>
              <w:rPr>
                <w:rFonts w:ascii="Times New Roman" w:hAnsi="Times New Roman"/>
                <w:b/>
                <w:color w:val="auto"/>
                <w:sz w:val="24"/>
              </w:rPr>
              <w:t>1  项目区域水文地质图</w:t>
            </w:r>
          </w:p>
          <w:bookmarkEnd w:id="45"/>
          <w:p>
            <w:pPr>
              <w:adjustRightInd w:val="0"/>
              <w:snapToGrid w:val="0"/>
              <w:spacing w:line="360" w:lineRule="auto"/>
              <w:ind w:left="420" w:leftChars="200"/>
              <w:jc w:val="both"/>
              <w:rPr>
                <w:rFonts w:ascii="Times New Roman" w:hAnsi="Times New Roman"/>
                <w:b/>
                <w:bCs/>
                <w:color w:val="auto"/>
                <w:sz w:val="24"/>
              </w:rPr>
            </w:pPr>
            <w:r>
              <w:rPr>
                <w:rFonts w:hint="eastAsia" w:ascii="Times New Roman" w:hAnsi="Times New Roman"/>
                <w:b/>
                <w:bCs/>
                <w:color w:val="auto"/>
                <w:sz w:val="24"/>
              </w:rPr>
              <w:t>4．</w:t>
            </w:r>
            <w:r>
              <w:rPr>
                <w:rFonts w:ascii="Times New Roman" w:hAnsi="Times New Roman"/>
                <w:b/>
                <w:bCs/>
                <w:color w:val="auto"/>
                <w:sz w:val="24"/>
              </w:rPr>
              <w:t>水环境影响分析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由于项目区附近无地表水体，项目施工、运营产生废水也不排入地表水体，因此，本项目在施工、运营对当地区域地表水体不产生影响。本环评仅对项目施工、运营排放废水对工程区域地下水环境的影响进行分析。</w:t>
            </w:r>
          </w:p>
          <w:p>
            <w:pPr>
              <w:spacing w:line="360" w:lineRule="auto"/>
              <w:ind w:firstLine="480" w:firstLineChars="200"/>
              <w:jc w:val="both"/>
              <w:rPr>
                <w:rFonts w:ascii="Times New Roman" w:hAnsi="Times New Roman"/>
                <w:bCs/>
                <w:color w:val="auto"/>
                <w:kern w:val="0"/>
                <w:sz w:val="24"/>
                <w:szCs w:val="22"/>
              </w:rPr>
            </w:pPr>
            <w:r>
              <w:rPr>
                <w:rFonts w:hint="eastAsia" w:ascii="Times New Roman" w:hAnsi="Times New Roman"/>
                <w:bCs/>
                <w:color w:val="auto"/>
                <w:kern w:val="0"/>
                <w:sz w:val="24"/>
                <w:szCs w:val="22"/>
              </w:rPr>
              <w:t>4</w:t>
            </w:r>
            <w:r>
              <w:rPr>
                <w:rFonts w:ascii="Times New Roman" w:hAnsi="Times New Roman"/>
                <w:bCs/>
                <w:color w:val="auto"/>
                <w:kern w:val="0"/>
                <w:sz w:val="24"/>
                <w:szCs w:val="22"/>
              </w:rPr>
              <w:t>.1施工期对水环境影响分析</w:t>
            </w:r>
          </w:p>
          <w:p>
            <w:pPr>
              <w:spacing w:line="360" w:lineRule="auto"/>
              <w:ind w:firstLine="480" w:firstLineChars="200"/>
              <w:jc w:val="both"/>
              <w:rPr>
                <w:rFonts w:ascii="Times New Roman" w:hAnsi="Times New Roman"/>
                <w:bCs/>
                <w:color w:val="auto"/>
                <w:kern w:val="0"/>
                <w:sz w:val="24"/>
                <w:szCs w:val="22"/>
              </w:rPr>
            </w:pPr>
            <w:r>
              <w:rPr>
                <w:rFonts w:hint="eastAsia" w:ascii="Times New Roman" w:hAnsi="Times New Roman"/>
                <w:bCs/>
                <w:color w:val="auto"/>
                <w:kern w:val="0"/>
                <w:sz w:val="24"/>
                <w:szCs w:val="22"/>
              </w:rPr>
              <w:t>4</w:t>
            </w:r>
            <w:r>
              <w:rPr>
                <w:rFonts w:ascii="Times New Roman" w:hAnsi="Times New Roman"/>
                <w:bCs/>
                <w:color w:val="auto"/>
                <w:kern w:val="0"/>
                <w:sz w:val="24"/>
                <w:szCs w:val="22"/>
              </w:rPr>
              <w:t>.1.1</w:t>
            </w:r>
            <w:r>
              <w:rPr>
                <w:rFonts w:hint="eastAsia" w:ascii="Times New Roman" w:hAnsi="Times New Roman"/>
                <w:bCs/>
                <w:color w:val="auto"/>
                <w:kern w:val="0"/>
                <w:sz w:val="24"/>
                <w:szCs w:val="22"/>
              </w:rPr>
              <w:t>正常工况下地下</w:t>
            </w:r>
            <w:r>
              <w:rPr>
                <w:rFonts w:ascii="Times New Roman" w:hAnsi="Times New Roman"/>
                <w:bCs/>
                <w:color w:val="auto"/>
                <w:kern w:val="0"/>
                <w:sz w:val="24"/>
                <w:szCs w:val="22"/>
              </w:rPr>
              <w:t>水环境影响分析</w:t>
            </w:r>
          </w:p>
          <w:p>
            <w:pPr>
              <w:pStyle w:val="48"/>
              <w:spacing w:line="360" w:lineRule="auto"/>
              <w:ind w:firstLine="480"/>
              <w:jc w:val="both"/>
              <w:rPr>
                <w:rFonts w:ascii="Times New Roman" w:hAnsi="Times New Roman"/>
                <w:color w:val="auto"/>
              </w:rPr>
            </w:pPr>
            <w:r>
              <w:rPr>
                <w:rFonts w:ascii="Times New Roman" w:hAnsi="Times New Roman"/>
                <w:color w:val="auto"/>
              </w:rPr>
              <w:t>施工期对水环境的影响主要为</w:t>
            </w:r>
            <w:r>
              <w:rPr>
                <w:rFonts w:ascii="Times New Roman" w:hAnsi="Times New Roman"/>
                <w:color w:val="auto"/>
                <w:kern w:val="0"/>
              </w:rPr>
              <w:t>管道试压废水和</w:t>
            </w:r>
            <w:r>
              <w:rPr>
                <w:rFonts w:ascii="Times New Roman" w:hAnsi="Times New Roman"/>
                <w:color w:val="auto"/>
              </w:rPr>
              <w:t>钻井工程、管线施工对水环境产生一定的影响。</w:t>
            </w:r>
          </w:p>
          <w:p>
            <w:pPr>
              <w:spacing w:line="360" w:lineRule="auto"/>
              <w:ind w:firstLine="480"/>
              <w:jc w:val="both"/>
              <w:rPr>
                <w:rFonts w:ascii="Times New Roman" w:hAnsi="Times New Roman"/>
                <w:b/>
                <w:color w:val="auto"/>
                <w:kern w:val="0"/>
                <w:sz w:val="24"/>
                <w:szCs w:val="22"/>
              </w:rPr>
            </w:pPr>
            <w:r>
              <w:rPr>
                <w:rFonts w:ascii="Times New Roman" w:hAnsi="Times New Roman"/>
                <w:color w:val="auto"/>
                <w:kern w:val="0"/>
                <w:sz w:val="24"/>
                <w:szCs w:val="22"/>
              </w:rPr>
              <w:t>（1）管道试压废水对地下水环境影响分析</w:t>
            </w:r>
          </w:p>
          <w:p>
            <w:pPr>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管线试压使用清水，试压废水主要污染物为SS，成分比较简单，可用于施工区洒水抑尘，不会对项目区地下水产生明显影响。</w:t>
            </w:r>
          </w:p>
          <w:p>
            <w:pPr>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（2）钻井工程对地下水环境影响分析</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项目钻井过程中采用套管与土壤隔离，并在套管与地层之间注入水泥进行固井，水泥浆返至地面，封隔疏松地层和水层；本项目表层套管的下入深度为150m，采用水泥浆进行固井，</w:t>
            </w:r>
            <w:r>
              <w:rPr>
                <w:rFonts w:ascii="Times New Roman" w:hAnsi="Times New Roman"/>
                <w:color w:val="auto"/>
                <w:kern w:val="0"/>
                <w:sz w:val="24"/>
                <w:szCs w:val="21"/>
              </w:rPr>
              <w:t>水泥浆返至地面</w:t>
            </w:r>
            <w:r>
              <w:rPr>
                <w:rFonts w:ascii="Times New Roman" w:hAnsi="Times New Roman"/>
                <w:color w:val="auto"/>
                <w:kern w:val="0"/>
                <w:sz w:val="24"/>
                <w:szCs w:val="22"/>
              </w:rPr>
              <w:t>，可满足本项目的地下水保护需要，可有效的保护地下水环境不受污染。本项目使用水基钻井液，钻井过程中，严格要求套管下入深度等措施，可以有效控制钻井液在地层中的漏失，减轻对地下水环境的影响。由于本项目采油目的层与地下水处于不同层系，远远超出本区域地下水含水层深度，在施工过程中采用下套管注水泥固井、完井方式进行水泥固井，对含水层进行了固封处理，有效保护地下水层。项目在钻井过程中产生的废水不与当地水体发生水力联系，同时对产生的废水排放进行严格管理，因此基本不会对所在区域地下水产生影响。</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rPr>
              <w:t>施工期间钻井井场内的</w:t>
            </w:r>
            <w:r>
              <w:rPr>
                <w:rFonts w:ascii="Times New Roman" w:hAnsi="Times New Roman"/>
                <w:color w:val="auto"/>
                <w:sz w:val="24"/>
              </w:rPr>
              <w:t>井口区地面</w:t>
            </w:r>
            <w:r>
              <w:rPr>
                <w:rFonts w:hint="eastAsia" w:ascii="Times New Roman" w:hAnsi="Times New Roman"/>
                <w:color w:val="auto"/>
                <w:sz w:val="24"/>
              </w:rPr>
              <w:t>、</w:t>
            </w:r>
            <w:r>
              <w:rPr>
                <w:rFonts w:ascii="Times New Roman" w:hAnsi="Times New Roman"/>
                <w:color w:val="auto"/>
                <w:sz w:val="24"/>
              </w:rPr>
              <w:t>放喷池池底及池壁</w:t>
            </w:r>
            <w:r>
              <w:rPr>
                <w:rFonts w:hint="eastAsia" w:ascii="Times New Roman" w:hAnsi="Times New Roman"/>
                <w:color w:val="auto"/>
                <w:sz w:val="24"/>
              </w:rPr>
              <w:t>、</w:t>
            </w:r>
            <w:r>
              <w:rPr>
                <w:rFonts w:ascii="Times New Roman" w:hAnsi="Times New Roman"/>
                <w:color w:val="auto"/>
                <w:sz w:val="24"/>
              </w:rPr>
              <w:t>泥浆循环系统区域地面</w:t>
            </w:r>
            <w:r>
              <w:rPr>
                <w:rFonts w:hint="eastAsia" w:ascii="Times New Roman" w:hAnsi="Times New Roman"/>
                <w:color w:val="auto"/>
                <w:sz w:val="24"/>
              </w:rPr>
              <w:t>、柴油机、发电机房、柴油桶区、废油桶、岩屑收集罐存放处</w:t>
            </w:r>
            <w:r>
              <w:rPr>
                <w:rFonts w:ascii="Times New Roman" w:hAnsi="Times New Roman"/>
                <w:color w:val="auto"/>
                <w:kern w:val="0"/>
                <w:sz w:val="24"/>
              </w:rPr>
              <w:t>均铺设HDPE防渗膜，可对土壤及包气带起到良好的防护。此外，施工过程中产生的废水和固体废物均得到妥善处理，且项目区气候干旱少雨，不存在大量降水的淋滤作用。</w:t>
            </w:r>
          </w:p>
          <w:p>
            <w:pPr>
              <w:adjustRightInd w:val="0"/>
              <w:snapToGrid w:val="0"/>
              <w:spacing w:line="360" w:lineRule="auto"/>
              <w:ind w:firstLine="480" w:firstLineChars="200"/>
              <w:jc w:val="both"/>
              <w:rPr>
                <w:rFonts w:ascii="Times New Roman" w:hAnsi="Times New Roman"/>
                <w:color w:val="auto"/>
                <w:kern w:val="0"/>
                <w:sz w:val="24"/>
                <w:szCs w:val="22"/>
              </w:rPr>
            </w:pPr>
            <w:r>
              <w:rPr>
                <w:rFonts w:ascii="Times New Roman" w:hAnsi="Times New Roman"/>
                <w:color w:val="auto"/>
                <w:kern w:val="0"/>
                <w:sz w:val="24"/>
                <w:szCs w:val="22"/>
              </w:rPr>
              <w:t>（3）管线施工对地下水环境影响分析</w:t>
            </w:r>
          </w:p>
          <w:p>
            <w:pPr>
              <w:adjustRightInd w:val="0"/>
              <w:snapToGrid w:val="0"/>
              <w:spacing w:line="360" w:lineRule="auto"/>
              <w:ind w:firstLine="456" w:firstLineChars="200"/>
              <w:jc w:val="both"/>
              <w:rPr>
                <w:rFonts w:ascii="Times New Roman" w:hAnsi="Times New Roman"/>
                <w:color w:val="auto"/>
                <w:spacing w:val="-6"/>
                <w:kern w:val="0"/>
                <w:sz w:val="24"/>
                <w:szCs w:val="22"/>
              </w:rPr>
            </w:pPr>
            <w:r>
              <w:rPr>
                <w:rFonts w:ascii="Times New Roman" w:hAnsi="Times New Roman"/>
                <w:color w:val="auto"/>
                <w:spacing w:val="-6"/>
                <w:kern w:val="0"/>
                <w:sz w:val="24"/>
                <w:szCs w:val="22"/>
              </w:rPr>
              <w:t>管道敷设埋深一般</w:t>
            </w:r>
            <w:r>
              <w:rPr>
                <w:rFonts w:hint="eastAsia" w:ascii="Times New Roman" w:hAnsi="Times New Roman"/>
                <w:color w:val="auto"/>
                <w:spacing w:val="-6"/>
                <w:kern w:val="0"/>
                <w:sz w:val="24"/>
                <w:szCs w:val="22"/>
              </w:rPr>
              <w:t>不小于</w:t>
            </w:r>
            <w:r>
              <w:rPr>
                <w:rFonts w:ascii="Times New Roman" w:hAnsi="Times New Roman"/>
                <w:color w:val="auto"/>
                <w:spacing w:val="-6"/>
                <w:kern w:val="0"/>
                <w:sz w:val="24"/>
                <w:szCs w:val="22"/>
              </w:rPr>
              <w:t>-1.6m，在施工过程中的辅料、废料等在降水的淋滤作用下产生的浸出液进入地下含水层，将对地下水造成不同程度的影响，其影响程度决定于下渗量及其饱和地带的厚度、岩性和对污染物的阻滞、吸附分解等自然净化能力。由于本区域降水少，且管道沿线表层土壤有一定的自然净化能力，管线施工对地下水的影响很小。因此，正常的管线埋设不会对地下水造成不利影响。</w:t>
            </w:r>
          </w:p>
          <w:p>
            <w:pPr>
              <w:spacing w:line="360" w:lineRule="auto"/>
              <w:ind w:firstLine="480" w:firstLineChars="200"/>
              <w:jc w:val="both"/>
              <w:rPr>
                <w:rFonts w:ascii="Times New Roman" w:hAnsi="Times New Roman"/>
                <w:bCs/>
                <w:color w:val="auto"/>
                <w:kern w:val="0"/>
                <w:sz w:val="24"/>
                <w:szCs w:val="22"/>
              </w:rPr>
            </w:pPr>
            <w:r>
              <w:rPr>
                <w:rFonts w:hint="eastAsia" w:ascii="Times New Roman" w:hAnsi="Times New Roman"/>
                <w:bCs/>
                <w:color w:val="auto"/>
                <w:kern w:val="0"/>
                <w:sz w:val="24"/>
                <w:szCs w:val="22"/>
              </w:rPr>
              <w:t>4</w:t>
            </w:r>
            <w:r>
              <w:rPr>
                <w:rFonts w:ascii="Times New Roman" w:hAnsi="Times New Roman"/>
                <w:bCs/>
                <w:color w:val="auto"/>
                <w:kern w:val="0"/>
                <w:sz w:val="24"/>
                <w:szCs w:val="22"/>
              </w:rPr>
              <w:t>.1.2</w:t>
            </w:r>
            <w:r>
              <w:rPr>
                <w:rFonts w:hint="eastAsia" w:ascii="Times New Roman" w:hAnsi="Times New Roman"/>
                <w:bCs/>
                <w:color w:val="auto"/>
                <w:kern w:val="0"/>
                <w:sz w:val="24"/>
                <w:szCs w:val="22"/>
              </w:rPr>
              <w:t>事故状态下对地下</w:t>
            </w:r>
            <w:r>
              <w:rPr>
                <w:rFonts w:ascii="Times New Roman" w:hAnsi="Times New Roman"/>
                <w:bCs/>
                <w:color w:val="auto"/>
                <w:kern w:val="0"/>
                <w:sz w:val="24"/>
                <w:szCs w:val="22"/>
              </w:rPr>
              <w:t>水环境影响分析</w:t>
            </w:r>
          </w:p>
          <w:p>
            <w:pPr>
              <w:spacing w:line="360" w:lineRule="auto"/>
              <w:ind w:firstLine="480" w:firstLineChars="200"/>
              <w:jc w:val="both"/>
              <w:rPr>
                <w:color w:val="auto"/>
                <w:sz w:val="24"/>
              </w:rPr>
            </w:pPr>
            <w:r>
              <w:rPr>
                <w:rFonts w:hint="eastAsia"/>
                <w:color w:val="auto"/>
                <w:sz w:val="24"/>
              </w:rPr>
              <w:t>油田工程生产过程中，各种环节都存在着易燃、易爆、有害物质，除危害工程本身安全外，同时对地下水也构成污染的危险。主要表现在钻井过程中，因操作失误或处理措施不当而发生的井喷或井漏等工程事故；自然灾害引起的油田污染事故。无论是人为因素还是自然因素所造成的事故，对油田区地下水体均可能产生污染的风险。</w:t>
            </w:r>
            <w:r>
              <w:rPr>
                <w:color w:val="auto"/>
                <w:sz w:val="24"/>
              </w:rPr>
              <w:t xml:space="preserve"> </w:t>
            </w:r>
          </w:p>
          <w:p>
            <w:pPr>
              <w:spacing w:line="360" w:lineRule="auto"/>
              <w:ind w:firstLine="480" w:firstLineChars="200"/>
              <w:jc w:val="both"/>
              <w:rPr>
                <w:color w:val="auto"/>
                <w:sz w:val="24"/>
              </w:rPr>
            </w:pPr>
            <w:r>
              <w:rPr>
                <w:rFonts w:hint="eastAsia"/>
                <w:color w:val="auto"/>
                <w:sz w:val="24"/>
              </w:rPr>
              <w:t>油田开发对地下水产生污染的途径主要有两种方式，即渗透污染和穿透污染途径。渗透污染：是导致地下水污染的普遍和主要方式。井场的泥浆池通过包气带渗透到潜水含水层而污染地下水。包气带厚度愈薄，透水性愈好，就愈造成潜水污染，反之，包气带愈厚、透水性愈差，则其隔污能力就愈强，则潜水污染就愈轻。</w:t>
            </w:r>
            <w:r>
              <w:rPr>
                <w:color w:val="auto"/>
                <w:sz w:val="24"/>
              </w:rPr>
              <w:t xml:space="preserve"> </w:t>
            </w:r>
            <w:r>
              <w:rPr>
                <w:rFonts w:hint="eastAsia"/>
                <w:color w:val="auto"/>
                <w:sz w:val="24"/>
              </w:rPr>
              <w:t>穿透污染：以该种方式污染地下水的是钻井施工过程中泥浆池。</w:t>
            </w:r>
            <w:r>
              <w:rPr>
                <w:color w:val="auto"/>
                <w:sz w:val="24"/>
              </w:rPr>
              <w:t xml:space="preserve"> </w:t>
            </w:r>
          </w:p>
          <w:p>
            <w:pPr>
              <w:spacing w:line="360" w:lineRule="auto"/>
              <w:ind w:firstLine="480" w:firstLineChars="200"/>
              <w:jc w:val="both"/>
              <w:rPr>
                <w:color w:val="auto"/>
                <w:sz w:val="24"/>
              </w:rPr>
            </w:pPr>
            <w:r>
              <w:rPr>
                <w:rFonts w:ascii="Times New Roman" w:hAnsi="Times New Roman"/>
                <w:color w:val="auto"/>
                <w:sz w:val="24"/>
              </w:rPr>
              <w:t>（1）</w:t>
            </w:r>
            <w:r>
              <w:rPr>
                <w:rFonts w:hint="eastAsia"/>
                <w:color w:val="auto"/>
                <w:sz w:val="24"/>
              </w:rPr>
              <w:t>井漏事故的泥浆对地下水的影响</w:t>
            </w:r>
            <w:r>
              <w:rPr>
                <w:color w:val="auto"/>
                <w:sz w:val="24"/>
              </w:rPr>
              <w:t xml:space="preserve"> </w:t>
            </w:r>
          </w:p>
          <w:p>
            <w:pPr>
              <w:spacing w:line="360" w:lineRule="auto"/>
              <w:ind w:firstLine="480" w:firstLineChars="200"/>
              <w:jc w:val="both"/>
              <w:rPr>
                <w:color w:val="auto"/>
                <w:sz w:val="24"/>
              </w:rPr>
            </w:pPr>
            <w:r>
              <w:rPr>
                <w:rFonts w:hint="eastAsia"/>
                <w:color w:val="auto"/>
                <w:sz w:val="24"/>
              </w:rPr>
              <w:t>井漏事故对地下水的污染是钻井泥浆漏失于地下水含水层中，由于其含</w:t>
            </w:r>
            <w:r>
              <w:rPr>
                <w:rFonts w:ascii="Times New Roman" w:hAnsi="Times New Roman"/>
                <w:color w:val="auto"/>
                <w:sz w:val="24"/>
              </w:rPr>
              <w:t>Ca、Na等离子，且pH、盐</w:t>
            </w:r>
            <w:r>
              <w:rPr>
                <w:rFonts w:hint="eastAsia"/>
                <w:color w:val="auto"/>
                <w:sz w:val="24"/>
              </w:rPr>
              <w:t>分都很多，造成地下含水层水质污染。</w:t>
            </w:r>
            <w:r>
              <w:rPr>
                <w:color w:val="auto"/>
                <w:sz w:val="24"/>
              </w:rPr>
              <w:t xml:space="preserve"> </w:t>
            </w:r>
          </w:p>
          <w:p>
            <w:pPr>
              <w:spacing w:line="360" w:lineRule="auto"/>
              <w:ind w:firstLine="480" w:firstLineChars="200"/>
              <w:jc w:val="both"/>
              <w:rPr>
                <w:color w:val="auto"/>
                <w:sz w:val="24"/>
              </w:rPr>
            </w:pPr>
            <w:r>
              <w:rPr>
                <w:rFonts w:hint="eastAsia"/>
                <w:color w:val="auto"/>
                <w:sz w:val="24"/>
              </w:rPr>
              <w:t>就钻井源漏失而言，其径流型污染的范围不大，发生在局部且持续时间较短。钻井过程中表层套管（隔离含水体套管）固井变径后，继续钻井数千米到达含油目的层。在表层套管内提下钻具和钻井的钻杆自重离心力不稳定，在压力下的钻杆转动对套管产生摩察、碰撞，有可能对套管和固井环状水泥柱产生破坏作用。此外，钻井时一般使用水基膨润土为主，并加有碱类添加剂，在高压循环中除形成一定厚度的粘土泥皮护住井壁以外，也使大量的含碱类钻井液进入含水层，虽然没有毒性，但对水质的硬度和矿化度的劣变起到了一定的影响。因此，推广使用清洁无害的泥浆，严格控制使用有毒有害泥浆及化学处理剂，同时严格要求套管下入深度等措施，可以有效控制钻井液在含水层中的漏失，减轻对地下水环境的影响。</w:t>
            </w:r>
            <w:r>
              <w:rPr>
                <w:color w:val="auto"/>
                <w:sz w:val="24"/>
              </w:rPr>
              <w:t xml:space="preserve"> </w:t>
            </w:r>
          </w:p>
          <w:p>
            <w:pPr>
              <w:spacing w:line="360" w:lineRule="auto"/>
              <w:ind w:firstLine="480" w:firstLineChars="200"/>
              <w:jc w:val="both"/>
              <w:rPr>
                <w:color w:val="auto"/>
                <w:sz w:val="24"/>
              </w:rPr>
            </w:pPr>
            <w:r>
              <w:rPr>
                <w:rFonts w:ascii="Times New Roman" w:hAnsi="Times New Roman"/>
                <w:color w:val="auto"/>
                <w:sz w:val="24"/>
              </w:rPr>
              <w:t>（2）</w:t>
            </w:r>
            <w:r>
              <w:rPr>
                <w:rFonts w:hint="eastAsia"/>
                <w:color w:val="auto"/>
                <w:sz w:val="24"/>
              </w:rPr>
              <w:t>油水窜层对地下水的污染影响</w:t>
            </w:r>
            <w:r>
              <w:rPr>
                <w:color w:val="auto"/>
                <w:sz w:val="24"/>
              </w:rPr>
              <w:t xml:space="preserve"> </w:t>
            </w:r>
          </w:p>
          <w:p>
            <w:pPr>
              <w:spacing w:line="360" w:lineRule="auto"/>
              <w:ind w:firstLine="480" w:firstLineChars="200"/>
              <w:jc w:val="both"/>
              <w:rPr>
                <w:color w:val="auto"/>
              </w:rPr>
            </w:pPr>
            <w:r>
              <w:rPr>
                <w:rFonts w:hint="eastAsia"/>
                <w:color w:val="auto"/>
                <w:sz w:val="24"/>
              </w:rPr>
              <w:t>石油钻井技术要求是，井孔深度大，钻井工艺复杂，施工事故在所难免，一般事故均可以得到技术处理纠正。但事故性质复杂、处理失效引发油水窜层和钻井液进入潜水含水层则会污染地下水。一般出现的是由于表层套管和油层套管的固井失误导致油气窜层使地下水受污染。井孔坍塌、埋钻、卡钻处理失效导致油水窜层，对第四系含水层厚度判定不定，误为第三系套管隔离失效等等，以及其他不可遇见的事故产生，都可能造成上部潜水水质劣变乃至严重污染。</w:t>
            </w:r>
            <w:r>
              <w:rPr>
                <w:color w:val="auto"/>
              </w:rPr>
              <w:t xml:space="preserve"> </w:t>
            </w:r>
          </w:p>
          <w:p>
            <w:pPr>
              <w:spacing w:line="360" w:lineRule="auto"/>
              <w:ind w:firstLine="480" w:firstLineChars="200"/>
              <w:jc w:val="both"/>
              <w:rPr>
                <w:color w:val="auto"/>
                <w:sz w:val="24"/>
              </w:rPr>
            </w:pPr>
            <w:r>
              <w:rPr>
                <w:rFonts w:hint="eastAsia"/>
                <w:color w:val="auto"/>
                <w:sz w:val="24"/>
              </w:rPr>
              <w:t>钻井完井后油水窜层污染的主要原因是：①下入的表层套管未封住含水层；②固井质量差；③工艺措施不合理或未实施。因此，为预防污染的发生和污染源的形成，表层套管必须严格封闭含水层，固井质量应符合环保要求。</w:t>
            </w:r>
            <w:r>
              <w:rPr>
                <w:color w:val="auto"/>
                <w:sz w:val="24"/>
              </w:rPr>
              <w:t xml:space="preserve"> </w:t>
            </w:r>
          </w:p>
          <w:p>
            <w:pPr>
              <w:spacing w:line="360" w:lineRule="auto"/>
              <w:ind w:firstLine="480" w:firstLineChars="200"/>
              <w:jc w:val="both"/>
              <w:rPr>
                <w:color w:val="auto"/>
                <w:sz w:val="24"/>
              </w:rPr>
            </w:pPr>
            <w:r>
              <w:rPr>
                <w:rFonts w:hint="eastAsia"/>
                <w:color w:val="auto"/>
                <w:sz w:val="24"/>
              </w:rPr>
              <w:t>油井在钻井过程中采用双层套管，进行了固井，在固井质量良好的情况下可确保井壁不会发生侧漏，可有效隔离主要供水层与开采层的交换，有效保护地下水层。</w:t>
            </w:r>
            <w:r>
              <w:rPr>
                <w:color w:val="auto"/>
                <w:sz w:val="24"/>
              </w:rPr>
              <w:t xml:space="preserve"> </w:t>
            </w:r>
          </w:p>
          <w:p>
            <w:pPr>
              <w:spacing w:line="360" w:lineRule="auto"/>
              <w:ind w:firstLine="480" w:firstLineChars="200"/>
              <w:jc w:val="both"/>
              <w:rPr>
                <w:rFonts w:ascii="Times New Roman" w:hAnsi="Times New Roman"/>
                <w:bCs/>
                <w:color w:val="auto"/>
                <w:kern w:val="0"/>
                <w:sz w:val="24"/>
                <w:szCs w:val="22"/>
              </w:rPr>
            </w:pPr>
            <w:r>
              <w:rPr>
                <w:rFonts w:hint="eastAsia" w:ascii="Times New Roman" w:hAnsi="Times New Roman"/>
                <w:bCs/>
                <w:color w:val="auto"/>
                <w:kern w:val="0"/>
                <w:sz w:val="24"/>
                <w:szCs w:val="22"/>
              </w:rPr>
              <w:t>4</w:t>
            </w:r>
            <w:r>
              <w:rPr>
                <w:rFonts w:ascii="Times New Roman" w:hAnsi="Times New Roman"/>
                <w:bCs/>
                <w:color w:val="auto"/>
                <w:kern w:val="0"/>
                <w:sz w:val="24"/>
                <w:szCs w:val="22"/>
              </w:rPr>
              <w:t>.2运营期对水环境影响分析</w:t>
            </w:r>
          </w:p>
          <w:p>
            <w:pPr>
              <w:pStyle w:val="48"/>
              <w:spacing w:line="360" w:lineRule="auto"/>
              <w:ind w:firstLine="480"/>
              <w:jc w:val="both"/>
              <w:rPr>
                <w:rFonts w:ascii="Times New Roman" w:hAnsi="Times New Roman"/>
                <w:color w:val="auto"/>
              </w:rPr>
            </w:pPr>
            <w:r>
              <w:rPr>
                <w:rFonts w:ascii="Times New Roman" w:hAnsi="Times New Roman"/>
                <w:color w:val="auto"/>
              </w:rPr>
              <w:t>4.2.1正常工况对地下水环境影响分析</w:t>
            </w:r>
          </w:p>
          <w:p>
            <w:pPr>
              <w:pStyle w:val="48"/>
              <w:spacing w:line="360" w:lineRule="auto"/>
              <w:ind w:firstLine="480"/>
              <w:jc w:val="both"/>
              <w:rPr>
                <w:rFonts w:ascii="Times New Roman" w:hAnsi="Times New Roman"/>
                <w:color w:val="auto"/>
              </w:rPr>
            </w:pPr>
            <w:r>
              <w:rPr>
                <w:rFonts w:ascii="Times New Roman" w:hAnsi="Times New Roman"/>
                <w:color w:val="auto"/>
              </w:rPr>
              <w:t>井下作业废水为间歇产生，集中收集至专用收集罐中，</w:t>
            </w:r>
            <w:r>
              <w:rPr>
                <w:rFonts w:ascii="Times New Roman" w:hAnsi="Times New Roman"/>
                <w:snapToGrid w:val="0"/>
                <w:color w:val="auto"/>
                <w:lang w:val="zh-CN"/>
              </w:rPr>
              <w:t>最终送至</w:t>
            </w:r>
            <w:r>
              <w:rPr>
                <w:rFonts w:ascii="Times New Roman" w:hAnsi="Times New Roman"/>
                <w:snapToGrid w:val="0"/>
                <w:color w:val="auto"/>
              </w:rPr>
              <w:t>春光联合站</w:t>
            </w:r>
            <w:r>
              <w:rPr>
                <w:rFonts w:ascii="Times New Roman" w:hAnsi="Times New Roman"/>
                <w:snapToGrid w:val="0"/>
                <w:color w:val="auto"/>
                <w:lang w:val="zh-CN"/>
              </w:rPr>
              <w:t>采出水处理系统处理，处理达标后均回注油藏，不外排</w:t>
            </w:r>
            <w:r>
              <w:rPr>
                <w:rFonts w:ascii="Times New Roman" w:hAnsi="Times New Roman"/>
                <w:color w:val="auto"/>
              </w:rPr>
              <w:t>。采出水和井下作业废水处理达标后回注层位为开采油层，回注层位与地下水处于不同层系，远远超出区域地下水含水层的深度，且回注井在钻井过程中对潜水所在的地层进行了水泥浆固井，在固井质量良好的情况下可以确保井壁不会发生侧漏，且固井深度远远超过了含水层埋深，有效隔离含水层与井内回注水的交换，有效保护地下水层。因此，运营期废水不会对地下水产生不利影响。</w:t>
            </w:r>
          </w:p>
          <w:p>
            <w:pPr>
              <w:spacing w:line="360" w:lineRule="auto"/>
              <w:ind w:firstLine="480" w:firstLineChars="200"/>
              <w:jc w:val="both"/>
              <w:rPr>
                <w:rFonts w:ascii="Times New Roman" w:hAnsi="Times New Roman"/>
                <w:bCs/>
                <w:color w:val="auto"/>
                <w:kern w:val="0"/>
                <w:sz w:val="24"/>
                <w:szCs w:val="22"/>
              </w:rPr>
            </w:pPr>
            <w:r>
              <w:rPr>
                <w:rFonts w:ascii="Times New Roman" w:hAnsi="Times New Roman"/>
                <w:bCs/>
                <w:color w:val="auto"/>
                <w:kern w:val="0"/>
                <w:sz w:val="24"/>
                <w:szCs w:val="22"/>
              </w:rPr>
              <w:t>4.2.2事故状态下对地下水环境影响预测与评价</w:t>
            </w:r>
          </w:p>
          <w:p>
            <w:pPr>
              <w:pStyle w:val="48"/>
              <w:spacing w:line="360" w:lineRule="auto"/>
              <w:ind w:firstLine="480"/>
              <w:jc w:val="both"/>
              <w:rPr>
                <w:rFonts w:ascii="Times New Roman" w:hAnsi="Times New Roman"/>
                <w:color w:val="auto"/>
              </w:rPr>
            </w:pPr>
            <w:r>
              <w:rPr>
                <w:rFonts w:hint="eastAsia" w:ascii="Times New Roman" w:hAnsi="Times New Roman"/>
                <w:color w:val="auto"/>
              </w:rPr>
              <w:t>（1）</w:t>
            </w:r>
            <w:r>
              <w:rPr>
                <w:rFonts w:ascii="Times New Roman" w:hAnsi="Times New Roman"/>
                <w:color w:val="auto"/>
              </w:rPr>
              <w:t>地下水污染途径分析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事故状态</w:t>
            </w:r>
            <w:r>
              <w:rPr>
                <w:rFonts w:ascii="Times New Roman" w:hAnsi="Times New Roman"/>
                <w:color w:val="auto"/>
              </w:rPr>
              <w:t>下，本项目管线破裂导致原油外泄，石油类污染物有可能通过包气带土层渗漏进入地下含水层，对地下水造成污染影响。</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预测情景设定</w:t>
            </w:r>
          </w:p>
          <w:p>
            <w:pPr>
              <w:pStyle w:val="48"/>
              <w:spacing w:line="360" w:lineRule="auto"/>
              <w:ind w:firstLine="480"/>
              <w:jc w:val="both"/>
              <w:rPr>
                <w:rFonts w:ascii="Times New Roman" w:hAnsi="Times New Roman"/>
                <w:color w:val="auto"/>
              </w:rPr>
            </w:pPr>
            <w:r>
              <w:rPr>
                <w:rFonts w:ascii="Times New Roman" w:hAnsi="Times New Roman"/>
                <w:color w:val="auto"/>
              </w:rPr>
              <w:t>据前节工程分析，本次评价针对单井采油管线泄漏对地下水产生的影响进行预测。</w:t>
            </w:r>
          </w:p>
          <w:p>
            <w:pPr>
              <w:pStyle w:val="48"/>
              <w:spacing w:line="360" w:lineRule="auto"/>
              <w:ind w:firstLine="480"/>
              <w:jc w:val="both"/>
              <w:rPr>
                <w:rFonts w:ascii="Times New Roman" w:hAnsi="Times New Roman"/>
                <w:color w:val="auto"/>
              </w:rPr>
            </w:pPr>
            <w:r>
              <w:rPr>
                <w:rFonts w:hint="eastAsia" w:ascii="Times New Roman" w:hAnsi="Times New Roman"/>
                <w:color w:val="auto"/>
              </w:rPr>
              <w:t>（3）</w:t>
            </w:r>
            <w:r>
              <w:rPr>
                <w:rFonts w:ascii="Times New Roman" w:hAnsi="Times New Roman"/>
                <w:color w:val="auto"/>
              </w:rPr>
              <w:t>泄漏量预测</w:t>
            </w:r>
          </w:p>
          <w:p>
            <w:pPr>
              <w:pStyle w:val="48"/>
              <w:spacing w:line="360" w:lineRule="auto"/>
              <w:ind w:firstLine="480"/>
              <w:jc w:val="both"/>
              <w:rPr>
                <w:rFonts w:ascii="Times New Roman" w:hAnsi="Times New Roman"/>
                <w:color w:val="auto"/>
              </w:rPr>
            </w:pPr>
            <w:r>
              <w:rPr>
                <w:rFonts w:ascii="Times New Roman" w:hAnsi="Times New Roman"/>
                <w:color w:val="auto"/>
              </w:rPr>
              <w:t>本项目按最不利情况考虑假设条件，假设单井集输管线发生全管径泄漏，裂口面积为0.003m</w:t>
            </w:r>
            <w:r>
              <w:rPr>
                <w:rFonts w:ascii="Times New Roman" w:hAnsi="Times New Roman"/>
                <w:color w:val="auto"/>
                <w:vertAlign w:val="superscript"/>
              </w:rPr>
              <w:t>2</w:t>
            </w:r>
            <w:r>
              <w:rPr>
                <w:rFonts w:ascii="Times New Roman" w:hAnsi="Times New Roman"/>
                <w:color w:val="auto"/>
              </w:rPr>
              <w:t>，泄漏速度Q</w:t>
            </w:r>
            <w:r>
              <w:rPr>
                <w:rFonts w:ascii="Times New Roman" w:hAnsi="Times New Roman"/>
                <w:color w:val="auto"/>
                <w:vertAlign w:val="subscript"/>
              </w:rPr>
              <w:t>L</w:t>
            </w:r>
            <w:r>
              <w:rPr>
                <w:rFonts w:ascii="Times New Roman" w:hAnsi="Times New Roman"/>
                <w:color w:val="auto"/>
              </w:rPr>
              <w:t>用柏努利方程计算：</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object>
                <v:shape id="_x0000_i1025" o:spt="75" type="#_x0000_t75" style="height:36.45pt;width:144pt;" o:ole="t" filled="f" o:preferrelative="t" stroked="f" coordsize="21600,21600">
                  <v:path/>
                  <v:fill on="f" focussize="0,0"/>
                  <v:stroke on="f" joinstyle="miter"/>
                  <v:imagedata r:id="rId33" o:title=""/>
                  <o:lock v:ext="edit" aspectratio="t"/>
                  <w10:wrap type="none"/>
                  <w10:anchorlock/>
                </v:shape>
                <o:OLEObject Type="Embed" ProgID="Equation.3" ShapeID="_x0000_i1025" DrawAspect="Content" ObjectID="_1468075726" r:id="rId32">
                  <o:LockedField>false</o:LockedField>
                </o:OLEObject>
              </w:object>
            </w:r>
          </w:p>
          <w:p>
            <w:pPr>
              <w:pStyle w:val="48"/>
              <w:spacing w:line="360" w:lineRule="auto"/>
              <w:ind w:firstLine="480"/>
              <w:jc w:val="both"/>
              <w:rPr>
                <w:rFonts w:ascii="Times New Roman" w:hAnsi="Times New Roman"/>
                <w:color w:val="auto"/>
              </w:rPr>
            </w:pPr>
            <w:r>
              <w:rPr>
                <w:rFonts w:ascii="Times New Roman" w:hAnsi="Times New Roman"/>
                <w:color w:val="auto"/>
              </w:rPr>
              <w:t>式中：Q</w:t>
            </w:r>
            <w:r>
              <w:rPr>
                <w:rFonts w:ascii="Times New Roman" w:hAnsi="Times New Roman"/>
                <w:color w:val="auto"/>
                <w:vertAlign w:val="subscript"/>
              </w:rPr>
              <w:t>L</w:t>
            </w:r>
            <w:r>
              <w:rPr>
                <w:rFonts w:ascii="Times New Roman" w:hAnsi="Times New Roman"/>
                <w:color w:val="auto"/>
              </w:rPr>
              <w:t>——液体泄漏速度，kg/s；</w:t>
            </w:r>
          </w:p>
          <w:p>
            <w:pPr>
              <w:pStyle w:val="48"/>
              <w:spacing w:line="360" w:lineRule="auto"/>
              <w:ind w:firstLine="1231" w:firstLineChars="513"/>
              <w:jc w:val="both"/>
              <w:rPr>
                <w:rFonts w:ascii="Times New Roman" w:hAnsi="Times New Roman"/>
                <w:color w:val="auto"/>
              </w:rPr>
            </w:pPr>
            <w:r>
              <w:rPr>
                <w:rFonts w:ascii="Times New Roman" w:hAnsi="Times New Roman"/>
                <w:color w:val="auto"/>
              </w:rPr>
              <w:t>C</w:t>
            </w:r>
            <w:r>
              <w:rPr>
                <w:rFonts w:ascii="Times New Roman" w:hAnsi="Times New Roman"/>
                <w:color w:val="auto"/>
                <w:vertAlign w:val="subscript"/>
              </w:rPr>
              <w:t>d</w:t>
            </w:r>
            <w:r>
              <w:rPr>
                <w:rFonts w:ascii="Times New Roman" w:hAnsi="Times New Roman"/>
                <w:color w:val="auto"/>
              </w:rPr>
              <w:t>——液体泄漏系数，取0.65；</w:t>
            </w:r>
          </w:p>
          <w:p>
            <w:pPr>
              <w:pStyle w:val="48"/>
              <w:spacing w:line="360" w:lineRule="auto"/>
              <w:ind w:firstLine="1231" w:firstLineChars="513"/>
              <w:jc w:val="both"/>
              <w:rPr>
                <w:rFonts w:ascii="Times New Roman" w:hAnsi="Times New Roman"/>
                <w:color w:val="auto"/>
              </w:rPr>
            </w:pPr>
            <w:r>
              <w:rPr>
                <w:rFonts w:ascii="Times New Roman" w:hAnsi="Times New Roman"/>
                <w:color w:val="auto"/>
              </w:rPr>
              <w:t>A——裂口面积，m</w:t>
            </w:r>
            <w:r>
              <w:rPr>
                <w:rFonts w:ascii="Times New Roman" w:hAnsi="Times New Roman"/>
                <w:color w:val="auto"/>
                <w:vertAlign w:val="superscript"/>
              </w:rPr>
              <w:t>2</w:t>
            </w:r>
            <w:r>
              <w:rPr>
                <w:rFonts w:ascii="Times New Roman" w:hAnsi="Times New Roman"/>
                <w:color w:val="auto"/>
              </w:rPr>
              <w:t>；</w:t>
            </w:r>
          </w:p>
          <w:p>
            <w:pPr>
              <w:pStyle w:val="48"/>
              <w:spacing w:line="360" w:lineRule="auto"/>
              <w:ind w:firstLine="1231" w:firstLineChars="513"/>
              <w:jc w:val="both"/>
              <w:rPr>
                <w:rFonts w:ascii="Times New Roman" w:hAnsi="Times New Roman"/>
                <w:color w:val="auto"/>
              </w:rPr>
            </w:pPr>
            <w:r>
              <w:rPr>
                <w:rFonts w:ascii="Times New Roman" w:hAnsi="Times New Roman"/>
                <w:color w:val="auto"/>
              </w:rPr>
              <w:t>ρ——泄漏液体密度；</w:t>
            </w:r>
          </w:p>
          <w:p>
            <w:pPr>
              <w:pStyle w:val="48"/>
              <w:ind w:firstLine="1231" w:firstLineChars="513"/>
              <w:jc w:val="both"/>
              <w:rPr>
                <w:rFonts w:ascii="Times New Roman" w:hAnsi="Times New Roman"/>
                <w:color w:val="auto"/>
              </w:rPr>
            </w:pPr>
            <w:r>
              <w:rPr>
                <w:rFonts w:ascii="Times New Roman" w:hAnsi="Times New Roman"/>
                <w:color w:val="auto"/>
              </w:rPr>
              <w:t>P——容器内介质压力，Pa；</w:t>
            </w:r>
          </w:p>
          <w:p>
            <w:pPr>
              <w:pStyle w:val="48"/>
              <w:ind w:firstLine="1231" w:firstLineChars="513"/>
              <w:jc w:val="both"/>
              <w:rPr>
                <w:rFonts w:ascii="Times New Roman" w:hAnsi="Times New Roman"/>
                <w:color w:val="auto"/>
              </w:rPr>
            </w:pPr>
            <w:r>
              <w:rPr>
                <w:rFonts w:ascii="Times New Roman" w:hAnsi="Times New Roman"/>
                <w:color w:val="auto"/>
              </w:rPr>
              <w:t>P</w:t>
            </w:r>
            <w:r>
              <w:rPr>
                <w:rFonts w:ascii="Times New Roman" w:hAnsi="Times New Roman"/>
                <w:color w:val="auto"/>
                <w:vertAlign w:val="subscript"/>
              </w:rPr>
              <w:t>0</w:t>
            </w:r>
            <w:r>
              <w:rPr>
                <w:rFonts w:ascii="Times New Roman" w:hAnsi="Times New Roman"/>
                <w:color w:val="auto"/>
              </w:rPr>
              <w:t>——环境压力，Pa；</w:t>
            </w:r>
          </w:p>
          <w:p>
            <w:pPr>
              <w:pStyle w:val="48"/>
              <w:ind w:firstLine="1231" w:firstLineChars="513"/>
              <w:jc w:val="both"/>
              <w:rPr>
                <w:rFonts w:ascii="Times New Roman" w:hAnsi="Times New Roman"/>
                <w:color w:val="auto"/>
              </w:rPr>
            </w:pPr>
            <w:r>
              <w:rPr>
                <w:rFonts w:ascii="Times New Roman" w:hAnsi="Times New Roman"/>
                <w:color w:val="auto"/>
              </w:rPr>
              <w:t>g——重力加速度，9.8m/s</w:t>
            </w:r>
            <w:r>
              <w:rPr>
                <w:rFonts w:ascii="Times New Roman" w:hAnsi="Times New Roman"/>
                <w:color w:val="auto"/>
                <w:vertAlign w:val="superscript"/>
              </w:rPr>
              <w:t>2</w:t>
            </w:r>
            <w:r>
              <w:rPr>
                <w:rFonts w:ascii="Times New Roman" w:hAnsi="Times New Roman"/>
                <w:color w:val="auto"/>
              </w:rPr>
              <w:t>；</w:t>
            </w:r>
          </w:p>
          <w:p>
            <w:pPr>
              <w:pStyle w:val="48"/>
              <w:ind w:firstLine="1231" w:firstLineChars="513"/>
              <w:jc w:val="both"/>
              <w:rPr>
                <w:rFonts w:ascii="Times New Roman" w:hAnsi="Times New Roman"/>
                <w:color w:val="auto"/>
              </w:rPr>
            </w:pPr>
            <w:r>
              <w:rPr>
                <w:rFonts w:ascii="Times New Roman" w:hAnsi="Times New Roman"/>
                <w:color w:val="auto"/>
              </w:rPr>
              <w:t>h——裂口之上液位高度，m。</w:t>
            </w:r>
          </w:p>
          <w:p>
            <w:pPr>
              <w:pStyle w:val="48"/>
              <w:adjustRightInd w:val="0"/>
              <w:snapToGrid w:val="0"/>
              <w:ind w:firstLine="480"/>
              <w:jc w:val="both"/>
              <w:rPr>
                <w:rFonts w:ascii="Times New Roman" w:hAnsi="Times New Roman"/>
                <w:color w:val="auto"/>
              </w:rPr>
            </w:pPr>
            <w:r>
              <w:rPr>
                <w:rFonts w:ascii="Times New Roman" w:hAnsi="Times New Roman"/>
                <w:color w:val="auto"/>
              </w:rPr>
              <w:t>经计算，在设定事故条件下污水的泄漏速率见表</w:t>
            </w:r>
            <w:r>
              <w:rPr>
                <w:rFonts w:hint="eastAsia" w:ascii="Times New Roman" w:hAnsi="Times New Roman"/>
                <w:color w:val="auto"/>
              </w:rPr>
              <w:t>6</w:t>
            </w:r>
            <w:r>
              <w:rPr>
                <w:rFonts w:ascii="Times New Roman" w:hAnsi="Times New Roman"/>
                <w:color w:val="auto"/>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6</w:t>
            </w:r>
            <w:r>
              <w:rPr>
                <w:rFonts w:ascii="Times New Roman" w:hAnsi="Times New Roman"/>
                <w:b/>
                <w:color w:val="auto"/>
                <w:kern w:val="0"/>
                <w:szCs w:val="21"/>
              </w:rPr>
              <w:t xml:space="preserve">  设定事故条件下管线的泄漏速率计算结果</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94"/>
              <w:gridCol w:w="1208"/>
              <w:gridCol w:w="1293"/>
              <w:gridCol w:w="1127"/>
              <w:gridCol w:w="1113"/>
              <w:gridCol w:w="1118"/>
              <w:gridCol w:w="105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泄漏</w:t>
                  </w:r>
                </w:p>
              </w:tc>
              <w:tc>
                <w:tcPr>
                  <w:tcW w:w="727"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泄漏口面积(m</w:t>
                  </w:r>
                  <w:r>
                    <w:rPr>
                      <w:rFonts w:ascii="Times New Roman" w:hAnsi="Times New Roman"/>
                      <w:color w:val="auto"/>
                      <w:szCs w:val="21"/>
                      <w:vertAlign w:val="superscript"/>
                    </w:rPr>
                    <w:t>2</w:t>
                  </w:r>
                  <w:r>
                    <w:rPr>
                      <w:rFonts w:ascii="Times New Roman" w:hAnsi="Times New Roman"/>
                      <w:color w:val="auto"/>
                      <w:szCs w:val="21"/>
                    </w:rPr>
                    <w:t>)</w:t>
                  </w:r>
                </w:p>
              </w:tc>
              <w:tc>
                <w:tcPr>
                  <w:tcW w:w="778"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泄漏口之上液位高度(m)</w:t>
                  </w:r>
                </w:p>
              </w:tc>
              <w:tc>
                <w:tcPr>
                  <w:tcW w:w="678"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管线内部压力</w:t>
                  </w:r>
                  <w:r>
                    <w:rPr>
                      <w:rFonts w:hint="eastAsia" w:ascii="Times New Roman" w:hAnsi="Times New Roman"/>
                      <w:color w:val="auto"/>
                      <w:szCs w:val="21"/>
                    </w:rPr>
                    <w:t>(</w:t>
                  </w:r>
                  <w:r>
                    <w:rPr>
                      <w:rFonts w:ascii="Times New Roman" w:hAnsi="Times New Roman"/>
                      <w:color w:val="auto"/>
                      <w:szCs w:val="21"/>
                    </w:rPr>
                    <w:t>MPa</w:t>
                  </w:r>
                  <w:r>
                    <w:rPr>
                      <w:rFonts w:hint="eastAsia" w:ascii="Times New Roman" w:hAnsi="Times New Roman"/>
                      <w:color w:val="auto"/>
                      <w:szCs w:val="21"/>
                    </w:rPr>
                    <w:t>)</w:t>
                  </w:r>
                </w:p>
              </w:tc>
              <w:tc>
                <w:tcPr>
                  <w:tcW w:w="670"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环境压力</w:t>
                  </w:r>
                  <w:r>
                    <w:rPr>
                      <w:rFonts w:hint="eastAsia" w:ascii="Times New Roman" w:hAnsi="Times New Roman"/>
                      <w:color w:val="auto"/>
                      <w:szCs w:val="21"/>
                    </w:rPr>
                    <w:t>(</w:t>
                  </w:r>
                  <w:r>
                    <w:rPr>
                      <w:rFonts w:ascii="Times New Roman" w:hAnsi="Times New Roman"/>
                      <w:color w:val="auto"/>
                      <w:szCs w:val="21"/>
                    </w:rPr>
                    <w:t>MPa</w:t>
                  </w:r>
                  <w:r>
                    <w:rPr>
                      <w:rFonts w:hint="eastAsia" w:ascii="Times New Roman" w:hAnsi="Times New Roman"/>
                      <w:color w:val="auto"/>
                      <w:szCs w:val="21"/>
                    </w:rPr>
                    <w:t>)</w:t>
                  </w:r>
                </w:p>
              </w:tc>
              <w:tc>
                <w:tcPr>
                  <w:tcW w:w="673"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液体密度(kg/m</w:t>
                  </w:r>
                  <w:r>
                    <w:rPr>
                      <w:rFonts w:ascii="Times New Roman" w:hAnsi="Times New Roman"/>
                      <w:color w:val="auto"/>
                      <w:szCs w:val="21"/>
                      <w:vertAlign w:val="superscript"/>
                    </w:rPr>
                    <w:t>3</w:t>
                  </w:r>
                  <w:r>
                    <w:rPr>
                      <w:rFonts w:ascii="Times New Roman" w:hAnsi="Times New Roman"/>
                      <w:color w:val="auto"/>
                      <w:szCs w:val="21"/>
                    </w:rPr>
                    <w:t>)</w:t>
                  </w:r>
                </w:p>
              </w:tc>
              <w:tc>
                <w:tcPr>
                  <w:tcW w:w="634"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泄漏速度(kg/s)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单井采油管线泄漏</w:t>
                  </w:r>
                </w:p>
              </w:tc>
              <w:tc>
                <w:tcPr>
                  <w:tcW w:w="727"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0.003</w:t>
                  </w:r>
                </w:p>
              </w:tc>
              <w:tc>
                <w:tcPr>
                  <w:tcW w:w="778"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0</w:t>
                  </w:r>
                </w:p>
              </w:tc>
              <w:tc>
                <w:tcPr>
                  <w:tcW w:w="678"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0.4</w:t>
                  </w:r>
                </w:p>
              </w:tc>
              <w:tc>
                <w:tcPr>
                  <w:tcW w:w="670"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0.1</w:t>
                  </w:r>
                </w:p>
              </w:tc>
              <w:tc>
                <w:tcPr>
                  <w:tcW w:w="673"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891.7</w:t>
                  </w:r>
                </w:p>
              </w:tc>
              <w:tc>
                <w:tcPr>
                  <w:tcW w:w="634" w:type="pct"/>
                  <w:shd w:val="clear" w:color="auto" w:fill="auto"/>
                  <w:vAlign w:val="center"/>
                </w:tcPr>
                <w:p>
                  <w:pPr>
                    <w:adjustRightInd w:val="0"/>
                    <w:snapToGrid w:val="0"/>
                    <w:spacing w:line="320" w:lineRule="atLeast"/>
                    <w:jc w:val="center"/>
                    <w:rPr>
                      <w:rFonts w:ascii="Times New Roman" w:hAnsi="Times New Roman"/>
                      <w:color w:val="auto"/>
                      <w:szCs w:val="21"/>
                    </w:rPr>
                  </w:pPr>
                  <w:r>
                    <w:rPr>
                      <w:rFonts w:ascii="Times New Roman" w:hAnsi="Times New Roman"/>
                      <w:color w:val="auto"/>
                      <w:szCs w:val="21"/>
                    </w:rPr>
                    <w:t>45.10</w:t>
                  </w:r>
                </w:p>
              </w:tc>
            </w:tr>
          </w:tbl>
          <w:p>
            <w:pPr>
              <w:spacing w:before="156" w:beforeLines="50" w:line="360" w:lineRule="auto"/>
              <w:ind w:firstLine="480" w:firstLineChars="200"/>
              <w:jc w:val="both"/>
              <w:rPr>
                <w:rFonts w:ascii="Times New Roman" w:hAnsi="Times New Roman"/>
                <w:color w:val="auto"/>
                <w:sz w:val="24"/>
              </w:rPr>
            </w:pPr>
            <w:r>
              <w:rPr>
                <w:rFonts w:ascii="Times New Roman" w:hAnsi="Times New Roman"/>
                <w:color w:val="auto"/>
                <w:sz w:val="24"/>
              </w:rPr>
              <w:t>据上表，单井集输管线泄漏速率为45.10kg/s。假定发现泄漏后10min处理完毕，切断事故阀门，则单井集输管线泄漏量为27.06t，泄漏量大于其单井集输管线中采出物的量0.0486t，发生事故后，及时切断事故阀门，故本次按单井集输管线中的采出物全部泄漏考虑，泄漏量为48.6kg，按照土壤表层对污染物截留率90%计算，单井集输管线泄漏后可能进入含水层的物料为4.86kg。</w:t>
            </w:r>
          </w:p>
          <w:p>
            <w:pPr>
              <w:spacing w:line="500" w:lineRule="exact"/>
              <w:ind w:firstLine="480" w:firstLineChars="200"/>
              <w:jc w:val="both"/>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影响预测</w:t>
            </w:r>
          </w:p>
          <w:p>
            <w:pPr>
              <w:pStyle w:val="48"/>
              <w:ind w:firstLine="480"/>
              <w:jc w:val="both"/>
              <w:rPr>
                <w:rFonts w:ascii="Times New Roman" w:hAnsi="Times New Roman"/>
                <w:color w:val="auto"/>
              </w:rPr>
            </w:pPr>
            <w:r>
              <w:rPr>
                <w:rFonts w:ascii="Times New Roman" w:hAnsi="Times New Roman"/>
                <w:color w:val="auto"/>
              </w:rPr>
              <w:drawing>
                <wp:anchor distT="0" distB="0" distL="114300" distR="114300" simplePos="0" relativeHeight="251660288" behindDoc="0" locked="0" layoutInCell="1" allowOverlap="1">
                  <wp:simplePos x="0" y="0"/>
                  <wp:positionH relativeFrom="column">
                    <wp:posOffset>820420</wp:posOffset>
                  </wp:positionH>
                  <wp:positionV relativeFrom="paragraph">
                    <wp:posOffset>946150</wp:posOffset>
                  </wp:positionV>
                  <wp:extent cx="2949575" cy="688975"/>
                  <wp:effectExtent l="0" t="0" r="0" b="0"/>
                  <wp:wrapNone/>
                  <wp:docPr id="153" name="图片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769"/>
                          <pic:cNvPicPr>
                            <a:picLocks noChangeAspect="1" noChangeArrowheads="1"/>
                          </pic:cNvPicPr>
                        </pic:nvPicPr>
                        <pic:blipFill>
                          <a:blip r:embed="rId34">
                            <a:extLst>
                              <a:ext uri="{28A0092B-C50C-407E-A947-70E740481C1C}">
                                <a14:useLocalDpi xmlns:a14="http://schemas.microsoft.com/office/drawing/2010/main" val="0"/>
                              </a:ext>
                            </a:extLst>
                          </a:blip>
                          <a:srcRect t="8488" b="22752"/>
                          <a:stretch>
                            <a:fillRect/>
                          </a:stretch>
                        </pic:blipFill>
                        <pic:spPr>
                          <a:xfrm>
                            <a:off x="0" y="0"/>
                            <a:ext cx="2949575" cy="688975"/>
                          </a:xfrm>
                          <a:prstGeom prst="rect">
                            <a:avLst/>
                          </a:prstGeom>
                          <a:noFill/>
                          <a:ln>
                            <a:noFill/>
                          </a:ln>
                        </pic:spPr>
                      </pic:pic>
                    </a:graphicData>
                  </a:graphic>
                </wp:anchor>
              </w:drawing>
            </w:r>
            <w:r>
              <w:rPr>
                <w:rFonts w:ascii="Times New Roman" w:hAnsi="Times New Roman"/>
                <w:color w:val="auto"/>
              </w:rPr>
              <w:t>预测因子选取油田特征污染物石油类，根据《环境影响评价技术导则  地下水环境》（HJ610-2016），采用解析法进行预测，预测模型选择导则推荐的地下水溶质运移解析法中的一维稳定流动二维弥散点源模型进行预测。</w:t>
            </w:r>
          </w:p>
          <w:p>
            <w:pPr>
              <w:pStyle w:val="48"/>
              <w:ind w:firstLine="480"/>
              <w:jc w:val="both"/>
              <w:rPr>
                <w:rFonts w:ascii="Times New Roman" w:hAnsi="Times New Roman"/>
                <w:color w:val="auto"/>
              </w:rPr>
            </w:pPr>
          </w:p>
          <w:p>
            <w:pPr>
              <w:spacing w:line="520" w:lineRule="exact"/>
              <w:ind w:firstLine="480" w:firstLineChars="200"/>
              <w:jc w:val="both"/>
              <w:rPr>
                <w:rFonts w:ascii="Times New Roman" w:hAnsi="Times New Roman"/>
                <w:color w:val="auto"/>
                <w:kern w:val="0"/>
                <w:sz w:val="24"/>
                <w:szCs w:val="22"/>
              </w:rPr>
            </w:pPr>
          </w:p>
          <w:p>
            <w:pPr>
              <w:pStyle w:val="48"/>
              <w:spacing w:line="360" w:lineRule="auto"/>
              <w:ind w:firstLine="480"/>
              <w:jc w:val="both"/>
              <w:rPr>
                <w:rFonts w:ascii="Times New Roman" w:hAnsi="Times New Roman"/>
                <w:color w:val="auto"/>
              </w:rPr>
            </w:pPr>
            <w:r>
              <w:rPr>
                <w:rFonts w:ascii="Times New Roman" w:hAnsi="Times New Roman"/>
                <w:color w:val="auto"/>
              </w:rPr>
              <w:t>式中：x、y—计算点处的位置坐标；</w:t>
            </w:r>
          </w:p>
          <w:p>
            <w:pPr>
              <w:pStyle w:val="48"/>
              <w:spacing w:line="360" w:lineRule="auto"/>
              <w:ind w:firstLine="1132" w:firstLineChars="472"/>
              <w:jc w:val="both"/>
              <w:rPr>
                <w:rFonts w:ascii="Times New Roman" w:hAnsi="Times New Roman"/>
                <w:color w:val="auto"/>
              </w:rPr>
            </w:pPr>
            <w:r>
              <w:rPr>
                <w:rFonts w:ascii="Times New Roman" w:hAnsi="Times New Roman"/>
                <w:color w:val="auto"/>
              </w:rPr>
              <w:t>t—时间(d)；</w:t>
            </w:r>
          </w:p>
          <w:p>
            <w:pPr>
              <w:pStyle w:val="48"/>
              <w:spacing w:line="360" w:lineRule="auto"/>
              <w:ind w:firstLine="1132" w:firstLineChars="472"/>
              <w:jc w:val="both"/>
              <w:rPr>
                <w:rFonts w:ascii="Times New Roman" w:hAnsi="Times New Roman"/>
                <w:color w:val="auto"/>
                <w:spacing w:val="-2"/>
              </w:rPr>
            </w:pPr>
            <w:r>
              <w:rPr>
                <w:rFonts w:ascii="Times New Roman" w:hAnsi="Times New Roman"/>
                <w:color w:val="auto"/>
              </w:rPr>
              <w:t>C(x,y,t)—t</w:t>
            </w:r>
            <w:r>
              <w:rPr>
                <w:rFonts w:ascii="Times New Roman" w:hAnsi="Times New Roman"/>
                <w:color w:val="auto"/>
                <w:spacing w:val="-2"/>
              </w:rPr>
              <w:t>时刻点</w:t>
            </w:r>
            <w:r>
              <w:rPr>
                <w:rFonts w:ascii="Times New Roman" w:hAnsi="Times New Roman"/>
                <w:color w:val="auto"/>
              </w:rPr>
              <w:t>x,y</w:t>
            </w:r>
            <w:r>
              <w:rPr>
                <w:rFonts w:ascii="Times New Roman" w:hAnsi="Times New Roman"/>
                <w:color w:val="auto"/>
                <w:spacing w:val="-2"/>
              </w:rPr>
              <w:t>处的示踪剂浓度(g/L)；</w:t>
            </w:r>
          </w:p>
          <w:p>
            <w:pPr>
              <w:pStyle w:val="48"/>
              <w:spacing w:line="360" w:lineRule="auto"/>
              <w:ind w:firstLine="1132" w:firstLineChars="472"/>
              <w:jc w:val="both"/>
              <w:rPr>
                <w:rFonts w:ascii="Times New Roman" w:hAnsi="Times New Roman"/>
                <w:color w:val="auto"/>
                <w:spacing w:val="-2"/>
              </w:rPr>
            </w:pPr>
            <w:r>
              <w:rPr>
                <w:rFonts w:ascii="Times New Roman" w:hAnsi="Times New Roman"/>
                <w:color w:val="auto"/>
              </w:rPr>
              <w:t>M—含水层厚度(m)；</w:t>
            </w:r>
          </w:p>
          <w:p>
            <w:pPr>
              <w:pStyle w:val="48"/>
              <w:spacing w:line="360" w:lineRule="auto"/>
              <w:ind w:firstLine="1132" w:firstLineChars="472"/>
              <w:jc w:val="both"/>
              <w:rPr>
                <w:rFonts w:ascii="Times New Roman" w:hAnsi="Times New Roman"/>
                <w:color w:val="auto"/>
              </w:rPr>
            </w:pPr>
            <w:r>
              <w:rPr>
                <w:rFonts w:ascii="Times New Roman" w:hAnsi="Times New Roman"/>
                <w:color w:val="auto"/>
                <w:position w:val="2"/>
              </w:rPr>
              <w:t>m</w:t>
            </w:r>
            <w:r>
              <w:rPr>
                <w:rFonts w:ascii="Times New Roman" w:hAnsi="Times New Roman"/>
                <w:color w:val="auto"/>
                <w:vertAlign w:val="subscript"/>
              </w:rPr>
              <w:t>M</w:t>
            </w:r>
            <w:r>
              <w:rPr>
                <w:rFonts w:ascii="Times New Roman" w:hAnsi="Times New Roman"/>
                <w:color w:val="auto"/>
                <w:position w:val="2"/>
              </w:rPr>
              <w:t>—瞬时注入的质量(kg)；</w:t>
            </w:r>
          </w:p>
          <w:p>
            <w:pPr>
              <w:pStyle w:val="48"/>
              <w:spacing w:line="360" w:lineRule="auto"/>
              <w:ind w:firstLine="1132" w:firstLineChars="472"/>
              <w:jc w:val="both"/>
              <w:rPr>
                <w:rFonts w:ascii="Times New Roman" w:hAnsi="Times New Roman"/>
                <w:color w:val="auto"/>
              </w:rPr>
            </w:pPr>
            <w:r>
              <w:rPr>
                <w:rFonts w:ascii="Times New Roman" w:hAnsi="Times New Roman"/>
                <w:color w:val="auto"/>
              </w:rPr>
              <w:t>U—水流速度(m/d)；</w:t>
            </w:r>
          </w:p>
          <w:p>
            <w:pPr>
              <w:pStyle w:val="48"/>
              <w:spacing w:line="360" w:lineRule="auto"/>
              <w:ind w:firstLine="1132" w:firstLineChars="472"/>
              <w:jc w:val="both"/>
              <w:rPr>
                <w:rFonts w:ascii="Times New Roman" w:hAnsi="Times New Roman"/>
                <w:color w:val="auto"/>
              </w:rPr>
            </w:pPr>
            <w:r>
              <w:rPr>
                <w:rFonts w:ascii="Times New Roman" w:hAnsi="Times New Roman"/>
                <w:color w:val="auto"/>
                <w:position w:val="2"/>
              </w:rPr>
              <w:t>n</w:t>
            </w:r>
            <w:r>
              <w:rPr>
                <w:rFonts w:ascii="Times New Roman" w:hAnsi="Times New Roman"/>
                <w:color w:val="auto"/>
                <w:vertAlign w:val="subscript"/>
              </w:rPr>
              <w:t>e</w:t>
            </w:r>
            <w:r>
              <w:rPr>
                <w:rFonts w:ascii="Times New Roman" w:hAnsi="Times New Roman"/>
                <w:color w:val="auto"/>
                <w:position w:val="2"/>
              </w:rPr>
              <w:t>—孔隙度，无量纲；</w:t>
            </w:r>
          </w:p>
          <w:p>
            <w:pPr>
              <w:pStyle w:val="48"/>
              <w:spacing w:line="360" w:lineRule="auto"/>
              <w:ind w:firstLine="1132" w:firstLineChars="472"/>
              <w:jc w:val="both"/>
              <w:rPr>
                <w:rFonts w:ascii="Times New Roman" w:hAnsi="Times New Roman"/>
                <w:color w:val="auto"/>
                <w:spacing w:val="-1"/>
              </w:rPr>
            </w:pPr>
            <w:r>
              <w:rPr>
                <w:rFonts w:ascii="Times New Roman" w:hAnsi="Times New Roman"/>
                <w:color w:val="auto"/>
              </w:rPr>
              <w:t>D</w:t>
            </w:r>
            <w:r>
              <w:rPr>
                <w:rFonts w:ascii="Times New Roman" w:hAnsi="Times New Roman"/>
                <w:color w:val="auto"/>
                <w:vertAlign w:val="subscript"/>
              </w:rPr>
              <w:t>L</w:t>
            </w:r>
            <w:r>
              <w:rPr>
                <w:rFonts w:ascii="Times New Roman" w:hAnsi="Times New Roman"/>
                <w:color w:val="auto"/>
                <w:spacing w:val="-1"/>
              </w:rPr>
              <w:t>—纵向弥散系数(m</w:t>
            </w:r>
            <w:r>
              <w:rPr>
                <w:rFonts w:ascii="Times New Roman" w:hAnsi="Times New Roman"/>
                <w:color w:val="auto"/>
                <w:spacing w:val="-1"/>
                <w:vertAlign w:val="superscript"/>
              </w:rPr>
              <w:t>2</w:t>
            </w:r>
            <w:r>
              <w:rPr>
                <w:rFonts w:ascii="Times New Roman" w:hAnsi="Times New Roman"/>
                <w:color w:val="auto"/>
                <w:spacing w:val="-1"/>
              </w:rPr>
              <w:t>/d)；</w:t>
            </w:r>
          </w:p>
          <w:p>
            <w:pPr>
              <w:pStyle w:val="48"/>
              <w:spacing w:line="360" w:lineRule="auto"/>
              <w:ind w:firstLine="1132" w:firstLineChars="472"/>
              <w:jc w:val="both"/>
              <w:rPr>
                <w:rFonts w:ascii="Times New Roman" w:hAnsi="Times New Roman"/>
                <w:color w:val="auto"/>
                <w:spacing w:val="25"/>
              </w:rPr>
            </w:pPr>
            <w:r>
              <w:rPr>
                <w:rFonts w:ascii="Times New Roman" w:hAnsi="Times New Roman"/>
                <w:color w:val="auto"/>
              </w:rPr>
              <w:t>D</w:t>
            </w:r>
            <w:r>
              <w:rPr>
                <w:rFonts w:ascii="Times New Roman" w:hAnsi="Times New Roman"/>
                <w:color w:val="auto"/>
                <w:vertAlign w:val="subscript"/>
              </w:rPr>
              <w:t>t</w:t>
            </w:r>
            <w:r>
              <w:rPr>
                <w:rFonts w:ascii="Times New Roman" w:hAnsi="Times New Roman"/>
                <w:color w:val="auto"/>
                <w:spacing w:val="-1"/>
              </w:rPr>
              <w:t>—横向y方向的弥散系数(m</w:t>
            </w:r>
            <w:r>
              <w:rPr>
                <w:rFonts w:ascii="Times New Roman" w:hAnsi="Times New Roman"/>
                <w:color w:val="auto"/>
                <w:spacing w:val="-1"/>
                <w:vertAlign w:val="superscript"/>
              </w:rPr>
              <w:t>2</w:t>
            </w:r>
            <w:r>
              <w:rPr>
                <w:rFonts w:ascii="Times New Roman" w:hAnsi="Times New Roman"/>
                <w:color w:val="auto"/>
                <w:spacing w:val="-1"/>
              </w:rPr>
              <w:t>/d)；</w:t>
            </w:r>
          </w:p>
          <w:p>
            <w:pPr>
              <w:pStyle w:val="48"/>
              <w:spacing w:line="360" w:lineRule="auto"/>
              <w:ind w:firstLine="1123" w:firstLineChars="472"/>
              <w:jc w:val="both"/>
              <w:rPr>
                <w:rFonts w:ascii="Times New Roman" w:hAnsi="Times New Roman"/>
                <w:color w:val="auto"/>
                <w:spacing w:val="-1"/>
              </w:rPr>
            </w:pPr>
            <w:r>
              <w:rPr>
                <w:rFonts w:ascii="Times New Roman" w:hAnsi="Times New Roman"/>
                <w:color w:val="auto"/>
                <w:spacing w:val="-1"/>
              </w:rPr>
              <w:t>Π—圆周率</w:t>
            </w:r>
            <w:r>
              <w:rPr>
                <w:rFonts w:hint="eastAsia" w:ascii="Times New Roman" w:hAnsi="Times New Roman"/>
                <w:color w:val="auto"/>
                <w:spacing w:val="-1"/>
              </w:rPr>
              <w:t>。</w:t>
            </w:r>
          </w:p>
          <w:p>
            <w:pPr>
              <w:pStyle w:val="48"/>
              <w:adjustRightInd w:val="0"/>
              <w:snapToGrid w:val="0"/>
              <w:ind w:firstLine="480"/>
              <w:jc w:val="both"/>
              <w:rPr>
                <w:rFonts w:ascii="Times New Roman" w:hAnsi="Times New Roman"/>
                <w:color w:val="auto"/>
              </w:rPr>
            </w:pPr>
            <w:r>
              <w:rPr>
                <w:rFonts w:ascii="Times New Roman" w:hAnsi="Times New Roman"/>
                <w:color w:val="auto"/>
              </w:rPr>
              <w:t>模型中所需参数及来源见表</w:t>
            </w:r>
            <w:r>
              <w:rPr>
                <w:rFonts w:hint="eastAsia" w:ascii="Times New Roman" w:hAnsi="Times New Roman"/>
                <w:color w:val="auto"/>
              </w:rPr>
              <w:t>7</w:t>
            </w:r>
            <w:r>
              <w:rPr>
                <w:rFonts w:ascii="Times New Roman" w:hAnsi="Times New Roman"/>
                <w:color w:val="auto"/>
              </w:rPr>
              <w:t>。</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7</w:t>
            </w:r>
            <w:r>
              <w:rPr>
                <w:rFonts w:ascii="Times New Roman" w:hAnsi="Times New Roman"/>
                <w:b/>
                <w:color w:val="auto"/>
                <w:kern w:val="0"/>
                <w:szCs w:val="21"/>
              </w:rPr>
              <w:t xml:space="preserve">  模型所需参数一览表</w:t>
            </w:r>
          </w:p>
          <w:tbl>
            <w:tblPr>
              <w:tblStyle w:val="37"/>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626"/>
              <w:gridCol w:w="2835"/>
              <w:gridCol w:w="28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序号</w:t>
                  </w:r>
                </w:p>
              </w:tc>
              <w:tc>
                <w:tcPr>
                  <w:tcW w:w="1626"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参数符号</w:t>
                  </w:r>
                </w:p>
              </w:tc>
              <w:tc>
                <w:tcPr>
                  <w:tcW w:w="2835"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参数名称</w:t>
                  </w:r>
                </w:p>
              </w:tc>
              <w:tc>
                <w:tcPr>
                  <w:tcW w:w="2844"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参考数值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1</w:t>
                  </w:r>
                </w:p>
              </w:tc>
              <w:tc>
                <w:tcPr>
                  <w:tcW w:w="1626" w:type="dxa"/>
                  <w:vAlign w:val="center"/>
                </w:tcPr>
                <w:p>
                  <w:pPr>
                    <w:spacing w:line="360" w:lineRule="exact"/>
                    <w:jc w:val="center"/>
                    <w:rPr>
                      <w:rFonts w:ascii="Times New Roman" w:hAnsi="Times New Roman"/>
                      <w:color w:val="auto"/>
                      <w:kern w:val="0"/>
                    </w:rPr>
                  </w:pPr>
                  <w:r>
                    <w:rPr>
                      <w:rFonts w:ascii="Times New Roman" w:hAnsi="Times New Roman"/>
                      <w:color w:val="auto"/>
                      <w:kern w:val="0"/>
                      <w:position w:val="2"/>
                    </w:rPr>
                    <w:t>m</w:t>
                  </w:r>
                  <w:r>
                    <w:rPr>
                      <w:rFonts w:ascii="Times New Roman" w:hAnsi="Times New Roman"/>
                      <w:color w:val="auto"/>
                      <w:kern w:val="0"/>
                      <w:vertAlign w:val="subscript"/>
                    </w:rPr>
                    <w:t>M</w:t>
                  </w:r>
                </w:p>
              </w:tc>
              <w:tc>
                <w:tcPr>
                  <w:tcW w:w="2835" w:type="dxa"/>
                  <w:vAlign w:val="center"/>
                </w:tcPr>
                <w:p>
                  <w:pPr>
                    <w:spacing w:line="360" w:lineRule="exact"/>
                    <w:jc w:val="center"/>
                    <w:rPr>
                      <w:rFonts w:ascii="Times New Roman" w:hAnsi="Times New Roman"/>
                      <w:color w:val="auto"/>
                      <w:kern w:val="0"/>
                    </w:rPr>
                  </w:pPr>
                  <w:r>
                    <w:rPr>
                      <w:rFonts w:ascii="Times New Roman" w:hAnsi="Times New Roman"/>
                      <w:color w:val="auto"/>
                      <w:kern w:val="0"/>
                      <w:position w:val="2"/>
                    </w:rPr>
                    <w:t>瞬时注入的质量</w:t>
                  </w:r>
                </w:p>
              </w:tc>
              <w:tc>
                <w:tcPr>
                  <w:tcW w:w="2844"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4.86kg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2</w:t>
                  </w:r>
                </w:p>
              </w:tc>
              <w:tc>
                <w:tcPr>
                  <w:tcW w:w="1626"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t</w:t>
                  </w:r>
                </w:p>
              </w:tc>
              <w:tc>
                <w:tcPr>
                  <w:tcW w:w="2835"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时间</w:t>
                  </w:r>
                </w:p>
              </w:tc>
              <w:tc>
                <w:tcPr>
                  <w:tcW w:w="2844"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100d、500d、1000d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3</w:t>
                  </w:r>
                </w:p>
              </w:tc>
              <w:tc>
                <w:tcPr>
                  <w:tcW w:w="1626"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M</w:t>
                  </w:r>
                </w:p>
              </w:tc>
              <w:tc>
                <w:tcPr>
                  <w:tcW w:w="2835"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含水层厚度</w:t>
                  </w:r>
                </w:p>
              </w:tc>
              <w:tc>
                <w:tcPr>
                  <w:tcW w:w="2844"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50m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4</w:t>
                  </w:r>
                </w:p>
              </w:tc>
              <w:tc>
                <w:tcPr>
                  <w:tcW w:w="1626"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u</w:t>
                  </w:r>
                </w:p>
              </w:tc>
              <w:tc>
                <w:tcPr>
                  <w:tcW w:w="2835"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水流速度</w:t>
                  </w:r>
                </w:p>
              </w:tc>
              <w:tc>
                <w:tcPr>
                  <w:tcW w:w="2844"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0.25m/d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5</w:t>
                  </w:r>
                </w:p>
              </w:tc>
              <w:tc>
                <w:tcPr>
                  <w:tcW w:w="1626"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D</w:t>
                  </w:r>
                  <w:r>
                    <w:rPr>
                      <w:rFonts w:ascii="Times New Roman" w:hAnsi="Times New Roman"/>
                      <w:color w:val="auto"/>
                      <w:kern w:val="0"/>
                      <w:vertAlign w:val="subscript"/>
                    </w:rPr>
                    <w:t>L</w:t>
                  </w:r>
                </w:p>
              </w:tc>
              <w:tc>
                <w:tcPr>
                  <w:tcW w:w="2835" w:type="dxa"/>
                  <w:vAlign w:val="center"/>
                </w:tcPr>
                <w:p>
                  <w:pPr>
                    <w:spacing w:line="360" w:lineRule="exact"/>
                    <w:jc w:val="center"/>
                    <w:rPr>
                      <w:rFonts w:ascii="Times New Roman" w:hAnsi="Times New Roman"/>
                      <w:color w:val="auto"/>
                      <w:kern w:val="0"/>
                    </w:rPr>
                  </w:pPr>
                  <w:r>
                    <w:rPr>
                      <w:rFonts w:ascii="Times New Roman" w:hAnsi="Times New Roman"/>
                      <w:color w:val="auto"/>
                      <w:spacing w:val="-1"/>
                      <w:kern w:val="0"/>
                    </w:rPr>
                    <w:t>纵向弥散系数</w:t>
                  </w:r>
                </w:p>
              </w:tc>
              <w:tc>
                <w:tcPr>
                  <w:tcW w:w="2844"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2.5m</w:t>
                  </w:r>
                  <w:r>
                    <w:rPr>
                      <w:rFonts w:ascii="Times New Roman" w:hAnsi="Times New Roman"/>
                      <w:color w:val="auto"/>
                      <w:kern w:val="0"/>
                      <w:vertAlign w:val="superscript"/>
                    </w:rPr>
                    <w:t>2</w:t>
                  </w:r>
                  <w:r>
                    <w:rPr>
                      <w:rFonts w:ascii="Times New Roman" w:hAnsi="Times New Roman"/>
                      <w:color w:val="auto"/>
                      <w:kern w:val="0"/>
                    </w:rPr>
                    <w:t>/d</w:t>
                  </w:r>
                </w:p>
              </w:tc>
            </w:tr>
          </w:tbl>
          <w:p>
            <w:pPr>
              <w:rPr>
                <w:color w:val="auto"/>
              </w:rPr>
            </w:pPr>
          </w:p>
          <w:p>
            <w:pPr>
              <w:jc w:val="center"/>
              <w:rPr>
                <w:color w:val="auto"/>
              </w:rPr>
            </w:pPr>
            <w:r>
              <w:rPr>
                <w:rFonts w:hint="eastAsia"/>
                <w:b/>
                <w:bCs/>
                <w:color w:val="auto"/>
              </w:rPr>
              <w:t>续表</w:t>
            </w:r>
            <w:r>
              <w:rPr>
                <w:rFonts w:hint="eastAsia" w:ascii="Times New Roman" w:hAnsi="Times New Roman"/>
                <w:b/>
                <w:bCs/>
                <w:color w:val="auto"/>
                <w:kern w:val="0"/>
                <w:szCs w:val="21"/>
              </w:rPr>
              <w:t>7</w:t>
            </w:r>
            <w:r>
              <w:rPr>
                <w:rFonts w:ascii="Times New Roman" w:hAnsi="Times New Roman"/>
                <w:b/>
                <w:bCs/>
                <w:color w:val="auto"/>
                <w:kern w:val="0"/>
                <w:szCs w:val="21"/>
              </w:rPr>
              <w:t xml:space="preserve"> </w:t>
            </w:r>
            <w:r>
              <w:rPr>
                <w:rFonts w:ascii="Times New Roman" w:hAnsi="Times New Roman"/>
                <w:b/>
                <w:color w:val="auto"/>
                <w:kern w:val="0"/>
                <w:szCs w:val="21"/>
              </w:rPr>
              <w:t xml:space="preserve"> 模型所需参数一览表</w:t>
            </w:r>
          </w:p>
          <w:tbl>
            <w:tblPr>
              <w:tblStyle w:val="37"/>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626"/>
              <w:gridCol w:w="2835"/>
              <w:gridCol w:w="28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序号</w:t>
                  </w:r>
                </w:p>
              </w:tc>
              <w:tc>
                <w:tcPr>
                  <w:tcW w:w="1626"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参数符号</w:t>
                  </w:r>
                </w:p>
              </w:tc>
              <w:tc>
                <w:tcPr>
                  <w:tcW w:w="2835"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参数名称</w:t>
                  </w:r>
                </w:p>
              </w:tc>
              <w:tc>
                <w:tcPr>
                  <w:tcW w:w="2844"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参考数值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1"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6</w:t>
                  </w:r>
                </w:p>
              </w:tc>
              <w:tc>
                <w:tcPr>
                  <w:tcW w:w="1626" w:type="dxa"/>
                  <w:vAlign w:val="center"/>
                </w:tcPr>
                <w:p>
                  <w:pPr>
                    <w:spacing w:line="360" w:lineRule="exact"/>
                    <w:jc w:val="center"/>
                    <w:rPr>
                      <w:rFonts w:ascii="Times New Roman" w:hAnsi="Times New Roman"/>
                      <w:color w:val="auto"/>
                      <w:kern w:val="0"/>
                    </w:rPr>
                  </w:pPr>
                  <w:r>
                    <w:rPr>
                      <w:rFonts w:hint="eastAsia" w:ascii="Times New Roman" w:hAnsi="Times New Roman"/>
                      <w:color w:val="auto"/>
                      <w:kern w:val="0"/>
                    </w:rPr>
                    <w:t>n</w:t>
                  </w:r>
                </w:p>
              </w:tc>
              <w:tc>
                <w:tcPr>
                  <w:tcW w:w="2835" w:type="dxa"/>
                  <w:vAlign w:val="center"/>
                </w:tcPr>
                <w:p>
                  <w:pPr>
                    <w:spacing w:line="360" w:lineRule="exact"/>
                    <w:jc w:val="center"/>
                    <w:rPr>
                      <w:rFonts w:ascii="Times New Roman" w:hAnsi="Times New Roman"/>
                      <w:color w:val="auto"/>
                      <w:kern w:val="0"/>
                    </w:rPr>
                  </w:pPr>
                  <w:r>
                    <w:rPr>
                      <w:rFonts w:ascii="Times New Roman" w:hAnsi="Times New Roman"/>
                      <w:color w:val="auto"/>
                      <w:spacing w:val="-1"/>
                      <w:kern w:val="0"/>
                    </w:rPr>
                    <w:t>有效孔隙度</w:t>
                  </w:r>
                </w:p>
              </w:tc>
              <w:tc>
                <w:tcPr>
                  <w:tcW w:w="2844" w:type="dxa"/>
                  <w:vAlign w:val="center"/>
                </w:tcPr>
                <w:p>
                  <w:pPr>
                    <w:spacing w:line="360" w:lineRule="exact"/>
                    <w:jc w:val="center"/>
                    <w:rPr>
                      <w:rFonts w:ascii="Times New Roman" w:hAnsi="Times New Roman"/>
                      <w:color w:val="auto"/>
                      <w:kern w:val="0"/>
                    </w:rPr>
                  </w:pPr>
                  <w:r>
                    <w:rPr>
                      <w:rFonts w:ascii="Times New Roman" w:hAnsi="Times New Roman"/>
                      <w:color w:val="auto"/>
                      <w:kern w:val="0"/>
                    </w:rPr>
                    <w:t>0.25</w:t>
                  </w:r>
                </w:p>
              </w:tc>
            </w:tr>
          </w:tbl>
          <w:p>
            <w:pPr>
              <w:pStyle w:val="48"/>
              <w:tabs>
                <w:tab w:val="left" w:pos="709"/>
              </w:tabs>
              <w:adjustRightInd w:val="0"/>
              <w:snapToGrid w:val="0"/>
              <w:ind w:firstLine="480"/>
              <w:jc w:val="both"/>
              <w:rPr>
                <w:rFonts w:ascii="Times New Roman" w:hAnsi="Times New Roman"/>
                <w:color w:val="auto"/>
              </w:rPr>
            </w:pPr>
            <w:r>
              <w:rPr>
                <w:rFonts w:ascii="Times New Roman" w:hAnsi="Times New Roman"/>
                <w:color w:val="auto"/>
              </w:rPr>
              <w:t>单井集输管线发生泄漏时，石油类物质经过100d、500d和1000d后在地下水中的扩散结果见表</w:t>
            </w:r>
            <w:r>
              <w:rPr>
                <w:rFonts w:hint="eastAsia" w:ascii="Times New Roman" w:hAnsi="Times New Roman"/>
                <w:color w:val="auto"/>
              </w:rPr>
              <w:t>8</w:t>
            </w:r>
            <w:r>
              <w:rPr>
                <w:rFonts w:ascii="Times New Roman" w:hAnsi="Times New Roman"/>
                <w:color w:val="auto"/>
              </w:rPr>
              <w:t>。</w:t>
            </w:r>
          </w:p>
          <w:p>
            <w:pPr>
              <w:adjustRightInd w:val="0"/>
              <w:snapToGrid w:val="0"/>
              <w:spacing w:line="500" w:lineRule="exact"/>
              <w:ind w:firstLine="172"/>
              <w:jc w:val="center"/>
              <w:rPr>
                <w:rFonts w:ascii="Times New Roman" w:hAnsi="Times New Roman"/>
                <w:b/>
                <w:color w:val="auto"/>
              </w:rPr>
            </w:pPr>
            <w:r>
              <w:rPr>
                <w:rFonts w:ascii="Times New Roman" w:hAnsi="Times New Roman"/>
                <w:b/>
                <w:color w:val="auto"/>
              </w:rPr>
              <w:t>表</w:t>
            </w:r>
            <w:r>
              <w:rPr>
                <w:rFonts w:hint="eastAsia" w:ascii="Times New Roman" w:hAnsi="Times New Roman"/>
                <w:b/>
                <w:color w:val="auto"/>
              </w:rPr>
              <w:t>8</w:t>
            </w:r>
            <w:r>
              <w:rPr>
                <w:rFonts w:ascii="Times New Roman" w:hAnsi="Times New Roman"/>
                <w:b/>
                <w:color w:val="auto"/>
              </w:rPr>
              <w:t xml:space="preserve">  地下水影响预测结果一览表</w:t>
            </w:r>
          </w:p>
          <w:tbl>
            <w:tblPr>
              <w:tblStyle w:val="37"/>
              <w:tblW w:w="873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882"/>
              <w:gridCol w:w="1132"/>
              <w:gridCol w:w="992"/>
              <w:gridCol w:w="1843"/>
              <w:gridCol w:w="1842"/>
              <w:gridCol w:w="1872"/>
              <w:gridCol w:w="16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168" w:type="dxa"/>
                <w:trHeight w:val="329" w:hRule="atLeast"/>
              </w:trPr>
              <w:tc>
                <w:tcPr>
                  <w:tcW w:w="8563" w:type="dxa"/>
                  <w:gridSpan w:val="6"/>
                  <w:tcBorders>
                    <w:top w:val="single" w:color="auto" w:sz="12" w:space="0"/>
                    <w:bottom w:val="single" w:color="auto" w:sz="4" w:space="0"/>
                  </w:tcBorders>
                  <w:vAlign w:val="center"/>
                </w:tcPr>
                <w:p>
                  <w:pPr>
                    <w:spacing w:line="240" w:lineRule="exact"/>
                    <w:ind w:firstLine="172"/>
                    <w:jc w:val="both"/>
                    <w:rPr>
                      <w:rFonts w:ascii="Times New Roman" w:hAnsi="Times New Roman"/>
                      <w:color w:val="auto"/>
                      <w:szCs w:val="21"/>
                    </w:rPr>
                  </w:pPr>
                  <w:r>
                    <w:rPr>
                      <w:rFonts w:ascii="Times New Roman" w:hAnsi="Times New Roman"/>
                      <w:color w:val="auto"/>
                      <w:szCs w:val="21"/>
                    </w:rPr>
                    <w:t>单井集输管线发生全管径泄漏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168" w:type="dxa"/>
                <w:trHeight w:val="329" w:hRule="atLeast"/>
              </w:trPr>
              <w:tc>
                <w:tcPr>
                  <w:tcW w:w="882" w:type="dxa"/>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污染物</w:t>
                  </w:r>
                </w:p>
              </w:tc>
              <w:tc>
                <w:tcPr>
                  <w:tcW w:w="1132" w:type="dxa"/>
                  <w:tcBorders>
                    <w:top w:val="single" w:color="auto" w:sz="4" w:space="0"/>
                    <w:bottom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预测时间（d）</w:t>
                  </w:r>
                </w:p>
              </w:tc>
              <w:tc>
                <w:tcPr>
                  <w:tcW w:w="992" w:type="dxa"/>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最大浓度</w:t>
                  </w:r>
                </w:p>
                <w:p>
                  <w:pPr>
                    <w:spacing w:line="360" w:lineRule="exact"/>
                    <w:jc w:val="center"/>
                    <w:rPr>
                      <w:rFonts w:ascii="Times New Roman" w:hAnsi="Times New Roman"/>
                      <w:color w:val="auto"/>
                      <w:kern w:val="0"/>
                    </w:rPr>
                  </w:pPr>
                  <w:r>
                    <w:rPr>
                      <w:rFonts w:ascii="Times New Roman" w:hAnsi="Times New Roman"/>
                      <w:color w:val="auto"/>
                      <w:kern w:val="0"/>
                    </w:rPr>
                    <w:t>（mg/L）</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下游最大浓度对应距离（m）</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下游达标浓度对应距离（m）</w:t>
                  </w:r>
                </w:p>
              </w:tc>
              <w:tc>
                <w:tcPr>
                  <w:tcW w:w="1872" w:type="dxa"/>
                  <w:tcBorders>
                    <w:top w:val="single" w:color="auto" w:sz="4" w:space="0"/>
                    <w:left w:val="single" w:color="auto" w:sz="4" w:space="0"/>
                    <w:bottom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III类标准</w:t>
                  </w:r>
                </w:p>
                <w:p>
                  <w:pPr>
                    <w:spacing w:line="360" w:lineRule="exact"/>
                    <w:jc w:val="center"/>
                    <w:rPr>
                      <w:rFonts w:ascii="Times New Roman" w:hAnsi="Times New Roman"/>
                      <w:color w:val="auto"/>
                      <w:kern w:val="0"/>
                    </w:rPr>
                  </w:pPr>
                  <w:r>
                    <w:rPr>
                      <w:rFonts w:ascii="Times New Roman" w:hAnsi="Times New Roman"/>
                      <w:color w:val="auto"/>
                      <w:kern w:val="0"/>
                    </w:rPr>
                    <w:t>（mg/L）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168" w:type="dxa"/>
                <w:trHeight w:val="329" w:hRule="atLeast"/>
              </w:trPr>
              <w:tc>
                <w:tcPr>
                  <w:tcW w:w="882" w:type="dxa"/>
                  <w:vMerge w:val="restart"/>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石油类</w:t>
                  </w:r>
                </w:p>
              </w:tc>
              <w:tc>
                <w:tcPr>
                  <w:tcW w:w="1132" w:type="dxa"/>
                  <w:tcBorders>
                    <w:top w:val="single" w:color="auto" w:sz="4" w:space="0"/>
                    <w:bottom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100</w:t>
                  </w:r>
                </w:p>
              </w:tc>
              <w:tc>
                <w:tcPr>
                  <w:tcW w:w="992" w:type="dxa"/>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169.1352</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20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120</w:t>
                  </w:r>
                </w:p>
              </w:tc>
              <w:tc>
                <w:tcPr>
                  <w:tcW w:w="1872" w:type="dxa"/>
                  <w:tcBorders>
                    <w:top w:val="single" w:color="auto" w:sz="4" w:space="0"/>
                    <w:left w:val="single" w:color="auto" w:sz="4" w:space="0"/>
                    <w:bottom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168" w:type="dxa"/>
                <w:trHeight w:val="90" w:hRule="atLeast"/>
              </w:trPr>
              <w:tc>
                <w:tcPr>
                  <w:tcW w:w="882" w:type="dxa"/>
                  <w:vMerge w:val="continue"/>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p>
              </w:tc>
              <w:tc>
                <w:tcPr>
                  <w:tcW w:w="1132" w:type="dxa"/>
                  <w:tcBorders>
                    <w:top w:val="single" w:color="auto" w:sz="4" w:space="0"/>
                    <w:bottom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500</w:t>
                  </w:r>
                </w:p>
              </w:tc>
              <w:tc>
                <w:tcPr>
                  <w:tcW w:w="992" w:type="dxa"/>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77.16757</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120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320</w:t>
                  </w:r>
                </w:p>
              </w:tc>
              <w:tc>
                <w:tcPr>
                  <w:tcW w:w="1872" w:type="dxa"/>
                  <w:tcBorders>
                    <w:top w:val="single" w:color="auto" w:sz="4" w:space="0"/>
                    <w:left w:val="single" w:color="auto" w:sz="4" w:space="0"/>
                    <w:bottom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gridAfter w:val="1"/>
                <w:wAfter w:w="168" w:type="dxa"/>
                <w:trHeight w:val="329" w:hRule="atLeast"/>
              </w:trPr>
              <w:tc>
                <w:tcPr>
                  <w:tcW w:w="882" w:type="dxa"/>
                  <w:vMerge w:val="continue"/>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p>
              </w:tc>
              <w:tc>
                <w:tcPr>
                  <w:tcW w:w="1132" w:type="dxa"/>
                  <w:tcBorders>
                    <w:top w:val="single" w:color="auto" w:sz="4" w:space="0"/>
                    <w:bottom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1000</w:t>
                  </w:r>
                </w:p>
              </w:tc>
              <w:tc>
                <w:tcPr>
                  <w:tcW w:w="992" w:type="dxa"/>
                  <w:tcBorders>
                    <w:top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54.83923</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250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520</w:t>
                  </w:r>
                </w:p>
              </w:tc>
              <w:tc>
                <w:tcPr>
                  <w:tcW w:w="1872" w:type="dxa"/>
                  <w:tcBorders>
                    <w:top w:val="single" w:color="auto" w:sz="4" w:space="0"/>
                    <w:left w:val="single" w:color="auto" w:sz="4" w:space="0"/>
                    <w:bottom w:val="single" w:color="auto" w:sz="4" w:space="0"/>
                  </w:tcBorders>
                  <w:vAlign w:val="center"/>
                </w:tcPr>
                <w:p>
                  <w:pPr>
                    <w:spacing w:line="360" w:lineRule="exact"/>
                    <w:jc w:val="center"/>
                    <w:rPr>
                      <w:rFonts w:ascii="Times New Roman" w:hAnsi="Times New Roman"/>
                      <w:color w:val="auto"/>
                      <w:kern w:val="0"/>
                    </w:rPr>
                  </w:pPr>
                  <w:r>
                    <w:rPr>
                      <w:rFonts w:ascii="Times New Roman" w:hAnsi="Times New Roman"/>
                      <w:color w:val="auto"/>
                      <w:kern w:val="0"/>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4" w:space="0"/>
                  </w:tcBorders>
                </w:tcPr>
                <w:p>
                  <w:pPr>
                    <w:pStyle w:val="74"/>
                    <w:adjustRightInd w:val="0"/>
                    <w:snapToGrid w:val="0"/>
                    <w:spacing w:line="240" w:lineRule="auto"/>
                    <w:ind w:firstLine="0" w:firstLineChars="0"/>
                    <w:jc w:val="center"/>
                    <w:outlineLvl w:val="9"/>
                    <w:rPr>
                      <w:rFonts w:ascii="Times New Roman" w:hAnsi="Times New Roman"/>
                      <w:color w:val="auto"/>
                    </w:rPr>
                  </w:pPr>
                  <w:r>
                    <w:rPr>
                      <w:rFonts w:ascii="Times New Roman" w:hAnsi="Times New Roman"/>
                      <w:color w:val="auto"/>
                    </w:rPr>
                    <w:drawing>
                      <wp:inline distT="0" distB="0" distL="0" distR="0">
                        <wp:extent cx="3571240" cy="19329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5"/>
                                <a:stretch>
                                  <a:fillRect/>
                                </a:stretch>
                              </pic:blipFill>
                              <pic:spPr>
                                <a:xfrm>
                                  <a:off x="0" y="0"/>
                                  <a:ext cx="3571429" cy="1933333"/>
                                </a:xfrm>
                                <a:prstGeom prst="rect">
                                  <a:avLst/>
                                </a:prstGeom>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4" w:space="0"/>
                  </w:tcBorders>
                </w:tcPr>
                <w:p>
                  <w:pPr>
                    <w:pStyle w:val="74"/>
                    <w:adjustRightInd w:val="0"/>
                    <w:snapToGrid w:val="0"/>
                    <w:spacing w:line="300" w:lineRule="exact"/>
                    <w:ind w:firstLine="0" w:firstLineChars="0"/>
                    <w:jc w:val="center"/>
                    <w:outlineLvl w:val="9"/>
                    <w:rPr>
                      <w:rFonts w:ascii="Times New Roman" w:hAnsi="Times New Roman"/>
                      <w:color w:val="auto"/>
                    </w:rPr>
                  </w:pPr>
                  <w:r>
                    <w:rPr>
                      <w:rFonts w:ascii="Times New Roman" w:hAnsi="Times New Roman"/>
                      <w:color w:val="auto"/>
                      <w:sz w:val="21"/>
                      <w:szCs w:val="21"/>
                    </w:rPr>
                    <w:t>a、泄漏100d石油类浓度随距离的变化关系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4" w:space="0"/>
                  </w:tcBorders>
                </w:tcPr>
                <w:p>
                  <w:pPr>
                    <w:pStyle w:val="74"/>
                    <w:adjustRightInd w:val="0"/>
                    <w:snapToGrid w:val="0"/>
                    <w:spacing w:line="360" w:lineRule="auto"/>
                    <w:ind w:firstLine="0" w:firstLineChars="0"/>
                    <w:jc w:val="center"/>
                    <w:outlineLvl w:val="9"/>
                    <w:rPr>
                      <w:rFonts w:ascii="Times New Roman" w:hAnsi="Times New Roman"/>
                      <w:color w:val="auto"/>
                      <w:sz w:val="21"/>
                      <w:szCs w:val="21"/>
                    </w:rPr>
                  </w:pPr>
                  <w:r>
                    <w:rPr>
                      <w:rFonts w:ascii="Times New Roman" w:hAnsi="Times New Roman"/>
                      <w:color w:val="auto"/>
                    </w:rPr>
                    <w:drawing>
                      <wp:inline distT="0" distB="0" distL="0" distR="0">
                        <wp:extent cx="3571240" cy="188531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6"/>
                                <a:stretch>
                                  <a:fillRect/>
                                </a:stretch>
                              </pic:blipFill>
                              <pic:spPr>
                                <a:xfrm>
                                  <a:off x="0" y="0"/>
                                  <a:ext cx="3571429" cy="1885714"/>
                                </a:xfrm>
                                <a:prstGeom prst="rect">
                                  <a:avLst/>
                                </a:prstGeom>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4" w:space="0"/>
                  </w:tcBorders>
                </w:tcPr>
                <w:p>
                  <w:pPr>
                    <w:pStyle w:val="74"/>
                    <w:adjustRightInd w:val="0"/>
                    <w:snapToGrid w:val="0"/>
                    <w:spacing w:line="300" w:lineRule="exact"/>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b、泄漏500d石油类浓度随距离的变化关系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4" w:space="0"/>
                  </w:tcBorders>
                </w:tcPr>
                <w:p>
                  <w:pPr>
                    <w:pStyle w:val="74"/>
                    <w:adjustRightInd w:val="0"/>
                    <w:snapToGrid w:val="0"/>
                    <w:spacing w:line="240" w:lineRule="auto"/>
                    <w:ind w:firstLine="0" w:firstLineChars="0"/>
                    <w:jc w:val="center"/>
                    <w:outlineLvl w:val="9"/>
                    <w:rPr>
                      <w:rFonts w:ascii="Times New Roman" w:hAnsi="Times New Roman"/>
                      <w:color w:val="auto"/>
                    </w:rPr>
                  </w:pPr>
                  <w:r>
                    <w:rPr>
                      <w:rFonts w:ascii="Times New Roman" w:hAnsi="Times New Roman"/>
                      <w:color w:val="auto"/>
                    </w:rPr>
                    <w:drawing>
                      <wp:inline distT="0" distB="0" distL="0" distR="0">
                        <wp:extent cx="3628390" cy="193294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7"/>
                                <a:stretch>
                                  <a:fillRect/>
                                </a:stretch>
                              </pic:blipFill>
                              <pic:spPr>
                                <a:xfrm>
                                  <a:off x="0" y="0"/>
                                  <a:ext cx="3628571" cy="1933333"/>
                                </a:xfrm>
                                <a:prstGeom prst="rect">
                                  <a:avLst/>
                                </a:prstGeom>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31" w:type="dxa"/>
                  <w:gridSpan w:val="7"/>
                  <w:tcBorders>
                    <w:top w:val="single" w:color="auto" w:sz="4" w:space="0"/>
                    <w:bottom w:val="single" w:color="auto" w:sz="12" w:space="0"/>
                  </w:tcBorders>
                </w:tcPr>
                <w:p>
                  <w:pPr>
                    <w:pStyle w:val="74"/>
                    <w:adjustRightInd w:val="0"/>
                    <w:snapToGrid w:val="0"/>
                    <w:spacing w:line="300" w:lineRule="exact"/>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c、泄漏1000d石油类浓度随距离的变化关系</w:t>
                  </w:r>
                </w:p>
              </w:tc>
            </w:tr>
          </w:tbl>
          <w:p>
            <w:pPr>
              <w:adjustRightInd w:val="0"/>
              <w:snapToGrid w:val="0"/>
              <w:jc w:val="center"/>
              <w:rPr>
                <w:rFonts w:ascii="Times New Roman" w:hAnsi="Times New Roman"/>
                <w:b/>
                <w:bCs/>
                <w:color w:val="auto"/>
                <w:sz w:val="24"/>
              </w:rPr>
            </w:pPr>
            <w:r>
              <w:rPr>
                <w:rFonts w:ascii="Times New Roman" w:hAnsi="Times New Roman"/>
                <w:b/>
                <w:bCs/>
                <w:color w:val="auto"/>
                <w:sz w:val="24"/>
              </w:rPr>
              <w:t>图2  单井集输管线发生全管径泄漏时石油类浓度随距离的变化关系</w:t>
            </w:r>
          </w:p>
          <w:p>
            <w:pPr>
              <w:pStyle w:val="48"/>
              <w:spacing w:line="360" w:lineRule="auto"/>
              <w:ind w:firstLine="480"/>
              <w:jc w:val="both"/>
              <w:rPr>
                <w:rFonts w:ascii="Times New Roman" w:hAnsi="Times New Roman"/>
                <w:color w:val="auto"/>
              </w:rPr>
            </w:pPr>
            <w:r>
              <w:rPr>
                <w:rFonts w:ascii="Times New Roman" w:hAnsi="Times New Roman"/>
                <w:color w:val="auto"/>
              </w:rPr>
              <w:t>从预测结果可知：随着时间的增加，污染范围有所增加，单井集输管线发生泄漏后100d、500d和1000d下游石油类达标时对应的距离分别为120m、320m和520m。对于颗粒较粗，结构较松散、孔隙比较多的灰色草甸土，在消除土体裂隙和根孔影响的试验条件下，石油类下渗下移的深度不会超过30cm，泄漏的原油进入地下水的可能性很小，并定期对设备进行检修，将事故发生的概率将至最低，发生泄漏后做到及时发现、及时处理，彻底清除泄漏油品及被污染的土壤。因此，发生泄漏后采取相应的措施后不会对地下水环境产生大的影响。</w:t>
            </w:r>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4</w:t>
            </w:r>
            <w:r>
              <w:rPr>
                <w:rFonts w:hint="eastAsia" w:ascii="Times New Roman" w:hAnsi="Times New Roman"/>
                <w:b/>
                <w:bCs/>
                <w:color w:val="auto"/>
                <w:sz w:val="24"/>
              </w:rPr>
              <w:t>．</w:t>
            </w:r>
            <w:r>
              <w:rPr>
                <w:rFonts w:ascii="Times New Roman" w:hAnsi="Times New Roman"/>
                <w:b/>
                <w:bCs/>
                <w:color w:val="auto"/>
                <w:sz w:val="24"/>
              </w:rPr>
              <w:t>水污染防治措施</w:t>
            </w:r>
          </w:p>
          <w:p>
            <w:pPr>
              <w:keepNext/>
              <w:keepLines/>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kern w:val="0"/>
                <w:sz w:val="24"/>
              </w:rPr>
              <w:t>（1）</w:t>
            </w:r>
            <w:r>
              <w:rPr>
                <w:rFonts w:ascii="Times New Roman" w:hAnsi="Times New Roman"/>
                <w:color w:val="auto"/>
                <w:sz w:val="24"/>
              </w:rPr>
              <w:t>施工期水污染防治措施</w:t>
            </w:r>
          </w:p>
          <w:p>
            <w:pPr>
              <w:adjustRightInd w:val="0"/>
              <w:snapToGrid w:val="0"/>
              <w:spacing w:line="360" w:lineRule="auto"/>
              <w:ind w:firstLine="480" w:firstLineChars="200"/>
              <w:jc w:val="both"/>
              <w:rPr>
                <w:rFonts w:ascii="Times New Roman" w:hAnsi="Times New Roman"/>
                <w:color w:val="auto"/>
                <w:kern w:val="0"/>
                <w:sz w:val="24"/>
                <w:szCs w:val="22"/>
              </w:rPr>
            </w:pPr>
            <w:r>
              <w:rPr>
                <w:rFonts w:hint="eastAsia" w:ascii="宋体" w:hAnsi="宋体" w:cs="宋体"/>
                <w:color w:val="auto"/>
                <w:kern w:val="0"/>
                <w:sz w:val="24"/>
                <w:szCs w:val="22"/>
              </w:rPr>
              <w:t>①</w:t>
            </w:r>
            <w:r>
              <w:rPr>
                <w:rFonts w:ascii="Times New Roman" w:hAnsi="Times New Roman"/>
                <w:color w:val="auto"/>
                <w:kern w:val="0"/>
                <w:sz w:val="24"/>
                <w:szCs w:val="22"/>
              </w:rPr>
              <w:t>采用水基钻井液，钻井过程中采用套管与土壤隔离，并在套管与地层之间注入水泥进行固井，水泥浆返至地面，封隔疏松地层和水层，确保固井质量合格。</w:t>
            </w:r>
          </w:p>
          <w:p>
            <w:pPr>
              <w:adjustRightInd w:val="0"/>
              <w:snapToGrid w:val="0"/>
              <w:spacing w:line="360" w:lineRule="auto"/>
              <w:ind w:firstLine="480" w:firstLineChars="200"/>
              <w:jc w:val="both"/>
              <w:rPr>
                <w:rFonts w:ascii="Times New Roman" w:hAnsi="Times New Roman"/>
                <w:color w:val="auto"/>
                <w:kern w:val="0"/>
                <w:sz w:val="24"/>
                <w:szCs w:val="22"/>
              </w:rPr>
            </w:pPr>
            <w:r>
              <w:rPr>
                <w:rFonts w:hint="eastAsia" w:ascii="宋体" w:hAnsi="宋体" w:cs="宋体"/>
                <w:color w:val="auto"/>
                <w:kern w:val="0"/>
                <w:sz w:val="24"/>
              </w:rPr>
              <w:t>②</w:t>
            </w:r>
            <w:r>
              <w:rPr>
                <w:rFonts w:ascii="Times New Roman" w:hAnsi="Times New Roman"/>
                <w:color w:val="auto"/>
                <w:kern w:val="0"/>
                <w:sz w:val="24"/>
              </w:rPr>
              <w:t>施工期间钻井井场内的</w:t>
            </w:r>
            <w:r>
              <w:rPr>
                <w:rFonts w:ascii="Times New Roman" w:hAnsi="Times New Roman"/>
                <w:color w:val="auto"/>
                <w:sz w:val="24"/>
              </w:rPr>
              <w:t>井口区地面</w:t>
            </w:r>
            <w:r>
              <w:rPr>
                <w:rFonts w:hint="eastAsia" w:ascii="Times New Roman" w:hAnsi="Times New Roman"/>
                <w:color w:val="auto"/>
                <w:sz w:val="24"/>
              </w:rPr>
              <w:t>、</w:t>
            </w:r>
            <w:r>
              <w:rPr>
                <w:rFonts w:ascii="Times New Roman" w:hAnsi="Times New Roman"/>
                <w:color w:val="auto"/>
                <w:sz w:val="24"/>
              </w:rPr>
              <w:t>放喷池池底及池壁</w:t>
            </w:r>
            <w:r>
              <w:rPr>
                <w:rFonts w:hint="eastAsia" w:ascii="Times New Roman" w:hAnsi="Times New Roman"/>
                <w:color w:val="auto"/>
                <w:sz w:val="24"/>
              </w:rPr>
              <w:t>、</w:t>
            </w:r>
            <w:r>
              <w:rPr>
                <w:rFonts w:ascii="Times New Roman" w:hAnsi="Times New Roman"/>
                <w:color w:val="auto"/>
                <w:sz w:val="24"/>
              </w:rPr>
              <w:t>泥浆循环系统区域地面</w:t>
            </w:r>
            <w:r>
              <w:rPr>
                <w:rFonts w:hint="eastAsia" w:ascii="Times New Roman" w:hAnsi="Times New Roman"/>
                <w:color w:val="auto"/>
                <w:sz w:val="24"/>
              </w:rPr>
              <w:t>、柴油机、发电机房、柴油桶区、废油桶、岩屑收集罐存放处</w:t>
            </w:r>
            <w:r>
              <w:rPr>
                <w:rFonts w:ascii="Times New Roman" w:hAnsi="Times New Roman"/>
                <w:color w:val="auto"/>
                <w:kern w:val="0"/>
                <w:sz w:val="24"/>
              </w:rPr>
              <w:t>均铺设HDPE防渗膜，岩屑堆场周边建设防溢流围堰。</w:t>
            </w:r>
          </w:p>
          <w:p>
            <w:pPr>
              <w:adjustRightInd w:val="0"/>
              <w:snapToGrid w:val="0"/>
              <w:spacing w:line="360" w:lineRule="auto"/>
              <w:ind w:firstLine="480" w:firstLineChars="200"/>
              <w:jc w:val="both"/>
              <w:rPr>
                <w:rFonts w:ascii="Times New Roman" w:hAnsi="Times New Roman"/>
                <w:color w:val="auto"/>
                <w:kern w:val="0"/>
                <w:sz w:val="24"/>
                <w:szCs w:val="22"/>
                <w:lang w:bidi="ar"/>
              </w:rPr>
            </w:pPr>
            <w:r>
              <w:rPr>
                <w:rFonts w:hint="eastAsia" w:ascii="宋体" w:hAnsi="宋体" w:cs="宋体"/>
                <w:color w:val="auto"/>
                <w:kern w:val="0"/>
                <w:sz w:val="24"/>
              </w:rPr>
              <w:t>③钻井废水随泥浆全部进入井场泥浆不落地系统，经分离处理后，全部综合利用。</w:t>
            </w:r>
            <w:r>
              <w:rPr>
                <w:rFonts w:ascii="Times New Roman" w:hAnsi="Times New Roman"/>
                <w:color w:val="auto"/>
                <w:kern w:val="0"/>
                <w:sz w:val="24"/>
              </w:rPr>
              <w:t>管道试压废水产生量较小，主要污染物为SS，</w:t>
            </w:r>
            <w:r>
              <w:rPr>
                <w:rFonts w:ascii="Times New Roman" w:hAnsi="Times New Roman"/>
                <w:color w:val="auto"/>
                <w:kern w:val="0"/>
                <w:sz w:val="24"/>
                <w:szCs w:val="22"/>
                <w:lang w:bidi="ar"/>
              </w:rPr>
              <w:t>用于项目区的洒水抑尘。</w:t>
            </w:r>
          </w:p>
          <w:p>
            <w:pPr>
              <w:spacing w:line="360" w:lineRule="auto"/>
              <w:ind w:firstLine="480" w:firstLineChars="200"/>
              <w:jc w:val="both"/>
              <w:rPr>
                <w:rFonts w:ascii="Times New Roman" w:hAnsi="Times New Roman"/>
                <w:color w:val="auto"/>
                <w:kern w:val="0"/>
                <w:sz w:val="24"/>
                <w:szCs w:val="22"/>
              </w:rPr>
            </w:pPr>
            <w:r>
              <w:rPr>
                <w:rFonts w:hint="eastAsia" w:ascii="宋体" w:hAnsi="宋体" w:cs="宋体"/>
                <w:color w:val="auto"/>
                <w:kern w:val="0"/>
                <w:sz w:val="24"/>
                <w:szCs w:val="22"/>
              </w:rPr>
              <w:t>④</w:t>
            </w:r>
            <w:r>
              <w:rPr>
                <w:rFonts w:ascii="Times New Roman" w:hAnsi="Times New Roman"/>
                <w:color w:val="auto"/>
                <w:kern w:val="0"/>
                <w:sz w:val="24"/>
                <w:szCs w:val="22"/>
              </w:rPr>
              <w:t>项目产生的污染物应妥善处置，施工结束后井场禁止遗弃废弃物。</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lang w:bidi="ar"/>
              </w:rPr>
              <w:t>（2）</w:t>
            </w:r>
            <w:r>
              <w:rPr>
                <w:rFonts w:ascii="Times New Roman" w:hAnsi="Times New Roman"/>
                <w:color w:val="auto"/>
                <w:sz w:val="24"/>
              </w:rPr>
              <w:t>运营期水污染防治措施</w:t>
            </w:r>
          </w:p>
          <w:p>
            <w:pPr>
              <w:spacing w:line="360" w:lineRule="auto"/>
              <w:ind w:firstLine="480" w:firstLineChars="200"/>
              <w:jc w:val="both"/>
              <w:rPr>
                <w:rFonts w:ascii="Times New Roman" w:hAnsi="Times New Roman"/>
                <w:color w:val="auto"/>
                <w:sz w:val="24"/>
              </w:rPr>
            </w:pPr>
            <w:r>
              <w:rPr>
                <w:rFonts w:hint="eastAsia" w:ascii="宋体" w:hAnsi="宋体" w:cs="宋体"/>
                <w:color w:val="auto"/>
                <w:sz w:val="24"/>
              </w:rPr>
              <w:t>①</w:t>
            </w:r>
            <w:r>
              <w:rPr>
                <w:rFonts w:ascii="Times New Roman" w:hAnsi="Times New Roman"/>
                <w:color w:val="auto"/>
                <w:sz w:val="24"/>
              </w:rPr>
              <w:t>井下作业废水由罐车拉运至春光联合站采出水处理系统处理，处理后的净化水用于油田注水。</w:t>
            </w:r>
          </w:p>
          <w:p>
            <w:pPr>
              <w:spacing w:line="360" w:lineRule="auto"/>
              <w:ind w:firstLine="480" w:firstLineChars="200"/>
              <w:jc w:val="both"/>
              <w:rPr>
                <w:rFonts w:ascii="Times New Roman" w:hAnsi="Times New Roman"/>
                <w:color w:val="auto"/>
                <w:sz w:val="24"/>
              </w:rPr>
            </w:pPr>
            <w:r>
              <w:rPr>
                <w:rFonts w:hint="eastAsia" w:ascii="宋体" w:hAnsi="宋体" w:cs="宋体"/>
                <w:color w:val="auto"/>
                <w:sz w:val="24"/>
              </w:rPr>
              <w:t>②</w:t>
            </w:r>
            <w:r>
              <w:rPr>
                <w:rFonts w:ascii="Times New Roman" w:hAnsi="Times New Roman"/>
                <w:color w:val="auto"/>
                <w:sz w:val="24"/>
              </w:rPr>
              <w:t>定期对井场的设备、阀门及抽油机进行检查，一旦发现异常，及时采取措施，防止原油“跑、冒、滴、漏”的发生。</w:t>
            </w:r>
          </w:p>
          <w:p>
            <w:pPr>
              <w:spacing w:line="360" w:lineRule="auto"/>
              <w:ind w:firstLine="480" w:firstLineChars="200"/>
              <w:jc w:val="both"/>
              <w:rPr>
                <w:rFonts w:ascii="Times New Roman" w:hAnsi="Times New Roman"/>
                <w:color w:val="auto"/>
                <w:sz w:val="24"/>
              </w:rPr>
            </w:pPr>
            <w:r>
              <w:rPr>
                <w:rFonts w:hint="eastAsia" w:ascii="宋体" w:hAnsi="宋体" w:cs="宋体"/>
                <w:color w:val="auto"/>
                <w:sz w:val="24"/>
              </w:rPr>
              <w:t>③</w:t>
            </w:r>
            <w:r>
              <w:rPr>
                <w:rFonts w:ascii="Times New Roman" w:hAnsi="Times New Roman"/>
                <w:color w:val="auto"/>
                <w:sz w:val="24"/>
              </w:rPr>
              <w:t>采用高质量的输送管道，防止油水泄漏；管线埋设严格遵守相关规定，埋至冻土层以下，并对管线进行防腐保温等保护措施；定期对输油管道进行检查，一旦发现异常，及时更换，尽量杜绝“跑、冒、滴、漏”的发生，并随时做好抢修准备，加强抢修队伍的训练和工作演练。</w:t>
            </w:r>
          </w:p>
          <w:p>
            <w:pPr>
              <w:spacing w:line="360" w:lineRule="auto"/>
              <w:ind w:firstLine="480" w:firstLineChars="200"/>
              <w:jc w:val="both"/>
              <w:rPr>
                <w:rFonts w:ascii="Times New Roman" w:hAnsi="Times New Roman"/>
                <w:color w:val="auto"/>
                <w:sz w:val="24"/>
              </w:rPr>
            </w:pPr>
            <w:r>
              <w:rPr>
                <w:rFonts w:hint="eastAsia" w:ascii="宋体" w:hAnsi="宋体" w:cs="宋体"/>
                <w:color w:val="auto"/>
                <w:sz w:val="24"/>
              </w:rPr>
              <w:t>④</w:t>
            </w:r>
            <w:r>
              <w:rPr>
                <w:rFonts w:ascii="Times New Roman" w:hAnsi="Times New Roman"/>
                <w:color w:val="auto"/>
                <w:sz w:val="24"/>
              </w:rPr>
              <w:t>定期对采油井的固井质量进行检查，若发现固井质量不合格，先查明固井质量不合格的原因，并及时采取一系列的修整措施，保证固井质量合格，防止发生油水窜层等事故。</w:t>
            </w:r>
          </w:p>
          <w:p>
            <w:pPr>
              <w:spacing w:line="360" w:lineRule="auto"/>
              <w:ind w:firstLine="480" w:firstLineChars="200"/>
              <w:jc w:val="both"/>
              <w:rPr>
                <w:rFonts w:ascii="Times New Roman" w:hAnsi="Times New Roman"/>
                <w:color w:val="auto"/>
                <w:sz w:val="24"/>
              </w:rPr>
            </w:pPr>
            <w:r>
              <w:rPr>
                <w:rFonts w:hint="eastAsia" w:ascii="宋体" w:hAnsi="宋体" w:cs="宋体"/>
                <w:color w:val="auto"/>
                <w:sz w:val="24"/>
              </w:rPr>
              <w:t>⑤</w:t>
            </w:r>
            <w:r>
              <w:rPr>
                <w:rFonts w:ascii="Times New Roman" w:hAnsi="Times New Roman"/>
                <w:color w:val="auto"/>
                <w:sz w:val="24"/>
              </w:rPr>
              <w:t>修井作业时，要严格加强防污染措施。起油管前要打开泄油器，管内油水进入废液罐，蒸汽吹扫油管、油杆的污油、污水等全部回收至废液罐回收，严禁流入井场。</w:t>
            </w:r>
          </w:p>
          <w:p>
            <w:pPr>
              <w:pStyle w:val="48"/>
              <w:spacing w:line="360" w:lineRule="auto"/>
              <w:ind w:firstLine="480" w:firstLineChars="0"/>
              <w:jc w:val="both"/>
              <w:rPr>
                <w:rFonts w:ascii="Times New Roman" w:hAnsi="Times New Roman"/>
                <w:color w:val="auto"/>
              </w:rPr>
            </w:pPr>
            <w:r>
              <w:rPr>
                <w:rFonts w:hint="eastAsia" w:cs="宋体"/>
                <w:color w:val="auto"/>
              </w:rPr>
              <w:t>⑥</w:t>
            </w:r>
            <w:r>
              <w:rPr>
                <w:rFonts w:ascii="Times New Roman" w:hAnsi="Times New Roman"/>
                <w:color w:val="auto"/>
              </w:rPr>
              <w:t>禁止向水域倾倒井下作业废水。</w:t>
            </w:r>
          </w:p>
          <w:p>
            <w:pPr>
              <w:pStyle w:val="48"/>
              <w:spacing w:line="360" w:lineRule="auto"/>
              <w:ind w:firstLine="480"/>
              <w:jc w:val="both"/>
              <w:rPr>
                <w:rFonts w:ascii="Times New Roman" w:hAnsi="Times New Roman"/>
                <w:bCs/>
                <w:color w:val="auto"/>
              </w:rPr>
            </w:pPr>
            <w:r>
              <w:rPr>
                <w:rFonts w:ascii="Times New Roman" w:hAnsi="Times New Roman"/>
                <w:bCs/>
                <w:color w:val="auto"/>
              </w:rPr>
              <w:t>（3）</w:t>
            </w:r>
            <w:r>
              <w:rPr>
                <w:rFonts w:hint="eastAsia" w:ascii="Times New Roman" w:hAnsi="Times New Roman"/>
                <w:bCs/>
                <w:color w:val="auto"/>
              </w:rPr>
              <w:t>闭井</w:t>
            </w:r>
            <w:r>
              <w:rPr>
                <w:rFonts w:ascii="Times New Roman" w:hAnsi="Times New Roman"/>
                <w:bCs/>
                <w:color w:val="auto"/>
              </w:rPr>
              <w:t>期水环境保护措施</w:t>
            </w:r>
          </w:p>
          <w:p>
            <w:pPr>
              <w:spacing w:line="360" w:lineRule="auto"/>
              <w:ind w:firstLine="480" w:firstLineChars="200"/>
              <w:jc w:val="both"/>
              <w:rPr>
                <w:rFonts w:ascii="Times New Roman" w:hAnsi="Times New Roman"/>
                <w:bCs/>
                <w:color w:val="auto"/>
                <w:kern w:val="0"/>
                <w:sz w:val="24"/>
              </w:rPr>
            </w:pPr>
            <w:r>
              <w:rPr>
                <w:rFonts w:ascii="Times New Roman" w:hAnsi="Times New Roman"/>
                <w:bCs/>
                <w:color w:val="auto"/>
                <w:kern w:val="0"/>
                <w:sz w:val="24"/>
              </w:rPr>
              <w:t>对完成采油的废弃井应封堵，拆除进口装置，截去地下1m内管头，保证对各类废弃井采取的固井、封井措施有效可行，防止发生油水窜层，污染地下水资源。</w:t>
            </w:r>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5、水环境影响评价结论</w:t>
            </w:r>
          </w:p>
          <w:p>
            <w:pPr>
              <w:pStyle w:val="48"/>
              <w:adjustRightInd w:val="0"/>
              <w:spacing w:line="360" w:lineRule="auto"/>
              <w:ind w:firstLine="480"/>
              <w:jc w:val="both"/>
              <w:rPr>
                <w:rFonts w:ascii="Times New Roman" w:hAnsi="Times New Roman"/>
                <w:color w:val="auto"/>
              </w:rPr>
            </w:pPr>
            <w:r>
              <w:rPr>
                <w:rFonts w:ascii="Times New Roman" w:hAnsi="Times New Roman"/>
                <w:color w:val="auto"/>
              </w:rPr>
              <w:t>本项目施工期和运营期产生的废水均得到妥善处置，正常情况下不会对地下水产生不利影响。发生管线、储罐泄漏等事故时，立即采取相应的应急措施并启动突发环境风险应急预案，对水环境的影响较小。</w:t>
            </w:r>
          </w:p>
          <w:p>
            <w:pPr>
              <w:pStyle w:val="48"/>
              <w:adjustRightInd w:val="0"/>
              <w:spacing w:line="360" w:lineRule="auto"/>
              <w:ind w:firstLine="480"/>
              <w:jc w:val="both"/>
              <w:rPr>
                <w:rFonts w:ascii="Times New Roman" w:hAnsi="Times New Roman"/>
                <w:color w:val="auto"/>
              </w:rPr>
            </w:pPr>
          </w:p>
          <w:p>
            <w:pPr>
              <w:pStyle w:val="48"/>
              <w:adjustRightInd w:val="0"/>
              <w:spacing w:line="360" w:lineRule="auto"/>
              <w:ind w:firstLine="480"/>
              <w:jc w:val="both"/>
              <w:rPr>
                <w:rFonts w:ascii="Times New Roman" w:hAnsi="Times New Roman"/>
                <w:color w:val="auto"/>
              </w:rPr>
            </w:pPr>
          </w:p>
          <w:p>
            <w:pPr>
              <w:pStyle w:val="48"/>
              <w:adjustRightInd w:val="0"/>
              <w:spacing w:line="360" w:lineRule="auto"/>
              <w:ind w:firstLine="480"/>
              <w:jc w:val="both"/>
              <w:rPr>
                <w:rFonts w:ascii="Times New Roman" w:hAnsi="Times New Roman"/>
                <w:color w:val="auto"/>
              </w:rPr>
            </w:pPr>
          </w:p>
          <w:p>
            <w:pPr>
              <w:pStyle w:val="48"/>
              <w:adjustRightInd w:val="0"/>
              <w:spacing w:line="360" w:lineRule="auto"/>
              <w:ind w:firstLine="480"/>
              <w:jc w:val="both"/>
              <w:rPr>
                <w:rFonts w:ascii="Times New Roman" w:hAnsi="Times New Roman"/>
                <w:color w:val="auto"/>
              </w:rPr>
            </w:pPr>
          </w:p>
          <w:p>
            <w:pPr>
              <w:pStyle w:val="48"/>
              <w:adjustRightInd w:val="0"/>
              <w:spacing w:line="360" w:lineRule="auto"/>
              <w:ind w:firstLine="480"/>
              <w:jc w:val="both"/>
              <w:rPr>
                <w:rFonts w:ascii="Times New Roman" w:hAnsi="Times New Roman"/>
                <w:color w:val="auto"/>
              </w:rPr>
            </w:pPr>
          </w:p>
          <w:p>
            <w:pPr>
              <w:pStyle w:val="48"/>
              <w:adjustRightInd w:val="0"/>
              <w:spacing w:line="360" w:lineRule="auto"/>
              <w:ind w:firstLine="480"/>
              <w:jc w:val="both"/>
              <w:rPr>
                <w:rFonts w:ascii="Times New Roman" w:hAnsi="Times New Roman"/>
                <w:color w:val="auto"/>
              </w:rPr>
            </w:pPr>
          </w:p>
          <w:p>
            <w:pPr>
              <w:pStyle w:val="48"/>
              <w:adjustRightInd w:val="0"/>
              <w:spacing w:line="360" w:lineRule="auto"/>
              <w:ind w:firstLine="480"/>
              <w:jc w:val="both"/>
              <w:rPr>
                <w:rFonts w:ascii="Times New Roman" w:hAnsi="Times New Roman"/>
                <w:color w:val="auto"/>
              </w:rPr>
            </w:pPr>
          </w:p>
          <w:p>
            <w:pPr>
              <w:pStyle w:val="48"/>
              <w:adjustRightInd w:val="0"/>
              <w:spacing w:line="360" w:lineRule="auto"/>
              <w:ind w:firstLine="0" w:firstLineChars="0"/>
              <w:jc w:val="both"/>
              <w:rPr>
                <w:rFonts w:ascii="Times New Roman" w:hAnsi="Times New Roman"/>
                <w:color w:val="auto"/>
              </w:rPr>
            </w:pPr>
          </w:p>
          <w:p>
            <w:pPr>
              <w:pStyle w:val="48"/>
              <w:adjustRightInd w:val="0"/>
              <w:spacing w:line="360" w:lineRule="auto"/>
              <w:ind w:firstLine="0" w:firstLineChars="0"/>
              <w:jc w:val="both"/>
              <w:rPr>
                <w:rFonts w:ascii="Times New Roman" w:hAnsi="Times New Roman"/>
                <w:color w:val="auto"/>
              </w:rPr>
            </w:pPr>
          </w:p>
        </w:tc>
      </w:tr>
    </w:tbl>
    <w:p>
      <w:pPr>
        <w:pStyle w:val="217"/>
        <w:ind w:firstLine="198"/>
        <w:outlineLvl w:val="0"/>
        <w:rPr>
          <w:sz w:val="24"/>
          <w:szCs w:val="24"/>
        </w:rPr>
      </w:pPr>
      <w:bookmarkStart w:id="47" w:name="_Toc517976532"/>
      <w:bookmarkStart w:id="48" w:name="_Toc523152305"/>
      <w:bookmarkStart w:id="49" w:name="_Toc522046645"/>
      <w:r>
        <w:rPr>
          <w:rFonts w:hint="eastAsia"/>
          <w:sz w:val="24"/>
          <w:szCs w:val="24"/>
        </w:rPr>
        <w:t>环境风险</w:t>
      </w:r>
      <w:bookmarkEnd w:id="47"/>
      <w:bookmarkEnd w:id="48"/>
      <w:bookmarkEnd w:id="49"/>
      <w:r>
        <w:rPr>
          <w:rFonts w:hint="eastAsia"/>
          <w:sz w:val="24"/>
          <w:szCs w:val="24"/>
        </w:rPr>
        <w:t>专项评价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73" w:hRule="atLeast"/>
        </w:trPr>
        <w:tc>
          <w:tcPr>
            <w:tcW w:w="9464" w:type="dxa"/>
          </w:tcPr>
          <w:p>
            <w:pPr>
              <w:adjustRightInd w:val="0"/>
              <w:snapToGrid w:val="0"/>
              <w:spacing w:line="500" w:lineRule="exact"/>
              <w:ind w:firstLine="482" w:firstLineChars="200"/>
              <w:jc w:val="both"/>
              <w:rPr>
                <w:rFonts w:ascii="Times New Roman" w:hAnsi="Times New Roman"/>
                <w:b/>
                <w:bCs/>
                <w:color w:val="auto"/>
                <w:sz w:val="24"/>
              </w:rPr>
            </w:pPr>
            <w:r>
              <w:rPr>
                <w:rFonts w:ascii="Times New Roman" w:hAnsi="Times New Roman"/>
                <w:b/>
                <w:bCs/>
                <w:color w:val="auto"/>
                <w:sz w:val="24"/>
              </w:rPr>
              <w:t>1</w:t>
            </w:r>
            <w:r>
              <w:rPr>
                <w:rFonts w:hint="eastAsia" w:ascii="Times New Roman" w:hAnsi="Times New Roman"/>
                <w:b/>
                <w:bCs/>
                <w:color w:val="auto"/>
                <w:sz w:val="24"/>
              </w:rPr>
              <w:t>．</w:t>
            </w:r>
            <w:r>
              <w:rPr>
                <w:rFonts w:ascii="Times New Roman" w:hAnsi="Times New Roman"/>
                <w:b/>
                <w:bCs/>
                <w:color w:val="auto"/>
                <w:sz w:val="24"/>
              </w:rPr>
              <w:t>环境风险评价等级</w:t>
            </w:r>
          </w:p>
          <w:p>
            <w:pPr>
              <w:pStyle w:val="48"/>
              <w:adjustRightInd w:val="0"/>
              <w:spacing w:line="360" w:lineRule="auto"/>
              <w:ind w:firstLine="480"/>
              <w:jc w:val="both"/>
              <w:rPr>
                <w:rFonts w:ascii="Times New Roman" w:hAnsi="Times New Roman"/>
                <w:color w:val="auto"/>
              </w:rPr>
            </w:pPr>
            <w:r>
              <w:rPr>
                <w:rFonts w:ascii="Times New Roman" w:hAnsi="Times New Roman"/>
                <w:color w:val="auto"/>
              </w:rPr>
              <w:t>（1）风险潜势判定</w:t>
            </w:r>
          </w:p>
          <w:p>
            <w:pPr>
              <w:pStyle w:val="48"/>
              <w:adjustRightInd w:val="0"/>
              <w:spacing w:line="360" w:lineRule="auto"/>
              <w:ind w:firstLine="480"/>
              <w:jc w:val="both"/>
              <w:rPr>
                <w:rFonts w:ascii="Times New Roman" w:hAnsi="Times New Roman"/>
                <w:color w:val="auto"/>
              </w:rPr>
            </w:pPr>
            <w:r>
              <w:rPr>
                <w:rFonts w:hint="eastAsia" w:ascii="Times New Roman" w:hAnsi="Times New Roman"/>
                <w:color w:val="auto"/>
              </w:rPr>
              <w:t>根据《建设项目环境风险评价技术导则》（HJ 169-2018）附录 B，</w:t>
            </w:r>
            <w:r>
              <w:rPr>
                <w:rFonts w:ascii="Times New Roman" w:hAnsi="Times New Roman"/>
                <w:color w:val="auto"/>
              </w:rPr>
              <w:t>本项目涉及的风险物质为原油和柴油，本次评价施工期的风险单元为钻井井场，涉及的危险物质为柴油。运营期的风险单元为密闭集输管网，涉及的危险物质为原油。</w:t>
            </w:r>
          </w:p>
          <w:p>
            <w:pPr>
              <w:spacing w:line="360" w:lineRule="auto"/>
              <w:ind w:firstLine="480" w:firstLineChars="200"/>
              <w:jc w:val="both"/>
              <w:rPr>
                <w:rFonts w:ascii="Times New Roman" w:hAnsi="Times New Roman"/>
                <w:snapToGrid w:val="0"/>
                <w:color w:val="auto"/>
                <w:sz w:val="24"/>
              </w:rPr>
            </w:pPr>
            <w:r>
              <w:rPr>
                <w:rFonts w:ascii="Times New Roman" w:hAnsi="Times New Roman"/>
                <w:snapToGrid w:val="0"/>
                <w:color w:val="auto"/>
                <w:sz w:val="24"/>
              </w:rPr>
              <w:t>根据HJ169-2018附录C，按下式计算本项目涉及的危险物质总量与其临界量比值（</w:t>
            </w:r>
            <w:r>
              <w:rPr>
                <w:rFonts w:ascii="Times New Roman" w:hAnsi="Times New Roman"/>
                <w:i/>
                <w:snapToGrid w:val="0"/>
                <w:color w:val="auto"/>
                <w:sz w:val="24"/>
              </w:rPr>
              <w:t>Q</w:t>
            </w:r>
            <w:r>
              <w:rPr>
                <w:rFonts w:ascii="Times New Roman" w:hAnsi="Times New Roman"/>
                <w:snapToGrid w:val="0"/>
                <w:color w:val="auto"/>
                <w:sz w:val="24"/>
              </w:rPr>
              <w:t>）：</w:t>
            </w:r>
          </w:p>
          <w:p>
            <w:pPr>
              <w:spacing w:line="360" w:lineRule="auto"/>
              <w:ind w:firstLine="540" w:firstLineChars="225"/>
              <w:jc w:val="center"/>
              <w:rPr>
                <w:rFonts w:ascii="Times New Roman" w:hAnsi="Times New Roman"/>
                <w:snapToGrid w:val="0"/>
                <w:color w:val="auto"/>
                <w:sz w:val="24"/>
              </w:rPr>
            </w:pPr>
            <w:r>
              <w:rPr>
                <w:rFonts w:ascii="Times New Roman" w:hAnsi="Times New Roman"/>
                <w:color w:val="auto"/>
                <w:sz w:val="24"/>
              </w:rPr>
              <w:drawing>
                <wp:inline distT="0" distB="0" distL="114300" distR="114300">
                  <wp:extent cx="1960245" cy="519430"/>
                  <wp:effectExtent l="0" t="0" r="1905" b="139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38">
                            <a:lum/>
                          </a:blip>
                          <a:stretch>
                            <a:fillRect/>
                          </a:stretch>
                        </pic:blipFill>
                        <pic:spPr>
                          <a:xfrm>
                            <a:off x="0" y="0"/>
                            <a:ext cx="1960245" cy="519430"/>
                          </a:xfrm>
                          <a:prstGeom prst="rect">
                            <a:avLst/>
                          </a:prstGeom>
                          <a:noFill/>
                          <a:ln>
                            <a:noFill/>
                          </a:ln>
                        </pic:spPr>
                      </pic:pic>
                    </a:graphicData>
                  </a:graphic>
                </wp:inline>
              </w:drawing>
            </w:r>
          </w:p>
          <w:p>
            <w:pPr>
              <w:spacing w:line="360" w:lineRule="auto"/>
              <w:ind w:firstLine="540" w:firstLineChars="225"/>
              <w:rPr>
                <w:rFonts w:ascii="Times New Roman" w:hAnsi="Times New Roman"/>
                <w:snapToGrid w:val="0"/>
                <w:color w:val="auto"/>
                <w:sz w:val="24"/>
              </w:rPr>
            </w:pPr>
            <w:r>
              <w:rPr>
                <w:rFonts w:ascii="Times New Roman" w:hAnsi="Times New Roman"/>
                <w:snapToGrid w:val="0"/>
                <w:color w:val="auto"/>
                <w:sz w:val="24"/>
              </w:rPr>
              <w:t>式中：</w:t>
            </w:r>
            <w:r>
              <w:rPr>
                <w:rFonts w:ascii="Times New Roman" w:hAnsi="Times New Roman"/>
                <w:i/>
                <w:snapToGrid w:val="0"/>
                <w:color w:val="auto"/>
                <w:sz w:val="24"/>
              </w:rPr>
              <w:t>q</w:t>
            </w:r>
            <w:r>
              <w:rPr>
                <w:rFonts w:ascii="Times New Roman" w:hAnsi="Times New Roman"/>
                <w:i/>
                <w:snapToGrid w:val="0"/>
                <w:color w:val="auto"/>
                <w:sz w:val="24"/>
                <w:vertAlign w:val="subscript"/>
              </w:rPr>
              <w:t>1</w:t>
            </w:r>
            <w:r>
              <w:rPr>
                <w:rFonts w:ascii="Times New Roman" w:hAnsi="Times New Roman"/>
                <w:i/>
                <w:snapToGrid w:val="0"/>
                <w:color w:val="auto"/>
                <w:sz w:val="24"/>
              </w:rPr>
              <w:t>，q</w:t>
            </w:r>
            <w:r>
              <w:rPr>
                <w:rFonts w:ascii="Times New Roman" w:hAnsi="Times New Roman"/>
                <w:i/>
                <w:snapToGrid w:val="0"/>
                <w:color w:val="auto"/>
                <w:sz w:val="24"/>
                <w:vertAlign w:val="subscript"/>
              </w:rPr>
              <w:t>2</w:t>
            </w:r>
            <w:r>
              <w:rPr>
                <w:rFonts w:ascii="Times New Roman" w:hAnsi="Times New Roman"/>
                <w:i/>
                <w:snapToGrid w:val="0"/>
                <w:color w:val="auto"/>
                <w:sz w:val="24"/>
              </w:rPr>
              <w:t>，...，q</w:t>
            </w:r>
            <w:r>
              <w:rPr>
                <w:rFonts w:ascii="Times New Roman" w:hAnsi="Times New Roman"/>
                <w:i/>
                <w:snapToGrid w:val="0"/>
                <w:color w:val="auto"/>
                <w:sz w:val="24"/>
                <w:vertAlign w:val="subscript"/>
              </w:rPr>
              <w:t>n</w:t>
            </w:r>
            <w:r>
              <w:rPr>
                <w:rFonts w:ascii="Times New Roman" w:hAnsi="Times New Roman"/>
                <w:snapToGrid w:val="0"/>
                <w:color w:val="auto"/>
                <w:sz w:val="24"/>
              </w:rPr>
              <w:t>——每种危险物质的最大存在总量，t；</w:t>
            </w:r>
          </w:p>
          <w:p>
            <w:pPr>
              <w:spacing w:line="360" w:lineRule="auto"/>
              <w:ind w:firstLine="1260" w:firstLineChars="525"/>
              <w:rPr>
                <w:rFonts w:ascii="Times New Roman" w:hAnsi="Times New Roman"/>
                <w:snapToGrid w:val="0"/>
                <w:color w:val="auto"/>
                <w:sz w:val="24"/>
              </w:rPr>
            </w:pPr>
            <w:r>
              <w:rPr>
                <w:rFonts w:ascii="Times New Roman" w:hAnsi="Times New Roman"/>
                <w:i/>
                <w:snapToGrid w:val="0"/>
                <w:color w:val="auto"/>
                <w:sz w:val="24"/>
              </w:rPr>
              <w:t>Q</w:t>
            </w:r>
            <w:r>
              <w:rPr>
                <w:rFonts w:ascii="Times New Roman" w:hAnsi="Times New Roman"/>
                <w:i/>
                <w:snapToGrid w:val="0"/>
                <w:color w:val="auto"/>
                <w:sz w:val="24"/>
                <w:vertAlign w:val="subscript"/>
              </w:rPr>
              <w:t>1</w:t>
            </w:r>
            <w:r>
              <w:rPr>
                <w:rFonts w:ascii="Times New Roman" w:hAnsi="Times New Roman"/>
                <w:i/>
                <w:snapToGrid w:val="0"/>
                <w:color w:val="auto"/>
                <w:sz w:val="24"/>
              </w:rPr>
              <w:t>，Q</w:t>
            </w:r>
            <w:r>
              <w:rPr>
                <w:rFonts w:ascii="Times New Roman" w:hAnsi="Times New Roman"/>
                <w:i/>
                <w:snapToGrid w:val="0"/>
                <w:color w:val="auto"/>
                <w:sz w:val="24"/>
                <w:vertAlign w:val="subscript"/>
              </w:rPr>
              <w:t>2</w:t>
            </w:r>
            <w:r>
              <w:rPr>
                <w:rFonts w:ascii="Times New Roman" w:hAnsi="Times New Roman"/>
                <w:i/>
                <w:snapToGrid w:val="0"/>
                <w:color w:val="auto"/>
                <w:sz w:val="24"/>
              </w:rPr>
              <w:t>，...，Q</w:t>
            </w:r>
            <w:r>
              <w:rPr>
                <w:rFonts w:ascii="Times New Roman" w:hAnsi="Times New Roman"/>
                <w:i/>
                <w:snapToGrid w:val="0"/>
                <w:color w:val="auto"/>
                <w:sz w:val="24"/>
                <w:vertAlign w:val="subscript"/>
              </w:rPr>
              <w:t>n</w:t>
            </w:r>
            <w:r>
              <w:rPr>
                <w:rFonts w:ascii="Times New Roman" w:hAnsi="Times New Roman"/>
                <w:snapToGrid w:val="0"/>
                <w:color w:val="auto"/>
                <w:sz w:val="24"/>
              </w:rPr>
              <w:t>——每种危险物质的临界量，t。</w:t>
            </w:r>
          </w:p>
          <w:p>
            <w:pPr>
              <w:spacing w:line="360" w:lineRule="auto"/>
              <w:ind w:firstLine="480" w:firstLineChars="200"/>
              <w:rPr>
                <w:rFonts w:ascii="Times New Roman" w:hAnsi="Times New Roman"/>
                <w:snapToGrid w:val="0"/>
                <w:color w:val="auto"/>
                <w:sz w:val="24"/>
              </w:rPr>
            </w:pPr>
            <w:r>
              <w:rPr>
                <w:rFonts w:ascii="Times New Roman" w:hAnsi="Times New Roman"/>
                <w:snapToGrid w:val="0"/>
                <w:color w:val="auto"/>
                <w:sz w:val="24"/>
              </w:rPr>
              <w:t>当</w:t>
            </w:r>
            <w:bookmarkStart w:id="50" w:name="_Hlk44604092"/>
            <w:r>
              <w:rPr>
                <w:rFonts w:ascii="Times New Roman" w:hAnsi="Times New Roman"/>
                <w:i/>
                <w:snapToGrid w:val="0"/>
                <w:color w:val="auto"/>
                <w:sz w:val="24"/>
              </w:rPr>
              <w:t>Q</w:t>
            </w:r>
            <w:r>
              <w:rPr>
                <w:rFonts w:ascii="Times New Roman" w:hAnsi="Times New Roman"/>
                <w:snapToGrid w:val="0"/>
                <w:color w:val="auto"/>
                <w:sz w:val="24"/>
              </w:rPr>
              <w:t>＜1</w:t>
            </w:r>
            <w:bookmarkEnd w:id="50"/>
            <w:r>
              <w:rPr>
                <w:rFonts w:ascii="Times New Roman" w:hAnsi="Times New Roman"/>
                <w:snapToGrid w:val="0"/>
                <w:color w:val="auto"/>
                <w:sz w:val="24"/>
              </w:rPr>
              <w:t>时，该项目环境风险潜势为Ⅰ。当</w:t>
            </w:r>
            <w:r>
              <w:rPr>
                <w:rFonts w:ascii="Times New Roman" w:hAnsi="Times New Roman"/>
                <w:i/>
                <w:snapToGrid w:val="0"/>
                <w:color w:val="auto"/>
                <w:sz w:val="24"/>
              </w:rPr>
              <w:t>Q</w:t>
            </w:r>
            <w:r>
              <w:rPr>
                <w:rFonts w:ascii="Times New Roman" w:hAnsi="Times New Roman"/>
                <w:snapToGrid w:val="0"/>
                <w:color w:val="auto"/>
                <w:sz w:val="24"/>
              </w:rPr>
              <w:t>≥1时，将</w:t>
            </w:r>
            <w:r>
              <w:rPr>
                <w:rFonts w:ascii="Times New Roman" w:hAnsi="Times New Roman"/>
                <w:i/>
                <w:snapToGrid w:val="0"/>
                <w:color w:val="auto"/>
                <w:sz w:val="24"/>
              </w:rPr>
              <w:t>Q</w:t>
            </w:r>
            <w:r>
              <w:rPr>
                <w:rFonts w:ascii="Times New Roman" w:hAnsi="Times New Roman"/>
                <w:snapToGrid w:val="0"/>
                <w:color w:val="auto"/>
                <w:sz w:val="24"/>
              </w:rPr>
              <w:t>值划分为：（1）1≤</w:t>
            </w:r>
            <w:r>
              <w:rPr>
                <w:rFonts w:ascii="Times New Roman" w:hAnsi="Times New Roman"/>
                <w:i/>
                <w:snapToGrid w:val="0"/>
                <w:color w:val="auto"/>
                <w:sz w:val="24"/>
              </w:rPr>
              <w:t>Q</w:t>
            </w:r>
            <w:r>
              <w:rPr>
                <w:rFonts w:ascii="Times New Roman" w:hAnsi="Times New Roman"/>
                <w:snapToGrid w:val="0"/>
                <w:color w:val="auto"/>
                <w:sz w:val="24"/>
              </w:rPr>
              <w:t>＜10；（2）10≤</w:t>
            </w:r>
            <w:r>
              <w:rPr>
                <w:rFonts w:ascii="Times New Roman" w:hAnsi="Times New Roman"/>
                <w:i/>
                <w:snapToGrid w:val="0"/>
                <w:color w:val="auto"/>
                <w:sz w:val="24"/>
              </w:rPr>
              <w:t>Q</w:t>
            </w:r>
            <w:r>
              <w:rPr>
                <w:rFonts w:ascii="Times New Roman" w:hAnsi="Times New Roman"/>
                <w:snapToGrid w:val="0"/>
                <w:color w:val="auto"/>
                <w:sz w:val="24"/>
              </w:rPr>
              <w:t>＜100；（3）</w:t>
            </w:r>
            <w:r>
              <w:rPr>
                <w:rFonts w:ascii="Times New Roman" w:hAnsi="Times New Roman"/>
                <w:i/>
                <w:snapToGrid w:val="0"/>
                <w:color w:val="auto"/>
                <w:sz w:val="24"/>
              </w:rPr>
              <w:t>Q</w:t>
            </w:r>
            <w:r>
              <w:rPr>
                <w:rFonts w:ascii="Times New Roman" w:hAnsi="Times New Roman"/>
                <w:snapToGrid w:val="0"/>
                <w:color w:val="auto"/>
                <w:sz w:val="24"/>
              </w:rPr>
              <w:t>≥100。</w:t>
            </w:r>
          </w:p>
          <w:p>
            <w:pPr>
              <w:pStyle w:val="48"/>
              <w:adjustRightInd w:val="0"/>
              <w:snapToGrid w:val="0"/>
              <w:spacing w:line="360" w:lineRule="auto"/>
              <w:ind w:firstLine="480"/>
              <w:jc w:val="both"/>
              <w:rPr>
                <w:rFonts w:ascii="Times New Roman" w:hAnsi="Times New Roman"/>
                <w:color w:val="auto"/>
              </w:rPr>
            </w:pPr>
            <w:r>
              <w:rPr>
                <w:rFonts w:ascii="Times New Roman" w:hAnsi="Times New Roman"/>
                <w:color w:val="auto"/>
              </w:rPr>
              <w:t>计算各风险单元危险物质与临界量的比值（Q值）。各风险单元Q值计算结果详见下表。</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表1  本项目各风险单元Q值一览表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924"/>
              <w:gridCol w:w="1603"/>
              <w:gridCol w:w="1312"/>
              <w:gridCol w:w="1312"/>
              <w:gridCol w:w="1166"/>
              <w:gridCol w:w="98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8"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风险单元</w:t>
                  </w:r>
                </w:p>
              </w:tc>
              <w:tc>
                <w:tcPr>
                  <w:tcW w:w="96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危险物质名称</w:t>
                  </w:r>
                </w:p>
              </w:tc>
              <w:tc>
                <w:tcPr>
                  <w:tcW w:w="790"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危险物质</w:t>
                  </w:r>
                </w:p>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在线量（t）</w:t>
                  </w:r>
                </w:p>
              </w:tc>
              <w:tc>
                <w:tcPr>
                  <w:tcW w:w="790"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危险物质</w:t>
                  </w:r>
                </w:p>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临界量（t）</w:t>
                  </w:r>
                </w:p>
              </w:tc>
              <w:tc>
                <w:tcPr>
                  <w:tcW w:w="702"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Q值</w:t>
                  </w:r>
                </w:p>
              </w:tc>
              <w:tc>
                <w:tcPr>
                  <w:tcW w:w="596"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风险潜势等级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8"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井场（钻井期）</w:t>
                  </w:r>
                </w:p>
              </w:tc>
              <w:tc>
                <w:tcPr>
                  <w:tcW w:w="96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柴油</w:t>
                  </w:r>
                </w:p>
              </w:tc>
              <w:tc>
                <w:tcPr>
                  <w:tcW w:w="790"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20</w:t>
                  </w:r>
                </w:p>
              </w:tc>
              <w:tc>
                <w:tcPr>
                  <w:tcW w:w="790"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2500</w:t>
                  </w:r>
                </w:p>
              </w:tc>
              <w:tc>
                <w:tcPr>
                  <w:tcW w:w="702"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0.008</w:t>
                  </w:r>
                </w:p>
              </w:tc>
              <w:tc>
                <w:tcPr>
                  <w:tcW w:w="596"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58"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井场高架罐</w:t>
                  </w:r>
                </w:p>
              </w:tc>
              <w:tc>
                <w:tcPr>
                  <w:tcW w:w="96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原油</w:t>
                  </w:r>
                </w:p>
              </w:tc>
              <w:tc>
                <w:tcPr>
                  <w:tcW w:w="790" w:type="pct"/>
                  <w:shd w:val="clear" w:color="auto" w:fill="auto"/>
                  <w:vAlign w:val="center"/>
                </w:tcPr>
                <w:p>
                  <w:pPr>
                    <w:adjustRightInd w:val="0"/>
                    <w:snapToGrid w:val="0"/>
                    <w:spacing w:line="300" w:lineRule="exact"/>
                    <w:jc w:val="center"/>
                    <w:rPr>
                      <w:rFonts w:ascii="Times New Roman" w:hAnsi="Times New Roman"/>
                      <w:color w:val="auto"/>
                      <w:kern w:val="0"/>
                      <w:szCs w:val="21"/>
                      <w:highlight w:val="yellow"/>
                    </w:rPr>
                  </w:pPr>
                  <w:r>
                    <w:rPr>
                      <w:rFonts w:ascii="Times New Roman" w:hAnsi="Times New Roman"/>
                      <w:color w:val="auto"/>
                      <w:kern w:val="0"/>
                      <w:szCs w:val="21"/>
                    </w:rPr>
                    <w:t>48.29</w:t>
                  </w:r>
                </w:p>
              </w:tc>
              <w:tc>
                <w:tcPr>
                  <w:tcW w:w="790"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2500</w:t>
                  </w:r>
                </w:p>
              </w:tc>
              <w:tc>
                <w:tcPr>
                  <w:tcW w:w="702"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0.0193</w:t>
                  </w:r>
                </w:p>
              </w:tc>
              <w:tc>
                <w:tcPr>
                  <w:tcW w:w="596"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158"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单井集油管线</w:t>
                  </w:r>
                </w:p>
              </w:tc>
              <w:tc>
                <w:tcPr>
                  <w:tcW w:w="965"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原油</w:t>
                  </w:r>
                </w:p>
              </w:tc>
              <w:tc>
                <w:tcPr>
                  <w:tcW w:w="790" w:type="pct"/>
                  <w:shd w:val="clear" w:color="auto" w:fill="auto"/>
                  <w:vAlign w:val="center"/>
                </w:tcPr>
                <w:p>
                  <w:pPr>
                    <w:adjustRightInd w:val="0"/>
                    <w:snapToGrid w:val="0"/>
                    <w:spacing w:line="300" w:lineRule="exact"/>
                    <w:jc w:val="center"/>
                    <w:rPr>
                      <w:rFonts w:ascii="Times New Roman" w:hAnsi="Times New Roman"/>
                      <w:color w:val="auto"/>
                      <w:kern w:val="0"/>
                      <w:szCs w:val="21"/>
                      <w:highlight w:val="yellow"/>
                    </w:rPr>
                  </w:pPr>
                  <w:r>
                    <w:rPr>
                      <w:rFonts w:ascii="Times New Roman" w:hAnsi="Times New Roman"/>
                      <w:color w:val="auto"/>
                      <w:kern w:val="0"/>
                      <w:szCs w:val="21"/>
                    </w:rPr>
                    <w:t>0.29</w:t>
                  </w:r>
                </w:p>
              </w:tc>
              <w:tc>
                <w:tcPr>
                  <w:tcW w:w="790"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2500</w:t>
                  </w:r>
                </w:p>
              </w:tc>
              <w:tc>
                <w:tcPr>
                  <w:tcW w:w="702"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0.0001</w:t>
                  </w:r>
                </w:p>
              </w:tc>
              <w:tc>
                <w:tcPr>
                  <w:tcW w:w="596"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02" w:type="pct"/>
                  <w:gridSpan w:val="4"/>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合计</w:t>
                  </w:r>
                </w:p>
              </w:tc>
              <w:tc>
                <w:tcPr>
                  <w:tcW w:w="702"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0.0274</w:t>
                  </w:r>
                </w:p>
              </w:tc>
              <w:tc>
                <w:tcPr>
                  <w:tcW w:w="596" w:type="pct"/>
                  <w:shd w:val="clear" w:color="auto" w:fill="auto"/>
                  <w:vAlign w:val="center"/>
                </w:tcPr>
                <w:p>
                  <w:pPr>
                    <w:adjustRightInd w:val="0"/>
                    <w:snapToGrid w:val="0"/>
                    <w:spacing w:line="300" w:lineRule="exact"/>
                    <w:jc w:val="center"/>
                    <w:rPr>
                      <w:rFonts w:ascii="Times New Roman" w:hAnsi="Times New Roman"/>
                      <w:color w:val="auto"/>
                      <w:kern w:val="0"/>
                      <w:szCs w:val="21"/>
                    </w:rPr>
                  </w:pPr>
                  <w:r>
                    <w:rPr>
                      <w:rFonts w:ascii="Times New Roman" w:hAnsi="Times New Roman"/>
                      <w:color w:val="auto"/>
                      <w:kern w:val="0"/>
                      <w:szCs w:val="21"/>
                    </w:rPr>
                    <w:t>Ⅰ</w:t>
                  </w:r>
                </w:p>
              </w:tc>
            </w:tr>
          </w:tbl>
          <w:p>
            <w:pPr>
              <w:pStyle w:val="48"/>
              <w:ind w:firstLine="480"/>
              <w:jc w:val="both"/>
              <w:rPr>
                <w:rFonts w:ascii="Times New Roman" w:hAnsi="Times New Roman"/>
                <w:color w:val="auto"/>
              </w:rPr>
            </w:pPr>
            <w:r>
              <w:rPr>
                <w:rFonts w:ascii="Times New Roman" w:hAnsi="Times New Roman"/>
                <w:color w:val="auto"/>
              </w:rPr>
              <w:t>根据表1知：本项目Q值=0.0274，</w:t>
            </w:r>
            <w:r>
              <w:rPr>
                <w:rFonts w:hint="eastAsia" w:ascii="Times New Roman" w:hAnsi="Times New Roman"/>
                <w:color w:val="auto"/>
              </w:rPr>
              <w:t>Q ＜1，</w:t>
            </w:r>
            <w:r>
              <w:rPr>
                <w:rFonts w:ascii="Times New Roman" w:hAnsi="Times New Roman"/>
                <w:color w:val="auto"/>
              </w:rPr>
              <w:t>本项目风险潜势为Ⅰ。</w:t>
            </w:r>
          </w:p>
          <w:p>
            <w:pPr>
              <w:pStyle w:val="48"/>
              <w:spacing w:line="360" w:lineRule="auto"/>
              <w:ind w:firstLine="480"/>
              <w:jc w:val="both"/>
              <w:rPr>
                <w:rFonts w:ascii="Times New Roman" w:hAnsi="Times New Roman"/>
                <w:color w:val="auto"/>
              </w:rPr>
            </w:pPr>
            <w:r>
              <w:rPr>
                <w:rFonts w:ascii="Times New Roman" w:hAnsi="Times New Roman"/>
                <w:color w:val="auto"/>
              </w:rPr>
              <w:t>（2）评价等级判定</w:t>
            </w:r>
          </w:p>
          <w:p>
            <w:pPr>
              <w:adjustRightInd w:val="0"/>
              <w:snapToGrid w:val="0"/>
              <w:spacing w:line="336" w:lineRule="auto"/>
              <w:ind w:firstLine="480" w:firstLineChars="200"/>
              <w:jc w:val="both"/>
              <w:rPr>
                <w:rFonts w:ascii="Times New Roman" w:hAnsi="Times New Roman"/>
                <w:color w:val="auto"/>
                <w:sz w:val="24"/>
              </w:rPr>
            </w:pPr>
            <w:r>
              <w:rPr>
                <w:rFonts w:ascii="Times New Roman" w:hAnsi="Times New Roman"/>
                <w:color w:val="auto"/>
                <w:sz w:val="24"/>
              </w:rPr>
              <w:t>根据《建设项目环境风险评价技术导则》（HJ 169-2018）表1（见表2）判定本项目环境风险评价等级。</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表2  环境风险评价工作级别划分</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13"/>
              <w:gridCol w:w="1555"/>
              <w:gridCol w:w="1751"/>
              <w:gridCol w:w="1975"/>
              <w:gridCol w:w="151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1" w:type="pct"/>
                  <w:shd w:val="clear" w:color="auto" w:fill="auto"/>
                  <w:vAlign w:val="center"/>
                </w:tcPr>
                <w:p>
                  <w:pPr>
                    <w:pStyle w:val="165"/>
                    <w:spacing w:before="0" w:line="240" w:lineRule="auto"/>
                    <w:ind w:firstLine="0" w:firstLineChars="0"/>
                    <w:jc w:val="center"/>
                    <w:rPr>
                      <w:rFonts w:ascii="Times New Roman" w:hAnsi="Times New Roman"/>
                      <w:bCs w:val="0"/>
                      <w:caps/>
                      <w:color w:val="auto"/>
                      <w:kern w:val="0"/>
                      <w:sz w:val="21"/>
                      <w:szCs w:val="21"/>
                    </w:rPr>
                  </w:pPr>
                  <w:r>
                    <w:rPr>
                      <w:rFonts w:ascii="Times New Roman" w:hAnsi="Times New Roman"/>
                      <w:bCs w:val="0"/>
                      <w:caps/>
                      <w:color w:val="auto"/>
                      <w:sz w:val="21"/>
                      <w:szCs w:val="21"/>
                    </w:rPr>
                    <w:t>环境风险潜势</w:t>
                  </w:r>
                </w:p>
              </w:tc>
              <w:tc>
                <w:tcPr>
                  <w:tcW w:w="936" w:type="pct"/>
                  <w:shd w:val="clear" w:color="auto" w:fill="auto"/>
                  <w:vAlign w:val="center"/>
                </w:tcPr>
                <w:p>
                  <w:pPr>
                    <w:pStyle w:val="165"/>
                    <w:spacing w:before="0" w:line="240" w:lineRule="auto"/>
                    <w:ind w:firstLine="0" w:firstLineChars="0"/>
                    <w:jc w:val="center"/>
                    <w:rPr>
                      <w:rFonts w:ascii="Times New Roman" w:hAnsi="Times New Roman"/>
                      <w:bCs w:val="0"/>
                      <w:caps/>
                      <w:color w:val="auto"/>
                      <w:sz w:val="21"/>
                      <w:szCs w:val="21"/>
                    </w:rPr>
                  </w:pPr>
                  <w:r>
                    <w:rPr>
                      <w:rFonts w:ascii="Times New Roman" w:hAnsi="Times New Roman"/>
                      <w:bCs w:val="0"/>
                      <w:caps/>
                      <w:color w:val="auto"/>
                      <w:sz w:val="21"/>
                      <w:szCs w:val="21"/>
                    </w:rPr>
                    <w:t>Ⅳ、Ⅳ</w:t>
                  </w:r>
                  <w:r>
                    <w:rPr>
                      <w:rFonts w:ascii="Times New Roman" w:hAnsi="Times New Roman"/>
                      <w:bCs w:val="0"/>
                      <w:caps/>
                      <w:color w:val="auto"/>
                      <w:sz w:val="21"/>
                      <w:szCs w:val="21"/>
                      <w:vertAlign w:val="superscript"/>
                    </w:rPr>
                    <w:t>+</w:t>
                  </w:r>
                </w:p>
              </w:tc>
              <w:tc>
                <w:tcPr>
                  <w:tcW w:w="1054" w:type="pct"/>
                  <w:shd w:val="clear" w:color="auto" w:fill="auto"/>
                  <w:vAlign w:val="center"/>
                </w:tcPr>
                <w:p>
                  <w:pPr>
                    <w:pStyle w:val="165"/>
                    <w:spacing w:before="0" w:line="240" w:lineRule="auto"/>
                    <w:ind w:firstLine="0" w:firstLineChars="0"/>
                    <w:jc w:val="center"/>
                    <w:rPr>
                      <w:rFonts w:ascii="Times New Roman" w:hAnsi="Times New Roman"/>
                      <w:bCs w:val="0"/>
                      <w:caps/>
                      <w:color w:val="auto"/>
                      <w:sz w:val="21"/>
                      <w:szCs w:val="21"/>
                    </w:rPr>
                  </w:pPr>
                  <w:r>
                    <w:rPr>
                      <w:rFonts w:ascii="Times New Roman" w:hAnsi="Times New Roman"/>
                      <w:bCs w:val="0"/>
                      <w:caps/>
                      <w:color w:val="auto"/>
                      <w:sz w:val="21"/>
                      <w:szCs w:val="21"/>
                    </w:rPr>
                    <w:t>Ⅲ</w:t>
                  </w:r>
                </w:p>
              </w:tc>
              <w:tc>
                <w:tcPr>
                  <w:tcW w:w="1189" w:type="pct"/>
                  <w:shd w:val="clear" w:color="auto" w:fill="auto"/>
                  <w:vAlign w:val="center"/>
                </w:tcPr>
                <w:p>
                  <w:pPr>
                    <w:pStyle w:val="165"/>
                    <w:spacing w:before="0" w:line="240" w:lineRule="auto"/>
                    <w:ind w:firstLine="0" w:firstLineChars="0"/>
                    <w:jc w:val="center"/>
                    <w:rPr>
                      <w:rFonts w:ascii="Times New Roman" w:hAnsi="Times New Roman"/>
                      <w:bCs w:val="0"/>
                      <w:caps/>
                      <w:color w:val="auto"/>
                      <w:sz w:val="21"/>
                      <w:szCs w:val="21"/>
                    </w:rPr>
                  </w:pPr>
                  <w:r>
                    <w:rPr>
                      <w:rFonts w:ascii="Times New Roman" w:hAnsi="Times New Roman"/>
                      <w:bCs w:val="0"/>
                      <w:caps/>
                      <w:color w:val="auto"/>
                      <w:sz w:val="21"/>
                      <w:szCs w:val="21"/>
                    </w:rPr>
                    <w:t>Ⅱ</w:t>
                  </w:r>
                </w:p>
              </w:tc>
              <w:tc>
                <w:tcPr>
                  <w:tcW w:w="910" w:type="pct"/>
                  <w:shd w:val="clear" w:color="auto" w:fill="auto"/>
                  <w:vAlign w:val="center"/>
                </w:tcPr>
                <w:p>
                  <w:pPr>
                    <w:pStyle w:val="165"/>
                    <w:spacing w:before="0" w:line="240" w:lineRule="auto"/>
                    <w:ind w:firstLine="0" w:firstLineChars="0"/>
                    <w:jc w:val="center"/>
                    <w:rPr>
                      <w:rFonts w:ascii="Times New Roman" w:hAnsi="Times New Roman"/>
                      <w:bCs w:val="0"/>
                      <w:caps/>
                      <w:color w:val="auto"/>
                      <w:sz w:val="21"/>
                      <w:szCs w:val="21"/>
                    </w:rPr>
                  </w:pPr>
                  <w:r>
                    <w:rPr>
                      <w:rFonts w:ascii="Times New Roman" w:hAnsi="Times New Roman"/>
                      <w:bCs w:val="0"/>
                      <w:caps/>
                      <w:color w:val="auto"/>
                      <w:sz w:val="21"/>
                      <w:szCs w:val="21"/>
                    </w:rPr>
                    <w:t>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11" w:type="pct"/>
                  <w:shd w:val="clear" w:color="auto" w:fill="auto"/>
                  <w:vAlign w:val="center"/>
                </w:tcPr>
                <w:p>
                  <w:pPr>
                    <w:pStyle w:val="165"/>
                    <w:spacing w:before="0" w:line="240" w:lineRule="auto"/>
                    <w:ind w:firstLine="0" w:firstLineChars="0"/>
                    <w:jc w:val="center"/>
                    <w:rPr>
                      <w:rFonts w:ascii="Times New Roman" w:hAnsi="Times New Roman"/>
                      <w:bCs w:val="0"/>
                      <w:color w:val="auto"/>
                      <w:sz w:val="21"/>
                      <w:szCs w:val="21"/>
                    </w:rPr>
                  </w:pPr>
                  <w:r>
                    <w:rPr>
                      <w:rFonts w:ascii="Times New Roman" w:hAnsi="Times New Roman"/>
                      <w:bCs w:val="0"/>
                      <w:color w:val="auto"/>
                      <w:sz w:val="21"/>
                      <w:szCs w:val="21"/>
                    </w:rPr>
                    <w:t>评价工作等级</w:t>
                  </w:r>
                </w:p>
              </w:tc>
              <w:tc>
                <w:tcPr>
                  <w:tcW w:w="936" w:type="pct"/>
                  <w:shd w:val="clear" w:color="auto" w:fill="auto"/>
                  <w:vAlign w:val="center"/>
                </w:tcPr>
                <w:p>
                  <w:pPr>
                    <w:pStyle w:val="165"/>
                    <w:spacing w:before="0" w:line="240" w:lineRule="auto"/>
                    <w:ind w:firstLine="0" w:firstLineChars="0"/>
                    <w:jc w:val="center"/>
                    <w:rPr>
                      <w:rFonts w:ascii="Times New Roman" w:hAnsi="Times New Roman"/>
                      <w:bCs w:val="0"/>
                      <w:color w:val="auto"/>
                      <w:sz w:val="21"/>
                      <w:szCs w:val="21"/>
                    </w:rPr>
                  </w:pPr>
                  <w:r>
                    <w:rPr>
                      <w:rFonts w:ascii="Times New Roman" w:hAnsi="Times New Roman"/>
                      <w:bCs w:val="0"/>
                      <w:color w:val="auto"/>
                      <w:sz w:val="21"/>
                      <w:szCs w:val="21"/>
                    </w:rPr>
                    <w:t>一</w:t>
                  </w:r>
                </w:p>
              </w:tc>
              <w:tc>
                <w:tcPr>
                  <w:tcW w:w="1054" w:type="pct"/>
                  <w:shd w:val="clear" w:color="auto" w:fill="auto"/>
                  <w:vAlign w:val="center"/>
                </w:tcPr>
                <w:p>
                  <w:pPr>
                    <w:pStyle w:val="165"/>
                    <w:spacing w:before="0" w:line="240" w:lineRule="auto"/>
                    <w:ind w:firstLine="0" w:firstLineChars="0"/>
                    <w:jc w:val="center"/>
                    <w:rPr>
                      <w:rFonts w:ascii="Times New Roman" w:hAnsi="Times New Roman"/>
                      <w:bCs w:val="0"/>
                      <w:color w:val="auto"/>
                      <w:sz w:val="21"/>
                      <w:szCs w:val="21"/>
                    </w:rPr>
                  </w:pPr>
                  <w:r>
                    <w:rPr>
                      <w:rFonts w:ascii="Times New Roman" w:hAnsi="Times New Roman"/>
                      <w:bCs w:val="0"/>
                      <w:color w:val="auto"/>
                      <w:sz w:val="21"/>
                      <w:szCs w:val="21"/>
                    </w:rPr>
                    <w:t>二</w:t>
                  </w:r>
                </w:p>
              </w:tc>
              <w:tc>
                <w:tcPr>
                  <w:tcW w:w="1189" w:type="pct"/>
                  <w:shd w:val="clear" w:color="auto" w:fill="auto"/>
                  <w:vAlign w:val="center"/>
                </w:tcPr>
                <w:p>
                  <w:pPr>
                    <w:pStyle w:val="165"/>
                    <w:spacing w:before="0" w:line="240" w:lineRule="auto"/>
                    <w:ind w:firstLine="0" w:firstLineChars="0"/>
                    <w:jc w:val="center"/>
                    <w:rPr>
                      <w:rFonts w:ascii="Times New Roman" w:hAnsi="Times New Roman"/>
                      <w:b/>
                      <w:color w:val="auto"/>
                      <w:sz w:val="21"/>
                      <w:szCs w:val="21"/>
                    </w:rPr>
                  </w:pPr>
                  <w:r>
                    <w:rPr>
                      <w:rFonts w:ascii="Times New Roman" w:hAnsi="Times New Roman"/>
                      <w:b/>
                      <w:color w:val="auto"/>
                      <w:sz w:val="21"/>
                      <w:szCs w:val="21"/>
                    </w:rPr>
                    <w:t>三</w:t>
                  </w:r>
                </w:p>
              </w:tc>
              <w:tc>
                <w:tcPr>
                  <w:tcW w:w="910" w:type="pct"/>
                  <w:shd w:val="clear" w:color="auto" w:fill="auto"/>
                  <w:vAlign w:val="center"/>
                </w:tcPr>
                <w:p>
                  <w:pPr>
                    <w:pStyle w:val="165"/>
                    <w:spacing w:before="0" w:line="240" w:lineRule="auto"/>
                    <w:ind w:firstLine="0" w:firstLineChars="0"/>
                    <w:jc w:val="center"/>
                    <w:rPr>
                      <w:rFonts w:ascii="Times New Roman" w:hAnsi="Times New Roman"/>
                      <w:bCs w:val="0"/>
                      <w:color w:val="auto"/>
                      <w:sz w:val="21"/>
                      <w:szCs w:val="21"/>
                    </w:rPr>
                  </w:pPr>
                  <w:r>
                    <w:rPr>
                      <w:rFonts w:ascii="Times New Roman" w:hAnsi="Times New Roman"/>
                      <w:bCs w:val="0"/>
                      <w:color w:val="auto"/>
                      <w:sz w:val="21"/>
                      <w:szCs w:val="21"/>
                    </w:rPr>
                    <w:t>简单分析</w:t>
                  </w:r>
                  <w:r>
                    <w:rPr>
                      <w:rFonts w:ascii="Times New Roman" w:hAnsi="Times New Roman"/>
                      <w:bCs w:val="0"/>
                      <w:color w:val="auto"/>
                      <w:sz w:val="21"/>
                      <w:szCs w:val="21"/>
                      <w:vertAlign w:val="superscript"/>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5"/>
                  <w:shd w:val="clear" w:color="auto" w:fill="auto"/>
                  <w:vAlign w:val="center"/>
                </w:tcPr>
                <w:p>
                  <w:pPr>
                    <w:pStyle w:val="165"/>
                    <w:spacing w:before="0" w:line="240" w:lineRule="auto"/>
                    <w:ind w:firstLine="0" w:firstLineChars="0"/>
                    <w:jc w:val="center"/>
                    <w:rPr>
                      <w:rFonts w:ascii="Times New Roman" w:hAnsi="Times New Roman"/>
                      <w:bCs w:val="0"/>
                      <w:color w:val="auto"/>
                      <w:sz w:val="21"/>
                      <w:szCs w:val="21"/>
                    </w:rPr>
                  </w:pPr>
                  <w:r>
                    <w:rPr>
                      <w:rFonts w:ascii="Times New Roman" w:hAnsi="Times New Roman"/>
                      <w:bCs w:val="0"/>
                      <w:color w:val="auto"/>
                      <w:sz w:val="21"/>
                      <w:szCs w:val="21"/>
                      <w:vertAlign w:val="superscript"/>
                    </w:rPr>
                    <w:t>a</w:t>
                  </w:r>
                  <w:r>
                    <w:rPr>
                      <w:rFonts w:ascii="Times New Roman" w:hAnsi="Times New Roman"/>
                      <w:bCs w:val="0"/>
                      <w:color w:val="auto"/>
                      <w:sz w:val="21"/>
                      <w:szCs w:val="21"/>
                    </w:rPr>
                    <w:t>是相对于详细评价工作内容而言，在描述危险物质、环境影响途径、环境危害后果、风险防范措施等方面给出定性说明。</w:t>
                  </w:r>
                </w:p>
              </w:tc>
            </w:tr>
          </w:tbl>
          <w:p>
            <w:pPr>
              <w:adjustRightInd w:val="0"/>
              <w:snapToGrid w:val="0"/>
              <w:spacing w:before="156" w:beforeLines="50" w:line="360" w:lineRule="auto"/>
              <w:ind w:firstLine="480" w:firstLineChars="200"/>
              <w:jc w:val="both"/>
              <w:rPr>
                <w:rFonts w:ascii="Times New Roman" w:hAnsi="Times New Roman"/>
                <w:color w:val="auto"/>
                <w:sz w:val="24"/>
              </w:rPr>
            </w:pPr>
            <w:r>
              <w:rPr>
                <w:rFonts w:ascii="Times New Roman" w:hAnsi="Times New Roman"/>
                <w:color w:val="auto"/>
                <w:sz w:val="24"/>
              </w:rPr>
              <w:t>本项目风险潜势为Ⅰ，由表2知：本项目环境风险评价等级为简单分析。</w:t>
            </w:r>
          </w:p>
          <w:p>
            <w:pPr>
              <w:adjustRightInd w:val="0"/>
              <w:snapToGrid w:val="0"/>
              <w:spacing w:line="360" w:lineRule="auto"/>
              <w:ind w:firstLine="482" w:firstLineChars="200"/>
              <w:jc w:val="both"/>
              <w:rPr>
                <w:rFonts w:ascii="Times New Roman" w:hAnsi="Times New Roman"/>
                <w:b/>
                <w:bCs/>
                <w:color w:val="auto"/>
                <w:kern w:val="0"/>
                <w:sz w:val="24"/>
              </w:rPr>
            </w:pPr>
            <w:r>
              <w:rPr>
                <w:rFonts w:ascii="Times New Roman" w:hAnsi="Times New Roman"/>
                <w:b/>
                <w:color w:val="auto"/>
                <w:sz w:val="24"/>
              </w:rPr>
              <w:t>2</w:t>
            </w:r>
            <w:r>
              <w:rPr>
                <w:rFonts w:hint="eastAsia" w:ascii="Times New Roman" w:hAnsi="Times New Roman"/>
                <w:b/>
                <w:color w:val="auto"/>
                <w:sz w:val="24"/>
              </w:rPr>
              <w:t>．</w:t>
            </w:r>
            <w:r>
              <w:rPr>
                <w:rFonts w:ascii="Times New Roman" w:hAnsi="Times New Roman"/>
                <w:b/>
                <w:bCs/>
                <w:color w:val="auto"/>
                <w:kern w:val="0"/>
                <w:sz w:val="24"/>
              </w:rPr>
              <w:t>环境敏感目标</w:t>
            </w:r>
            <w:r>
              <w:rPr>
                <w:rFonts w:hint="eastAsia" w:ascii="Times New Roman" w:hAnsi="Times New Roman"/>
                <w:b/>
                <w:bCs/>
                <w:color w:val="auto"/>
                <w:kern w:val="0"/>
                <w:sz w:val="24"/>
              </w:rPr>
              <w:t>调查</w:t>
            </w:r>
          </w:p>
          <w:p>
            <w:pPr>
              <w:adjustRightInd w:val="0"/>
              <w:snapToGrid w:val="0"/>
              <w:spacing w:line="360" w:lineRule="auto"/>
              <w:ind w:firstLine="480" w:firstLineChars="200"/>
              <w:jc w:val="both"/>
              <w:rPr>
                <w:rFonts w:ascii="Times New Roman" w:hAnsi="Times New Roman"/>
                <w:bCs/>
                <w:color w:val="auto"/>
                <w:sz w:val="24"/>
              </w:rPr>
            </w:pPr>
            <w:r>
              <w:rPr>
                <w:rFonts w:hint="eastAsia" w:ascii="Times New Roman" w:hAnsi="Times New Roman"/>
                <w:bCs/>
                <w:color w:val="auto"/>
                <w:sz w:val="24"/>
              </w:rPr>
              <w:t>经调查评价范围内无文物、景观和自然保护区等环境保护目标。建设项目环境敏感特征表见表3。</w:t>
            </w:r>
          </w:p>
          <w:p>
            <w:pPr>
              <w:adjustRightInd w:val="0"/>
              <w:snapToGrid w:val="0"/>
              <w:spacing w:before="156" w:beforeLines="50"/>
              <w:ind w:firstLine="422" w:firstLineChars="200"/>
              <w:jc w:val="center"/>
              <w:rPr>
                <w:rFonts w:ascii="Times New Roman" w:hAnsi="Times New Roman"/>
                <w:b/>
                <w:color w:val="auto"/>
                <w:szCs w:val="21"/>
              </w:rPr>
            </w:pPr>
            <w:r>
              <w:rPr>
                <w:rFonts w:hint="eastAsia" w:ascii="Times New Roman" w:hAnsi="Times New Roman"/>
                <w:b/>
                <w:color w:val="auto"/>
                <w:szCs w:val="21"/>
              </w:rPr>
              <w:t>表3  建设项目环境敏感特征表</w:t>
            </w:r>
          </w:p>
          <w:tbl>
            <w:tblPr>
              <w:tblStyle w:val="38"/>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459"/>
              <w:gridCol w:w="1332"/>
              <w:gridCol w:w="1129"/>
              <w:gridCol w:w="1500"/>
              <w:gridCol w:w="994"/>
              <w:gridCol w:w="10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类别</w:t>
                  </w:r>
                </w:p>
              </w:tc>
              <w:tc>
                <w:tcPr>
                  <w:tcW w:w="7875" w:type="dxa"/>
                  <w:gridSpan w:val="7"/>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环境敏感特征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环境空气</w:t>
                  </w:r>
                </w:p>
              </w:tc>
              <w:tc>
                <w:tcPr>
                  <w:tcW w:w="426"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序号</w:t>
                  </w: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项目名称</w:t>
                  </w:r>
                </w:p>
              </w:tc>
              <w:tc>
                <w:tcPr>
                  <w:tcW w:w="1332"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敏感目标</w:t>
                  </w:r>
                </w:p>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名称</w:t>
                  </w: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相对方位</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相对距离/m</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属性</w:t>
                  </w:r>
                </w:p>
              </w:tc>
              <w:tc>
                <w:tcPr>
                  <w:tcW w:w="1035"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人口数（户）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w:t>
                  </w: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春99-2/春99-3/春99-4/春99-5</w:t>
                  </w:r>
                </w:p>
              </w:tc>
              <w:tc>
                <w:tcPr>
                  <w:tcW w:w="1332"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123团场</w:t>
                  </w: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位于团场内农田</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50</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2860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Merge w:val="continue"/>
                  <w:vAlign w:val="center"/>
                </w:tcPr>
                <w:p>
                  <w:pPr>
                    <w:adjustRightInd w:val="0"/>
                    <w:snapToGrid w:val="0"/>
                    <w:jc w:val="center"/>
                    <w:rPr>
                      <w:rFonts w:ascii="Times New Roman" w:hAnsi="Times New Roman"/>
                      <w:bCs/>
                      <w:color w:val="auto"/>
                      <w:szCs w:val="21"/>
                    </w:rPr>
                  </w:pP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春99-6/春99-7</w:t>
                  </w:r>
                </w:p>
              </w:tc>
              <w:tc>
                <w:tcPr>
                  <w:tcW w:w="1332" w:type="dxa"/>
                  <w:vMerge w:val="continue"/>
                  <w:vAlign w:val="center"/>
                </w:tcPr>
                <w:p>
                  <w:pPr>
                    <w:adjustRightInd w:val="0"/>
                    <w:snapToGrid w:val="0"/>
                    <w:jc w:val="center"/>
                    <w:rPr>
                      <w:rFonts w:ascii="Times New Roman" w:hAnsi="Times New Roman"/>
                      <w:bCs/>
                      <w:color w:val="auto"/>
                      <w:szCs w:val="21"/>
                    </w:rPr>
                  </w:pP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N</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103</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Merge w:val="continue"/>
                  <w:vAlign w:val="center"/>
                </w:tcPr>
                <w:p>
                  <w:pPr>
                    <w:adjustRightInd w:val="0"/>
                    <w:snapToGrid w:val="0"/>
                    <w:jc w:val="center"/>
                    <w:rPr>
                      <w:rFonts w:ascii="Times New Roman" w:hAnsi="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Merge w:val="continue"/>
                  <w:vAlign w:val="center"/>
                </w:tcPr>
                <w:p>
                  <w:pPr>
                    <w:adjustRightInd w:val="0"/>
                    <w:snapToGrid w:val="0"/>
                    <w:jc w:val="center"/>
                    <w:rPr>
                      <w:rFonts w:ascii="Times New Roman" w:hAnsi="Times New Roman"/>
                      <w:bCs/>
                      <w:color w:val="auto"/>
                      <w:szCs w:val="21"/>
                    </w:rPr>
                  </w:pP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排19-5</w:t>
                  </w:r>
                </w:p>
              </w:tc>
              <w:tc>
                <w:tcPr>
                  <w:tcW w:w="1332" w:type="dxa"/>
                  <w:vMerge w:val="continue"/>
                  <w:vAlign w:val="center"/>
                </w:tcPr>
                <w:p>
                  <w:pPr>
                    <w:adjustRightInd w:val="0"/>
                    <w:snapToGrid w:val="0"/>
                    <w:jc w:val="center"/>
                    <w:rPr>
                      <w:rFonts w:ascii="Times New Roman" w:hAnsi="Times New Roman"/>
                      <w:bCs/>
                      <w:color w:val="auto"/>
                      <w:szCs w:val="21"/>
                    </w:rPr>
                  </w:pP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W</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1210</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Merge w:val="continue"/>
                  <w:vAlign w:val="center"/>
                </w:tcPr>
                <w:p>
                  <w:pPr>
                    <w:adjustRightInd w:val="0"/>
                    <w:snapToGrid w:val="0"/>
                    <w:jc w:val="center"/>
                    <w:rPr>
                      <w:rFonts w:ascii="Times New Roman" w:hAnsi="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Merge w:val="continue"/>
                  <w:vAlign w:val="center"/>
                </w:tcPr>
                <w:p>
                  <w:pPr>
                    <w:adjustRightInd w:val="0"/>
                    <w:snapToGrid w:val="0"/>
                    <w:jc w:val="center"/>
                    <w:rPr>
                      <w:rFonts w:ascii="Times New Roman" w:hAnsi="Times New Roman"/>
                      <w:bCs/>
                      <w:color w:val="auto"/>
                      <w:szCs w:val="21"/>
                    </w:rPr>
                  </w:pP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春2-06</w:t>
                  </w:r>
                </w:p>
              </w:tc>
              <w:tc>
                <w:tcPr>
                  <w:tcW w:w="1332" w:type="dxa"/>
                  <w:vMerge w:val="continue"/>
                  <w:vAlign w:val="center"/>
                </w:tcPr>
                <w:p>
                  <w:pPr>
                    <w:adjustRightInd w:val="0"/>
                    <w:snapToGrid w:val="0"/>
                    <w:jc w:val="center"/>
                    <w:rPr>
                      <w:rFonts w:ascii="Times New Roman" w:hAnsi="Times New Roman"/>
                      <w:bCs/>
                      <w:color w:val="auto"/>
                      <w:szCs w:val="21"/>
                    </w:rPr>
                  </w:pP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W</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1700</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Merge w:val="continue"/>
                  <w:vAlign w:val="center"/>
                </w:tcPr>
                <w:p>
                  <w:pPr>
                    <w:adjustRightInd w:val="0"/>
                    <w:snapToGrid w:val="0"/>
                    <w:jc w:val="center"/>
                    <w:rPr>
                      <w:rFonts w:ascii="Times New Roman" w:hAnsi="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Merge w:val="continue"/>
                  <w:vAlign w:val="center"/>
                </w:tcPr>
                <w:p>
                  <w:pPr>
                    <w:adjustRightInd w:val="0"/>
                    <w:snapToGrid w:val="0"/>
                    <w:jc w:val="center"/>
                    <w:rPr>
                      <w:rFonts w:ascii="Times New Roman" w:hAnsi="Times New Roman"/>
                      <w:bCs/>
                      <w:color w:val="auto"/>
                      <w:szCs w:val="21"/>
                    </w:rPr>
                  </w:pP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春2-606</w:t>
                  </w:r>
                </w:p>
              </w:tc>
              <w:tc>
                <w:tcPr>
                  <w:tcW w:w="1332" w:type="dxa"/>
                  <w:vMerge w:val="continue"/>
                  <w:vAlign w:val="center"/>
                </w:tcPr>
                <w:p>
                  <w:pPr>
                    <w:adjustRightInd w:val="0"/>
                    <w:snapToGrid w:val="0"/>
                    <w:jc w:val="center"/>
                    <w:rPr>
                      <w:rFonts w:ascii="Times New Roman" w:hAnsi="Times New Roman"/>
                      <w:bCs/>
                      <w:color w:val="auto"/>
                      <w:szCs w:val="21"/>
                    </w:rPr>
                  </w:pP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N</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1200</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Merge w:val="continue"/>
                  <w:vAlign w:val="center"/>
                </w:tcPr>
                <w:p>
                  <w:pPr>
                    <w:adjustRightInd w:val="0"/>
                    <w:snapToGrid w:val="0"/>
                    <w:jc w:val="center"/>
                    <w:rPr>
                      <w:rFonts w:ascii="Times New Roman" w:hAnsi="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2</w:t>
                  </w: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春99-6/春99-7</w:t>
                  </w:r>
                </w:p>
              </w:tc>
              <w:tc>
                <w:tcPr>
                  <w:tcW w:w="1332"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桂香屯</w:t>
                  </w: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ES</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250</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Merge w:val="continue"/>
                  <w:vAlign w:val="center"/>
                </w:tcPr>
                <w:p>
                  <w:pPr>
                    <w:adjustRightInd w:val="0"/>
                    <w:snapToGrid w:val="0"/>
                    <w:jc w:val="center"/>
                    <w:rPr>
                      <w:rFonts w:ascii="Times New Roman" w:hAnsi="Times New Roman"/>
                      <w:bCs/>
                      <w:color w:val="auto"/>
                      <w:szCs w:val="21"/>
                    </w:rPr>
                  </w:pP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春2-606</w:t>
                  </w:r>
                </w:p>
              </w:tc>
              <w:tc>
                <w:tcPr>
                  <w:tcW w:w="1332" w:type="dxa"/>
                  <w:vMerge w:val="continue"/>
                  <w:vAlign w:val="center"/>
                </w:tcPr>
                <w:p>
                  <w:pPr>
                    <w:adjustRightInd w:val="0"/>
                    <w:snapToGrid w:val="0"/>
                    <w:jc w:val="center"/>
                    <w:rPr>
                      <w:rFonts w:ascii="Times New Roman" w:hAnsi="Times New Roman"/>
                      <w:bCs/>
                      <w:color w:val="auto"/>
                      <w:szCs w:val="21"/>
                    </w:rPr>
                  </w:pP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EN</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850</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Merge w:val="continue"/>
                  <w:vAlign w:val="center"/>
                </w:tcPr>
                <w:p>
                  <w:pPr>
                    <w:adjustRightInd w:val="0"/>
                    <w:snapToGrid w:val="0"/>
                    <w:jc w:val="center"/>
                    <w:rPr>
                      <w:rFonts w:ascii="Times New Roman" w:hAnsi="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3</w:t>
                  </w: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春99-2/春99-3/春99-4/春99-5</w:t>
                  </w:r>
                </w:p>
              </w:tc>
              <w:tc>
                <w:tcPr>
                  <w:tcW w:w="1332"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房建连</w:t>
                  </w: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WN</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453</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Merge w:val="continue"/>
                  <w:vAlign w:val="center"/>
                </w:tcPr>
                <w:p>
                  <w:pPr>
                    <w:adjustRightInd w:val="0"/>
                    <w:snapToGrid w:val="0"/>
                    <w:jc w:val="center"/>
                    <w:rPr>
                      <w:rFonts w:ascii="Times New Roman" w:hAnsi="Times New Roman"/>
                      <w:bCs/>
                      <w:color w:val="auto"/>
                      <w:szCs w:val="21"/>
                    </w:rPr>
                  </w:pPr>
                </w:p>
              </w:tc>
              <w:tc>
                <w:tcPr>
                  <w:tcW w:w="145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春99-6/春99-7</w:t>
                  </w:r>
                </w:p>
              </w:tc>
              <w:tc>
                <w:tcPr>
                  <w:tcW w:w="1332" w:type="dxa"/>
                  <w:vMerge w:val="continue"/>
                  <w:vAlign w:val="center"/>
                </w:tcPr>
                <w:p>
                  <w:pPr>
                    <w:adjustRightInd w:val="0"/>
                    <w:snapToGrid w:val="0"/>
                    <w:jc w:val="center"/>
                    <w:rPr>
                      <w:rFonts w:ascii="Times New Roman" w:hAnsi="Times New Roman"/>
                      <w:bCs/>
                      <w:color w:val="auto"/>
                      <w:szCs w:val="21"/>
                    </w:rPr>
                  </w:pP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WN</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1220</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Merge w:val="continue"/>
                  <w:vAlign w:val="center"/>
                </w:tcPr>
                <w:p>
                  <w:pPr>
                    <w:adjustRightInd w:val="0"/>
                    <w:snapToGrid w:val="0"/>
                    <w:jc w:val="center"/>
                    <w:rPr>
                      <w:rFonts w:ascii="Times New Roman" w:hAnsi="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4</w:t>
                  </w:r>
                </w:p>
              </w:tc>
              <w:tc>
                <w:tcPr>
                  <w:tcW w:w="1459" w:type="dxa"/>
                  <w:vMerge w:val="restart"/>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春2-607</w:t>
                  </w:r>
                </w:p>
              </w:tc>
              <w:tc>
                <w:tcPr>
                  <w:tcW w:w="1332"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123团8连</w:t>
                  </w: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S</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530</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adjustRightInd w:val="0"/>
                    <w:snapToGrid w:val="0"/>
                    <w:jc w:val="center"/>
                    <w:rPr>
                      <w:rFonts w:ascii="Times New Roman" w:hAnsi="Times New Roman"/>
                      <w:bCs/>
                      <w:color w:val="auto"/>
                      <w:szCs w:val="21"/>
                    </w:rPr>
                  </w:pPr>
                </w:p>
              </w:tc>
              <w:tc>
                <w:tcPr>
                  <w:tcW w:w="426" w:type="dxa"/>
                  <w:vMerge w:val="continue"/>
                  <w:vAlign w:val="center"/>
                </w:tcPr>
                <w:p>
                  <w:pPr>
                    <w:adjustRightInd w:val="0"/>
                    <w:snapToGrid w:val="0"/>
                    <w:jc w:val="center"/>
                    <w:rPr>
                      <w:rFonts w:ascii="Times New Roman" w:hAnsi="Times New Roman"/>
                      <w:bCs/>
                      <w:color w:val="auto"/>
                      <w:szCs w:val="21"/>
                    </w:rPr>
                  </w:pPr>
                </w:p>
              </w:tc>
              <w:tc>
                <w:tcPr>
                  <w:tcW w:w="1459" w:type="dxa"/>
                  <w:vMerge w:val="continue"/>
                  <w:vAlign w:val="center"/>
                </w:tcPr>
                <w:p>
                  <w:pPr>
                    <w:adjustRightInd w:val="0"/>
                    <w:snapToGrid w:val="0"/>
                    <w:jc w:val="center"/>
                    <w:rPr>
                      <w:rFonts w:ascii="Times New Roman" w:hAnsi="Times New Roman"/>
                      <w:bCs/>
                      <w:color w:val="auto"/>
                      <w:szCs w:val="21"/>
                    </w:rPr>
                  </w:pPr>
                </w:p>
              </w:tc>
              <w:tc>
                <w:tcPr>
                  <w:tcW w:w="1332"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123团20连</w:t>
                  </w:r>
                </w:p>
              </w:tc>
              <w:tc>
                <w:tcPr>
                  <w:tcW w:w="1129"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ES</w:t>
                  </w:r>
                </w:p>
              </w:tc>
              <w:tc>
                <w:tcPr>
                  <w:tcW w:w="1500"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1260</w:t>
                  </w:r>
                </w:p>
              </w:tc>
              <w:tc>
                <w:tcPr>
                  <w:tcW w:w="994"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居住区</w:t>
                  </w:r>
                </w:p>
              </w:tc>
              <w:tc>
                <w:tcPr>
                  <w:tcW w:w="1035" w:type="dxa"/>
                  <w:vAlign w:val="center"/>
                </w:tcPr>
                <w:p>
                  <w:pPr>
                    <w:adjustRightInd w:val="0"/>
                    <w:snapToGrid w:val="0"/>
                    <w:jc w:val="center"/>
                    <w:rPr>
                      <w:rFonts w:ascii="Times New Roman" w:hAnsi="Times New Roman"/>
                      <w:bCs/>
                      <w:color w:val="auto"/>
                      <w:szCs w:val="21"/>
                    </w:rPr>
                  </w:pPr>
                  <w:r>
                    <w:rPr>
                      <w:rFonts w:hint="eastAsia" w:ascii="Times New Roman" w:hAnsi="Times New Roman"/>
                      <w:bCs/>
                      <w:color w:val="auto"/>
                      <w:szCs w:val="21"/>
                    </w:rPr>
                    <w:t>20</w:t>
                  </w:r>
                </w:p>
              </w:tc>
            </w:tr>
          </w:tbl>
          <w:p>
            <w:pPr>
              <w:adjustRightInd w:val="0"/>
              <w:snapToGrid w:val="0"/>
              <w:spacing w:before="156" w:beforeLines="50" w:line="360" w:lineRule="auto"/>
              <w:ind w:firstLine="480" w:firstLineChars="200"/>
              <w:jc w:val="both"/>
              <w:rPr>
                <w:rFonts w:ascii="Times New Roman" w:hAnsi="Times New Roman"/>
                <w:bCs/>
                <w:color w:val="auto"/>
                <w:sz w:val="24"/>
              </w:rPr>
            </w:pPr>
            <w:r>
              <w:rPr>
                <w:rFonts w:ascii="Times New Roman" w:hAnsi="Times New Roman"/>
                <w:bCs/>
                <w:color w:val="auto"/>
                <w:sz w:val="24"/>
              </w:rPr>
              <w:t>本项目环境风险评价等级为简单分析，不设风险评价范围</w:t>
            </w:r>
            <w:r>
              <w:rPr>
                <w:rFonts w:hint="eastAsia" w:ascii="Times New Roman" w:hAnsi="Times New Roman"/>
                <w:bCs/>
                <w:color w:val="auto"/>
                <w:sz w:val="24"/>
              </w:rPr>
              <w:t>。</w:t>
            </w:r>
          </w:p>
          <w:p>
            <w:pPr>
              <w:adjustRightInd w:val="0"/>
              <w:snapToGrid w:val="0"/>
              <w:spacing w:line="360" w:lineRule="auto"/>
              <w:ind w:firstLine="482" w:firstLineChars="200"/>
              <w:jc w:val="both"/>
              <w:rPr>
                <w:rFonts w:ascii="Times New Roman" w:hAnsi="Times New Roman"/>
                <w:b/>
                <w:bCs/>
                <w:color w:val="auto"/>
                <w:sz w:val="24"/>
              </w:rPr>
            </w:pPr>
            <w:r>
              <w:rPr>
                <w:rFonts w:ascii="Times New Roman" w:hAnsi="Times New Roman"/>
                <w:b/>
                <w:bCs/>
                <w:color w:val="auto"/>
                <w:sz w:val="24"/>
              </w:rPr>
              <w:t>3</w:t>
            </w:r>
            <w:r>
              <w:rPr>
                <w:rFonts w:hint="eastAsia" w:ascii="Times New Roman" w:hAnsi="Times New Roman"/>
                <w:b/>
                <w:bCs/>
                <w:color w:val="auto"/>
                <w:sz w:val="24"/>
              </w:rPr>
              <w:t>．</w:t>
            </w:r>
            <w:r>
              <w:rPr>
                <w:rFonts w:ascii="Times New Roman" w:hAnsi="Times New Roman"/>
                <w:b/>
                <w:bCs/>
                <w:color w:val="auto"/>
                <w:sz w:val="24"/>
              </w:rPr>
              <w:t>环境风险识别</w:t>
            </w:r>
          </w:p>
          <w:p>
            <w:pPr>
              <w:pStyle w:val="3"/>
              <w:spacing w:before="0" w:after="0" w:line="360" w:lineRule="auto"/>
              <w:ind w:firstLine="480" w:firstLineChars="200"/>
              <w:jc w:val="both"/>
              <w:rPr>
                <w:rFonts w:ascii="Times New Roman" w:hAnsi="Times New Roman"/>
                <w:b w:val="0"/>
                <w:color w:val="auto"/>
                <w:sz w:val="24"/>
                <w:szCs w:val="24"/>
              </w:rPr>
            </w:pPr>
            <w:r>
              <w:rPr>
                <w:rFonts w:hint="eastAsia" w:ascii="Times New Roman" w:hAnsi="Times New Roman"/>
                <w:b w:val="0"/>
                <w:color w:val="auto"/>
                <w:sz w:val="24"/>
                <w:szCs w:val="24"/>
              </w:rPr>
              <w:t>3</w:t>
            </w:r>
            <w:r>
              <w:rPr>
                <w:rFonts w:ascii="Times New Roman" w:hAnsi="Times New Roman"/>
                <w:b w:val="0"/>
                <w:color w:val="auto"/>
                <w:sz w:val="24"/>
                <w:szCs w:val="24"/>
              </w:rPr>
              <w:t>.1物质危险性识别</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按照《建设项目环境风险评价技术导则》（</w:t>
            </w:r>
            <w:r>
              <w:rPr>
                <w:rFonts w:ascii="Times New Roman" w:hAnsi="Times New Roman" w:eastAsia="TimesNewRomanPSMT"/>
                <w:color w:val="auto"/>
                <w:sz w:val="24"/>
              </w:rPr>
              <w:t>HJ169</w:t>
            </w:r>
            <w:r>
              <w:rPr>
                <w:rFonts w:ascii="Times New Roman" w:hAnsi="Times New Roman"/>
                <w:color w:val="auto"/>
                <w:sz w:val="24"/>
              </w:rPr>
              <w:t>－</w:t>
            </w:r>
            <w:r>
              <w:rPr>
                <w:rFonts w:ascii="Times New Roman" w:hAnsi="Times New Roman" w:eastAsia="TimesNewRomanPSMT"/>
                <w:color w:val="auto"/>
                <w:sz w:val="24"/>
              </w:rPr>
              <w:t>2018</w:t>
            </w:r>
            <w:r>
              <w:rPr>
                <w:rFonts w:ascii="Times New Roman" w:hAnsi="Times New Roman"/>
                <w:color w:val="auto"/>
                <w:sz w:val="24"/>
              </w:rPr>
              <w:t>）附录</w:t>
            </w:r>
            <w:r>
              <w:rPr>
                <w:rFonts w:ascii="Times New Roman" w:hAnsi="Times New Roman" w:eastAsia="TimesNewRomanPSMT"/>
                <w:color w:val="auto"/>
                <w:sz w:val="24"/>
              </w:rPr>
              <w:t>B</w:t>
            </w:r>
            <w:r>
              <w:rPr>
                <w:rFonts w:ascii="Times New Roman" w:hAnsi="Times New Roman"/>
                <w:color w:val="auto"/>
                <w:sz w:val="24"/>
              </w:rPr>
              <w:t>、《危</w:t>
            </w:r>
          </w:p>
          <w:p>
            <w:pPr>
              <w:spacing w:line="360" w:lineRule="auto"/>
              <w:jc w:val="both"/>
              <w:rPr>
                <w:rFonts w:ascii="Times New Roman" w:hAnsi="Times New Roman"/>
                <w:color w:val="auto"/>
                <w:sz w:val="24"/>
              </w:rPr>
            </w:pPr>
            <w:r>
              <w:rPr>
                <w:rFonts w:ascii="Times New Roman" w:hAnsi="Times New Roman"/>
                <w:color w:val="auto"/>
                <w:sz w:val="24"/>
              </w:rPr>
              <w:t>险化学品重大危险源辨识》（</w:t>
            </w:r>
            <w:r>
              <w:rPr>
                <w:rFonts w:ascii="Times New Roman" w:hAnsi="Times New Roman" w:eastAsia="TimesNewRomanPSMT"/>
                <w:color w:val="auto"/>
                <w:sz w:val="24"/>
              </w:rPr>
              <w:t>GB18218-20</w:t>
            </w:r>
            <w:r>
              <w:rPr>
                <w:rFonts w:hint="eastAsia" w:ascii="Times New Roman" w:hAnsi="Times New Roman"/>
                <w:color w:val="auto"/>
                <w:sz w:val="24"/>
              </w:rPr>
              <w:t>18</w:t>
            </w:r>
            <w:r>
              <w:rPr>
                <w:rFonts w:ascii="Times New Roman" w:hAnsi="Times New Roman"/>
                <w:color w:val="auto"/>
                <w:sz w:val="24"/>
              </w:rPr>
              <w:t>）、《职业性接触毒物危害程度分</w:t>
            </w:r>
          </w:p>
          <w:p>
            <w:pPr>
              <w:spacing w:line="360" w:lineRule="auto"/>
              <w:jc w:val="both"/>
              <w:rPr>
                <w:rFonts w:ascii="Times New Roman" w:hAnsi="Times New Roman"/>
                <w:color w:val="auto"/>
                <w:sz w:val="24"/>
              </w:rPr>
            </w:pPr>
            <w:r>
              <w:rPr>
                <w:rFonts w:ascii="Times New Roman" w:hAnsi="Times New Roman"/>
                <w:color w:val="auto"/>
                <w:sz w:val="24"/>
              </w:rPr>
              <w:t>级》（</w:t>
            </w:r>
            <w:r>
              <w:rPr>
                <w:rFonts w:ascii="Times New Roman" w:hAnsi="Times New Roman" w:eastAsia="TimesNewRomanPSMT"/>
                <w:color w:val="auto"/>
                <w:sz w:val="24"/>
              </w:rPr>
              <w:t>GB</w:t>
            </w:r>
            <w:r>
              <w:rPr>
                <w:rFonts w:hint="eastAsia" w:ascii="Times New Roman" w:hAnsi="Times New Roman"/>
                <w:color w:val="auto"/>
                <w:sz w:val="24"/>
              </w:rPr>
              <w:t>Z 230-2010</w:t>
            </w:r>
            <w:r>
              <w:rPr>
                <w:rFonts w:ascii="Times New Roman" w:hAnsi="Times New Roman"/>
                <w:color w:val="auto"/>
                <w:sz w:val="24"/>
              </w:rPr>
              <w:t>）中涉及的有毒有害、易燃易爆物质进行危险性识别。对于</w:t>
            </w:r>
          </w:p>
          <w:p>
            <w:pPr>
              <w:spacing w:line="360" w:lineRule="auto"/>
              <w:jc w:val="both"/>
              <w:rPr>
                <w:rFonts w:ascii="Times New Roman" w:hAnsi="Times New Roman"/>
                <w:color w:val="auto"/>
                <w:sz w:val="24"/>
              </w:rPr>
            </w:pPr>
            <w:r>
              <w:rPr>
                <w:rFonts w:ascii="Times New Roman" w:hAnsi="Times New Roman"/>
                <w:color w:val="auto"/>
                <w:sz w:val="24"/>
              </w:rPr>
              <w:t>中度危害以上的危险性物质应予以识别，按照物质危险性，结合受影响的环境因</w:t>
            </w:r>
          </w:p>
          <w:p>
            <w:pPr>
              <w:pStyle w:val="48"/>
              <w:spacing w:line="360" w:lineRule="auto"/>
              <w:ind w:firstLine="0" w:firstLineChars="0"/>
              <w:jc w:val="both"/>
              <w:rPr>
                <w:rFonts w:ascii="Times New Roman" w:hAnsi="Times New Roman"/>
                <w:color w:val="auto"/>
              </w:rPr>
            </w:pPr>
            <w:r>
              <w:rPr>
                <w:rFonts w:ascii="Times New Roman" w:hAnsi="Times New Roman"/>
                <w:color w:val="auto"/>
              </w:rPr>
              <w:t>素，筛选本工程环境风险评价因子主要为原油、柴油。</w:t>
            </w:r>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原</w:t>
            </w:r>
            <w:r>
              <w:rPr>
                <w:rFonts w:ascii="Times New Roman" w:hAnsi="Times New Roman"/>
                <w:color w:val="auto"/>
                <w:sz w:val="24"/>
              </w:rPr>
              <w:t>油</w:t>
            </w:r>
          </w:p>
          <w:p>
            <w:pPr>
              <w:pStyle w:val="48"/>
              <w:spacing w:line="360" w:lineRule="auto"/>
              <w:ind w:firstLine="480"/>
              <w:jc w:val="both"/>
              <w:rPr>
                <w:rFonts w:ascii="Times New Roman" w:hAnsi="Times New Roman"/>
                <w:color w:val="auto"/>
              </w:rPr>
            </w:pPr>
            <w:r>
              <w:rPr>
                <w:rFonts w:hint="eastAsia" w:ascii="Times New Roman" w:hAnsi="Times New Roman"/>
                <w:color w:val="auto"/>
              </w:rPr>
              <w:t>原</w:t>
            </w:r>
            <w:r>
              <w:rPr>
                <w:rFonts w:ascii="Times New Roman" w:hAnsi="Times New Roman"/>
                <w:color w:val="auto"/>
              </w:rPr>
              <w:t>油理化性质</w:t>
            </w:r>
            <w:r>
              <w:rPr>
                <w:rFonts w:hint="eastAsia" w:ascii="Times New Roman" w:hAnsi="Times New Roman"/>
                <w:color w:val="auto"/>
              </w:rPr>
              <w:t>及危险危害特性情况</w:t>
            </w:r>
            <w:r>
              <w:rPr>
                <w:rFonts w:ascii="Times New Roman" w:hAnsi="Times New Roman"/>
                <w:color w:val="auto"/>
              </w:rPr>
              <w:t>见表4。</w:t>
            </w:r>
          </w:p>
          <w:p>
            <w:pPr>
              <w:ind w:firstLine="422" w:firstLineChars="200"/>
              <w:jc w:val="center"/>
              <w:rPr>
                <w:rFonts w:ascii="Times New Roman" w:hAnsi="Times New Roman"/>
                <w:b/>
                <w:color w:val="auto"/>
                <w:kern w:val="0"/>
                <w:szCs w:val="21"/>
              </w:rPr>
            </w:pP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表4  原油理化性质及</w:t>
            </w:r>
            <w:r>
              <w:rPr>
                <w:rFonts w:hint="eastAsia" w:ascii="Times New Roman" w:hAnsi="Times New Roman"/>
                <w:b/>
                <w:color w:val="auto"/>
                <w:kern w:val="0"/>
                <w:szCs w:val="21"/>
              </w:rPr>
              <w:t>危险危害特性</w:t>
            </w:r>
            <w:r>
              <w:rPr>
                <w:rFonts w:ascii="Times New Roman" w:hAnsi="Times New Roman"/>
                <w:b/>
                <w:color w:val="auto"/>
                <w:kern w:val="0"/>
                <w:szCs w:val="21"/>
              </w:rPr>
              <w:t>情况</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94"/>
              <w:gridCol w:w="2188"/>
              <w:gridCol w:w="522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restar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理化</w:t>
                  </w:r>
                </w:p>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性质</w:t>
                  </w:r>
                </w:p>
              </w:tc>
              <w:tc>
                <w:tcPr>
                  <w:tcW w:w="1317"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外观及性状</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红色、红棕色或黑色有绿色荧光的稠厚性油状液体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组分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主要由烷烃、环烷烃和芳香烃组成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分子量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密度(kg/m</w:t>
                  </w:r>
                  <w:r>
                    <w:rPr>
                      <w:rFonts w:ascii="Times New Roman" w:hAnsi="Times New Roman"/>
                      <w:color w:val="auto"/>
                      <w:szCs w:val="21"/>
                      <w:vertAlign w:val="superscript"/>
                    </w:rPr>
                    <w:t>3</w:t>
                  </w:r>
                  <w:r>
                    <w:rPr>
                      <w:rFonts w:ascii="Times New Roman" w:hAnsi="Times New Roman"/>
                      <w:color w:val="auto"/>
                      <w:szCs w:val="21"/>
                    </w:rPr>
                    <w:t>)</w:t>
                  </w:r>
                </w:p>
              </w:tc>
              <w:tc>
                <w:tcPr>
                  <w:tcW w:w="3144" w:type="pct"/>
                  <w:shd w:val="clear" w:color="auto" w:fill="auto"/>
                </w:tcPr>
                <w:p>
                  <w:pPr>
                    <w:jc w:val="center"/>
                    <w:rPr>
                      <w:rFonts w:ascii="Times New Roman" w:hAnsi="Times New Roman"/>
                      <w:color w:val="auto"/>
                      <w:szCs w:val="21"/>
                    </w:rPr>
                  </w:pPr>
                  <w:r>
                    <w:rPr>
                      <w:rFonts w:ascii="Times New Roman" w:hAnsi="Times New Roman"/>
                      <w:color w:val="auto"/>
                      <w:szCs w:val="21"/>
                    </w:rPr>
                    <w:t>相对密度（水</w:t>
                  </w:r>
                  <w:r>
                    <w:rPr>
                      <w:rFonts w:ascii="Times New Roman" w:hAnsi="Times New Roman" w:eastAsia="TimesNewRomanPSMT"/>
                      <w:color w:val="auto"/>
                      <w:szCs w:val="21"/>
                    </w:rPr>
                    <w:t>=1</w:t>
                  </w:r>
                  <w:r>
                    <w:rPr>
                      <w:rFonts w:ascii="Times New Roman" w:hAnsi="Times New Roman"/>
                      <w:color w:val="auto"/>
                      <w:szCs w:val="21"/>
                    </w:rPr>
                    <w:t>）</w:t>
                  </w:r>
                </w:p>
                <w:p>
                  <w:pPr>
                    <w:adjustRightInd w:val="0"/>
                    <w:snapToGrid w:val="0"/>
                    <w:jc w:val="center"/>
                    <w:rPr>
                      <w:rFonts w:ascii="Times New Roman" w:hAnsi="Times New Roman"/>
                      <w:color w:val="auto"/>
                      <w:szCs w:val="21"/>
                    </w:rPr>
                  </w:pPr>
                  <w:r>
                    <w:rPr>
                      <w:rFonts w:ascii="Times New Roman" w:hAnsi="Times New Roman" w:eastAsia="TimesNewRomanPSMT"/>
                      <w:color w:val="auto"/>
                      <w:szCs w:val="21"/>
                    </w:rPr>
                    <w:t>0.7365-0.917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熔点</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eastAsia="TimesNewRomanPSMT"/>
                      <w:color w:val="auto"/>
                      <w:szCs w:val="21"/>
                    </w:rPr>
                    <w:t>-60℃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restart"/>
                  <w:shd w:val="clear" w:color="auto" w:fill="auto"/>
                  <w:vAlign w:val="center"/>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理化</w:t>
                  </w:r>
                </w:p>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性质</w:t>
                  </w: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沸点（℃）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自常温至</w:t>
                  </w:r>
                  <w:r>
                    <w:rPr>
                      <w:rFonts w:ascii="Times New Roman" w:hAnsi="Times New Roman" w:eastAsia="TimesNewRomanPSMT"/>
                      <w:color w:val="auto"/>
                      <w:szCs w:val="21"/>
                    </w:rPr>
                    <w:t>500℃</w:t>
                  </w:r>
                  <w:r>
                    <w:rPr>
                      <w:rFonts w:ascii="Times New Roman" w:hAnsi="Times New Roman"/>
                      <w:color w:val="auto"/>
                      <w:szCs w:val="21"/>
                    </w:rPr>
                    <w:t>以上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倾点（℃）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12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闪点℃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eastAsia="TimesNewRomanPSMT"/>
                      <w:color w:val="auto"/>
                      <w:szCs w:val="21"/>
                    </w:rPr>
                    <w:t>-6</w:t>
                  </w:r>
                  <w:r>
                    <w:rPr>
                      <w:rFonts w:ascii="Times New Roman" w:hAnsi="Times New Roman"/>
                      <w:color w:val="auto"/>
                      <w:szCs w:val="21"/>
                    </w:rPr>
                    <w:t>～</w:t>
                  </w:r>
                  <w:r>
                    <w:rPr>
                      <w:rFonts w:ascii="Times New Roman" w:hAnsi="Times New Roman" w:eastAsia="TimesNewRomanPSMT"/>
                      <w:color w:val="auto"/>
                      <w:szCs w:val="21"/>
                    </w:rPr>
                    <w:t>155℃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自燃温度</w:t>
                  </w:r>
                </w:p>
              </w:tc>
              <w:tc>
                <w:tcPr>
                  <w:tcW w:w="3144" w:type="pct"/>
                  <w:shd w:val="clear" w:color="auto" w:fill="auto"/>
                </w:tcPr>
                <w:p>
                  <w:pPr>
                    <w:adjustRightInd w:val="0"/>
                    <w:snapToGrid w:val="0"/>
                    <w:spacing w:line="300" w:lineRule="exact"/>
                    <w:jc w:val="center"/>
                    <w:rPr>
                      <w:rFonts w:ascii="Times New Roman" w:hAnsi="Times New Roman" w:eastAsia="TimesNewRomanPSMT"/>
                      <w:color w:val="auto"/>
                      <w:szCs w:val="21"/>
                    </w:rPr>
                  </w:pPr>
                  <w:r>
                    <w:rPr>
                      <w:rFonts w:ascii="Times New Roman" w:hAnsi="Times New Roman" w:eastAsia="TimesNewRomanPSMT"/>
                      <w:color w:val="auto"/>
                      <w:szCs w:val="21"/>
                    </w:rPr>
                    <w:t>280℃</w:t>
                  </w:r>
                  <w:r>
                    <w:rPr>
                      <w:rFonts w:ascii="Times New Roman" w:hAnsi="Times New Roman"/>
                      <w:color w:val="auto"/>
                      <w:szCs w:val="21"/>
                    </w:rPr>
                    <w:t>～</w:t>
                  </w:r>
                  <w:r>
                    <w:rPr>
                      <w:rFonts w:ascii="Times New Roman" w:hAnsi="Times New Roman" w:eastAsia="TimesNewRomanPSMT"/>
                      <w:color w:val="auto"/>
                      <w:szCs w:val="21"/>
                    </w:rPr>
                    <w:t>380℃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饱和蒸汽压（kPa）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46.4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restart"/>
                  <w:shd w:val="clear" w:color="auto" w:fill="auto"/>
                  <w:vAlign w:val="center"/>
                </w:tcPr>
                <w:p>
                  <w:pPr>
                    <w:adjustRightInd w:val="0"/>
                    <w:snapToGrid w:val="0"/>
                    <w:spacing w:line="300" w:lineRule="exact"/>
                    <w:jc w:val="center"/>
                    <w:rPr>
                      <w:rFonts w:ascii="Times New Roman" w:hAnsi="Times New Roman"/>
                      <w:color w:val="auto"/>
                      <w:szCs w:val="21"/>
                    </w:rPr>
                  </w:pPr>
                  <w:r>
                    <w:rPr>
                      <w:rFonts w:hint="eastAsia" w:ascii="Times New Roman" w:hAnsi="Times New Roman"/>
                      <w:color w:val="auto"/>
                      <w:szCs w:val="21"/>
                    </w:rPr>
                    <w:t>燃烧爆炸危险性</w:t>
                  </w: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活泼性</w:t>
                  </w:r>
                  <w:r>
                    <w:rPr>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Nr =0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溶解性</w:t>
                  </w:r>
                  <w:r>
                    <w:rPr>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不溶于水，溶于多数有机溶剂</w:t>
                  </w:r>
                  <w:r>
                    <w:rPr>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危险性类别</w:t>
                  </w:r>
                  <w:r>
                    <w:rPr>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第</w:t>
                  </w:r>
                  <w:r>
                    <w:rPr>
                      <w:rFonts w:ascii="Times New Roman" w:hAnsi="Times New Roman"/>
                      <w:color w:val="auto"/>
                      <w:szCs w:val="21"/>
                    </w:rPr>
                    <w:t xml:space="preserve">3.2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pStyle w:val="220"/>
                    <w:rPr>
                      <w:rFonts w:hAnsi="Times New Roman"/>
                      <w:color w:val="auto"/>
                      <w:sz w:val="21"/>
                      <w:szCs w:val="21"/>
                    </w:rPr>
                  </w:pPr>
                  <w:r>
                    <w:rPr>
                      <w:rFonts w:hint="eastAsia"/>
                      <w:color w:val="auto"/>
                      <w:sz w:val="21"/>
                      <w:szCs w:val="21"/>
                    </w:rPr>
                    <w:t>闪点</w:t>
                  </w:r>
                  <w:r>
                    <w:rPr>
                      <w:rFonts w:ascii="Times New Roman" w:hAnsi="Times New Roman" w:cs="Times New Roman"/>
                      <w:color w:val="auto"/>
                      <w:sz w:val="21"/>
                      <w:szCs w:val="21"/>
                    </w:rPr>
                    <w:t>/</w:t>
                  </w:r>
                  <w:r>
                    <w:rPr>
                      <w:rFonts w:hint="eastAsia" w:hAnsi="Times New Roman"/>
                      <w:color w:val="auto"/>
                      <w:sz w:val="21"/>
                      <w:szCs w:val="21"/>
                    </w:rPr>
                    <w:t>引燃温度</w:t>
                  </w:r>
                  <w:r>
                    <w:rPr>
                      <w:rFonts w:hAnsi="Times New Roman"/>
                      <w:color w:val="auto"/>
                      <w:sz w:val="21"/>
                      <w:szCs w:val="21"/>
                    </w:rPr>
                    <w:t xml:space="preserve"> </w:t>
                  </w:r>
                </w:p>
                <w:p>
                  <w:pPr>
                    <w:adjustRightInd w:val="0"/>
                    <w:snapToGrid w:val="0"/>
                    <w:spacing w:line="300" w:lineRule="exact"/>
                    <w:jc w:val="center"/>
                    <w:rPr>
                      <w:rFonts w:ascii="Times New Roman" w:hAnsi="Times New Roman"/>
                      <w:color w:val="auto"/>
                      <w:szCs w:val="21"/>
                    </w:rPr>
                  </w:pPr>
                  <w:r>
                    <w:rPr>
                      <w:rFonts w:hint="eastAsia" w:hAnsi="Times New Roman"/>
                      <w:color w:val="auto"/>
                      <w:szCs w:val="21"/>
                    </w:rPr>
                    <w:t>（℃）</w:t>
                  </w:r>
                  <w:r>
                    <w:rPr>
                      <w:rFonts w:hAnsi="Times New Roman"/>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&lt;18/350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爆炸极限（</w:t>
                  </w:r>
                  <w:r>
                    <w:rPr>
                      <w:rFonts w:ascii="Times New Roman" w:hAnsi="Times New Roman"/>
                      <w:color w:val="auto"/>
                      <w:szCs w:val="21"/>
                    </w:rPr>
                    <w:t>vol%</w:t>
                  </w:r>
                  <w:r>
                    <w:rPr>
                      <w:rFonts w:hint="eastAsia" w:hAnsi="Times New Roman"/>
                      <w:color w:val="auto"/>
                      <w:szCs w:val="21"/>
                    </w:rPr>
                    <w:t>）</w:t>
                  </w:r>
                  <w:r>
                    <w:rPr>
                      <w:rFonts w:hAnsi="Times New Roman"/>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1.1~8.7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稳定性</w:t>
                  </w:r>
                  <w:r>
                    <w:rPr>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稳定</w:t>
                  </w:r>
                  <w:r>
                    <w:rPr>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燃烧热（</w:t>
                  </w:r>
                  <w:r>
                    <w:rPr>
                      <w:rFonts w:ascii="Times New Roman" w:hAnsi="Times New Roman"/>
                      <w:color w:val="auto"/>
                      <w:szCs w:val="21"/>
                    </w:rPr>
                    <w:t>kJ/kg</w:t>
                  </w:r>
                  <w:r>
                    <w:rPr>
                      <w:rFonts w:hint="eastAsia" w:hAnsi="Times New Roman"/>
                      <w:color w:val="auto"/>
                      <w:szCs w:val="21"/>
                    </w:rPr>
                    <w:t>）</w:t>
                  </w:r>
                  <w:r>
                    <w:rPr>
                      <w:rFonts w:hAnsi="Times New Roman"/>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43995.5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危险特性</w:t>
                  </w:r>
                  <w:r>
                    <w:rPr>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其蒸汽与空气形成爆炸性混合物，遇明火、高热或极易燃烧爆炸，与氧化剂能发生强烈反应，若遇高热，容器内压增大，有开裂和爆炸的危险。</w:t>
                  </w:r>
                  <w:r>
                    <w:rPr>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灭火方法</w:t>
                  </w:r>
                  <w:r>
                    <w:rPr>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泡沫、干粉、二氧化碳、砂土</w:t>
                  </w:r>
                  <w:r>
                    <w:rPr>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hint="eastAsia"/>
                      <w:color w:val="auto"/>
                      <w:szCs w:val="21"/>
                    </w:rPr>
                    <w:t>储运注意事项</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远离火种、热源。仓温不宜超过</w:t>
                  </w:r>
                  <w:r>
                    <w:rPr>
                      <w:rFonts w:ascii="Times New Roman" w:hAnsi="Times New Roman"/>
                      <w:color w:val="auto"/>
                      <w:szCs w:val="21"/>
                    </w:rPr>
                    <w:t>30</w:t>
                  </w:r>
                  <w:r>
                    <w:rPr>
                      <w:rFonts w:hint="eastAsia" w:hAnsi="Times New Roman"/>
                      <w:color w:val="auto"/>
                      <w:szCs w:val="21"/>
                    </w:rPr>
                    <w:t>℃。配备相应品种和数量的消防器材。要有防火防爆技术措施。禁止使用易产生火花的机械设备和工具。灌装时应注意流速（不超过</w:t>
                  </w:r>
                  <w:r>
                    <w:rPr>
                      <w:rFonts w:ascii="Times New Roman" w:hAnsi="Times New Roman"/>
                      <w:color w:val="auto"/>
                      <w:szCs w:val="21"/>
                    </w:rPr>
                    <w:t>3m/s</w:t>
                  </w:r>
                  <w:r>
                    <w:rPr>
                      <w:rFonts w:hint="eastAsia" w:hAnsi="Times New Roman"/>
                      <w:color w:val="auto"/>
                      <w:szCs w:val="21"/>
                    </w:rPr>
                    <w:t>），且要有接地装置，防止静电积聚。</w:t>
                  </w:r>
                  <w:r>
                    <w:rPr>
                      <w:rFonts w:hAnsi="Times New Roman"/>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restart"/>
                  <w:shd w:val="clear" w:color="auto" w:fill="auto"/>
                  <w:vAlign w:val="center"/>
                </w:tcPr>
                <w:p>
                  <w:pPr>
                    <w:pStyle w:val="220"/>
                    <w:jc w:val="center"/>
                    <w:rPr>
                      <w:color w:val="auto"/>
                      <w:sz w:val="21"/>
                      <w:szCs w:val="21"/>
                    </w:rPr>
                  </w:pPr>
                  <w:r>
                    <w:rPr>
                      <w:rFonts w:hint="eastAsia"/>
                      <w:color w:val="auto"/>
                      <w:sz w:val="21"/>
                      <w:szCs w:val="21"/>
                    </w:rPr>
                    <w:t>毒理</w:t>
                  </w: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毒性</w:t>
                  </w:r>
                  <w:r>
                    <w:rPr>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LD50</w:t>
                  </w:r>
                  <w:r>
                    <w:rPr>
                      <w:rFonts w:hint="eastAsia" w:hAnsi="Times New Roman"/>
                      <w:color w:val="auto"/>
                      <w:szCs w:val="21"/>
                    </w:rPr>
                    <w:t>：</w:t>
                  </w:r>
                  <w:r>
                    <w:rPr>
                      <w:rFonts w:ascii="Times New Roman" w:hAnsi="Times New Roman"/>
                      <w:color w:val="auto"/>
                      <w:szCs w:val="21"/>
                    </w:rPr>
                    <w:t>500-5000mg/kg</w:t>
                  </w:r>
                  <w:r>
                    <w:rPr>
                      <w:rFonts w:hint="eastAsia" w:hAnsi="Times New Roman"/>
                      <w:color w:val="auto"/>
                      <w:szCs w:val="21"/>
                    </w:rPr>
                    <w:t>（哺乳动物吸入）</w:t>
                  </w:r>
                  <w:r>
                    <w:rPr>
                      <w:rFonts w:hAnsi="Times New Roman"/>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hint="eastAsia"/>
                      <w:color w:val="auto"/>
                      <w:szCs w:val="21"/>
                    </w:rPr>
                    <w:t>健康危害</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原油中的烷烃成分可影响人的神经系统，引起植物神经系统功能紊乱，胃肠道发病率增高，机体抵抗力下降等症状。人的皮肤长期接触原油，可造成外皮脱脂、皮肤裂口、刺激疼痛。原油还可对人的眼睛、口腔粘膜产生刺激作用，甚至造成粘膜出血、萎缩。</w:t>
                  </w:r>
                  <w:r>
                    <w:rPr>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restart"/>
                  <w:shd w:val="clear" w:color="auto" w:fill="auto"/>
                  <w:vAlign w:val="center"/>
                </w:tcPr>
                <w:p>
                  <w:pPr>
                    <w:pStyle w:val="220"/>
                    <w:jc w:val="center"/>
                    <w:rPr>
                      <w:color w:val="auto"/>
                      <w:sz w:val="21"/>
                      <w:szCs w:val="21"/>
                    </w:rPr>
                  </w:pPr>
                  <w:r>
                    <w:rPr>
                      <w:rFonts w:hint="eastAsia"/>
                      <w:color w:val="auto"/>
                      <w:sz w:val="21"/>
                      <w:szCs w:val="21"/>
                    </w:rPr>
                    <w:t>急救</w:t>
                  </w:r>
                </w:p>
                <w:p>
                  <w:pPr>
                    <w:pStyle w:val="220"/>
                    <w:jc w:val="center"/>
                    <w:rPr>
                      <w:color w:val="auto"/>
                      <w:sz w:val="21"/>
                      <w:szCs w:val="21"/>
                    </w:rPr>
                  </w:pPr>
                  <w:r>
                    <w:rPr>
                      <w:rFonts w:hint="eastAsia"/>
                      <w:color w:val="auto"/>
                      <w:sz w:val="21"/>
                      <w:szCs w:val="21"/>
                    </w:rPr>
                    <w:t>措施</w:t>
                  </w:r>
                  <w:r>
                    <w:rPr>
                      <w:color w:val="auto"/>
                      <w:sz w:val="21"/>
                      <w:szCs w:val="21"/>
                    </w:rPr>
                    <w:t xml:space="preserve"> </w:t>
                  </w:r>
                </w:p>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皮肤接触</w:t>
                  </w:r>
                  <w:r>
                    <w:rPr>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脱去污染的衣着，用肥皂水及清水彻底冲洗</w:t>
                  </w:r>
                  <w:r>
                    <w:rPr>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眼睛接触</w:t>
                  </w:r>
                  <w:r>
                    <w:rPr>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立即提起眼睑，用流动清水冲洗</w:t>
                  </w:r>
                  <w:r>
                    <w:rPr>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vAlign w:val="center"/>
                </w:tcPr>
                <w:p>
                  <w:pPr>
                    <w:adjustRightInd w:val="0"/>
                    <w:snapToGrid w:val="0"/>
                    <w:spacing w:line="300" w:lineRule="exact"/>
                    <w:jc w:val="center"/>
                    <w:rPr>
                      <w:rFonts w:ascii="Times New Roman" w:hAnsi="Times New Roman"/>
                      <w:color w:val="auto"/>
                      <w:szCs w:val="21"/>
                    </w:rPr>
                  </w:pPr>
                  <w:r>
                    <w:rPr>
                      <w:rFonts w:hint="eastAsia"/>
                      <w:color w:val="auto"/>
                      <w:szCs w:val="21"/>
                    </w:rPr>
                    <w:t>吸入</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迅速脱离现场至空气新鲜处，注意保暖，呼吸困难时给输氧。呼吸停止时，立即进行人工呼吸，就医。</w:t>
                  </w:r>
                  <w:r>
                    <w:rPr>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vMerge w:val="continue"/>
                  <w:shd w:val="clear" w:color="auto" w:fill="auto"/>
                  <w:vAlign w:val="center"/>
                </w:tcPr>
                <w:p>
                  <w:pPr>
                    <w:adjustRightInd w:val="0"/>
                    <w:snapToGrid w:val="0"/>
                    <w:spacing w:line="300" w:lineRule="exact"/>
                    <w:jc w:val="center"/>
                    <w:rPr>
                      <w:rFonts w:ascii="Times New Roman" w:hAnsi="Times New Roman"/>
                      <w:color w:val="auto"/>
                      <w:szCs w:val="21"/>
                    </w:rPr>
                  </w:pPr>
                </w:p>
              </w:tc>
              <w:tc>
                <w:tcPr>
                  <w:tcW w:w="1317"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食入</w:t>
                  </w:r>
                  <w:r>
                    <w:rPr>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食入误服者给充分漱口、饮水，就医</w:t>
                  </w:r>
                  <w:r>
                    <w:rPr>
                      <w:color w:val="auto"/>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8" w:type="pct"/>
                  <w:shd w:val="clear" w:color="auto" w:fill="auto"/>
                  <w:vAlign w:val="center"/>
                </w:tcPr>
                <w:p>
                  <w:pPr>
                    <w:pStyle w:val="220"/>
                    <w:jc w:val="center"/>
                    <w:rPr>
                      <w:color w:val="auto"/>
                      <w:sz w:val="21"/>
                      <w:szCs w:val="21"/>
                    </w:rPr>
                  </w:pPr>
                  <w:r>
                    <w:rPr>
                      <w:rFonts w:hint="eastAsia"/>
                      <w:color w:val="auto"/>
                      <w:sz w:val="21"/>
                      <w:szCs w:val="21"/>
                    </w:rPr>
                    <w:t>泄漏</w:t>
                  </w:r>
                </w:p>
                <w:p>
                  <w:pPr>
                    <w:pStyle w:val="220"/>
                    <w:jc w:val="center"/>
                    <w:rPr>
                      <w:color w:val="auto"/>
                      <w:sz w:val="21"/>
                      <w:szCs w:val="21"/>
                    </w:rPr>
                  </w:pPr>
                  <w:r>
                    <w:rPr>
                      <w:rFonts w:hint="eastAsia"/>
                      <w:color w:val="auto"/>
                      <w:sz w:val="21"/>
                      <w:szCs w:val="21"/>
                    </w:rPr>
                    <w:t>处置</w:t>
                  </w:r>
                  <w:r>
                    <w:rPr>
                      <w:color w:val="auto"/>
                      <w:sz w:val="21"/>
                      <w:szCs w:val="21"/>
                    </w:rPr>
                    <w:t xml:space="preserve"> </w:t>
                  </w:r>
                </w:p>
              </w:tc>
              <w:tc>
                <w:tcPr>
                  <w:tcW w:w="1317" w:type="pct"/>
                  <w:shd w:val="clear" w:color="auto" w:fill="auto"/>
                  <w:vAlign w:val="center"/>
                </w:tcPr>
                <w:p>
                  <w:pPr>
                    <w:adjustRightInd w:val="0"/>
                    <w:snapToGrid w:val="0"/>
                    <w:spacing w:line="300" w:lineRule="exact"/>
                    <w:jc w:val="center"/>
                    <w:rPr>
                      <w:rFonts w:ascii="Times New Roman" w:hAnsi="Times New Roman"/>
                      <w:color w:val="auto"/>
                      <w:szCs w:val="21"/>
                    </w:rPr>
                  </w:pPr>
                </w:p>
              </w:tc>
              <w:tc>
                <w:tcPr>
                  <w:tcW w:w="3144" w:type="pct"/>
                  <w:shd w:val="clear" w:color="auto" w:fill="auto"/>
                </w:tcPr>
                <w:p>
                  <w:pPr>
                    <w:pStyle w:val="220"/>
                    <w:jc w:val="center"/>
                    <w:rPr>
                      <w:color w:val="auto"/>
                      <w:sz w:val="21"/>
                      <w:szCs w:val="21"/>
                    </w:rPr>
                  </w:pPr>
                  <w:r>
                    <w:rPr>
                      <w:rFonts w:hint="eastAsia"/>
                      <w:color w:val="auto"/>
                      <w:sz w:val="21"/>
                      <w:szCs w:val="21"/>
                    </w:rPr>
                    <w:t>疏散泄漏区人员至安全区，禁止无关人员进入污染区，切断电源。建议应急处理人员戴自给式呼吸器，穿一般消防防护服。在确保安全情况下堵漏。喷水雾可以减少蒸发，但不能降低泄漏物在受限制空间内的易燃性。用沙土、蛭石或其它惰性材料吸收，然后收集运至空旷的地方掩埋、蒸发或焚烧。如大量泄漏，应利用围堤收容，然后收集、转移、回收或无害化处理后废弃。</w:t>
                  </w:r>
                  <w:r>
                    <w:rPr>
                      <w:color w:val="auto"/>
                      <w:sz w:val="21"/>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855" w:type="pct"/>
                  <w:gridSpan w:val="2"/>
                  <w:shd w:val="clear" w:color="auto" w:fill="auto"/>
                </w:tcPr>
                <w:p>
                  <w:pPr>
                    <w:adjustRightInd w:val="0"/>
                    <w:snapToGrid w:val="0"/>
                    <w:spacing w:line="300" w:lineRule="exact"/>
                    <w:jc w:val="center"/>
                    <w:rPr>
                      <w:rFonts w:ascii="Times New Roman" w:hAnsi="Times New Roman"/>
                      <w:color w:val="auto"/>
                      <w:szCs w:val="21"/>
                    </w:rPr>
                  </w:pPr>
                  <w:r>
                    <w:rPr>
                      <w:rFonts w:hint="eastAsia"/>
                      <w:color w:val="auto"/>
                      <w:szCs w:val="21"/>
                    </w:rPr>
                    <w:t>接触限值</w:t>
                  </w:r>
                  <w:r>
                    <w:rPr>
                      <w:color w:val="auto"/>
                      <w:szCs w:val="21"/>
                    </w:rPr>
                    <w:t xml:space="preserve"> </w:t>
                  </w:r>
                </w:p>
              </w:tc>
              <w:tc>
                <w:tcPr>
                  <w:tcW w:w="3144" w:type="pct"/>
                  <w:shd w:val="clear" w:color="auto" w:fill="auto"/>
                </w:tcPr>
                <w:p>
                  <w:pPr>
                    <w:adjustRightInd w:val="0"/>
                    <w:snapToGrid w:val="0"/>
                    <w:spacing w:line="300" w:lineRule="exact"/>
                    <w:jc w:val="center"/>
                    <w:rPr>
                      <w:rFonts w:ascii="Times New Roman" w:hAnsi="Times New Roman"/>
                      <w:color w:val="auto"/>
                      <w:szCs w:val="21"/>
                    </w:rPr>
                  </w:pPr>
                  <w:r>
                    <w:rPr>
                      <w:rFonts w:ascii="Times New Roman" w:hAnsi="Times New Roman"/>
                      <w:color w:val="auto"/>
                      <w:szCs w:val="21"/>
                    </w:rPr>
                    <w:t xml:space="preserve">- </w:t>
                  </w:r>
                </w:p>
              </w:tc>
            </w:tr>
          </w:tbl>
          <w:p>
            <w:pPr>
              <w:pStyle w:val="48"/>
              <w:spacing w:line="360" w:lineRule="auto"/>
              <w:ind w:firstLine="480"/>
              <w:jc w:val="both"/>
              <w:rPr>
                <w:rFonts w:ascii="Times New Roman" w:hAnsi="Times New Roman"/>
                <w:color w:val="auto"/>
              </w:rPr>
            </w:pPr>
            <w:r>
              <w:rPr>
                <w:rFonts w:hint="eastAsia" w:ascii="Times New Roman" w:hAnsi="Times New Roman"/>
                <w:color w:val="auto"/>
              </w:rPr>
              <w:t>结合本项目工程特点，原油在本项目中具有以下危险性：</w:t>
            </w:r>
            <w:r>
              <w:rPr>
                <w:rFonts w:ascii="Times New Roman" w:hAnsi="Times New Roman"/>
                <w:color w:val="auto"/>
              </w:rPr>
              <w:t xml:space="preserve"> </w:t>
            </w:r>
          </w:p>
          <w:p>
            <w:pPr>
              <w:pStyle w:val="48"/>
              <w:spacing w:line="360" w:lineRule="auto"/>
              <w:ind w:firstLine="480"/>
              <w:rPr>
                <w:rFonts w:ascii="Times New Roman" w:hAnsi="Times New Roman"/>
                <w:color w:val="auto"/>
              </w:rPr>
            </w:pPr>
            <w:r>
              <w:rPr>
                <w:rFonts w:hint="eastAsia" w:ascii="Times New Roman" w:hAnsi="Times New Roman"/>
                <w:color w:val="auto"/>
              </w:rPr>
              <w:t>①可燃液体</w:t>
            </w:r>
            <w:r>
              <w:rPr>
                <w:rFonts w:ascii="Times New Roman" w:hAnsi="Times New Roman"/>
                <w:color w:val="auto"/>
              </w:rPr>
              <w:t xml:space="preserve"> </w:t>
            </w:r>
          </w:p>
          <w:p>
            <w:pPr>
              <w:pStyle w:val="48"/>
              <w:spacing w:line="360" w:lineRule="auto"/>
              <w:ind w:firstLine="480"/>
              <w:rPr>
                <w:rFonts w:ascii="Times New Roman" w:hAnsi="Times New Roman"/>
                <w:color w:val="auto"/>
              </w:rPr>
            </w:pPr>
            <w:r>
              <w:rPr>
                <w:rFonts w:hint="eastAsia" w:ascii="Times New Roman" w:hAnsi="Times New Roman"/>
                <w:color w:val="auto"/>
              </w:rPr>
              <w:t>本项目主要产品稠油属于闪点高，可挥发，具有一定危险的可燃液（气）体。石油类产品容易燃烧的特性主要以闪点、燃点、自燃点数据来衡量，产品的蒸气和空气的混合比达到一定浓度范围时遇火即能爆炸。燃点下限越低的油品发生爆炸的危险性越大。本项目的产品稠油属闪点较高的可燃液体，遇明火发生爆炸的可能性很小。</w:t>
            </w:r>
            <w:r>
              <w:rPr>
                <w:rFonts w:ascii="Times New Roman" w:hAnsi="Times New Roman"/>
                <w:color w:val="auto"/>
              </w:rPr>
              <w:t xml:space="preserve"> </w:t>
            </w:r>
          </w:p>
          <w:p>
            <w:pPr>
              <w:pStyle w:val="48"/>
              <w:spacing w:line="360" w:lineRule="auto"/>
              <w:ind w:firstLine="480"/>
              <w:rPr>
                <w:rFonts w:ascii="Times New Roman" w:hAnsi="Times New Roman"/>
                <w:color w:val="auto"/>
              </w:rPr>
            </w:pPr>
            <w:r>
              <w:rPr>
                <w:rFonts w:hint="eastAsia" w:ascii="Times New Roman" w:hAnsi="Times New Roman"/>
                <w:color w:val="auto"/>
              </w:rPr>
              <w:t>②受热可挥发</w:t>
            </w:r>
            <w:r>
              <w:rPr>
                <w:rFonts w:ascii="Times New Roman" w:hAnsi="Times New Roman"/>
                <w:color w:val="auto"/>
              </w:rPr>
              <w:t xml:space="preserve"> </w:t>
            </w:r>
          </w:p>
          <w:p>
            <w:pPr>
              <w:pStyle w:val="48"/>
              <w:spacing w:line="360" w:lineRule="auto"/>
              <w:ind w:firstLine="480"/>
              <w:rPr>
                <w:rFonts w:ascii="Times New Roman" w:hAnsi="Times New Roman"/>
                <w:color w:val="auto"/>
              </w:rPr>
            </w:pPr>
            <w:r>
              <w:rPr>
                <w:rFonts w:hint="eastAsia" w:ascii="Times New Roman" w:hAnsi="Times New Roman"/>
                <w:color w:val="auto"/>
              </w:rPr>
              <w:t>当罐内油受到烘烤或高温天气影响时，油品受热温度升高，稠油中的轻组分可挥发逸散，油品密度降低、体积膨胀，如果罐内有水汽化，更易发生油罐突沸、冒顶，使热油外溢，轻组分进一步挥发，受热后则储油设备压力增大，可使管线或设备破坏，造成漏油。</w:t>
            </w:r>
          </w:p>
          <w:p>
            <w:pPr>
              <w:spacing w:line="360" w:lineRule="auto"/>
              <w:ind w:firstLine="480" w:firstLineChars="200"/>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柴</w:t>
            </w:r>
            <w:r>
              <w:rPr>
                <w:rFonts w:ascii="Times New Roman" w:hAnsi="Times New Roman"/>
                <w:color w:val="auto"/>
                <w:sz w:val="24"/>
              </w:rPr>
              <w:t>油：</w:t>
            </w:r>
            <w:r>
              <w:rPr>
                <w:rFonts w:hint="eastAsia" w:ascii="Times New Roman" w:hAnsi="Times New Roman"/>
                <w:color w:val="auto"/>
                <w:sz w:val="24"/>
              </w:rPr>
              <w:t>柴</w:t>
            </w:r>
            <w:r>
              <w:rPr>
                <w:rFonts w:ascii="Times New Roman" w:hAnsi="Times New Roman"/>
                <w:color w:val="auto"/>
                <w:sz w:val="24"/>
              </w:rPr>
              <w:t>油理化性质</w:t>
            </w:r>
            <w:r>
              <w:rPr>
                <w:rFonts w:hint="eastAsia" w:ascii="Times New Roman" w:hAnsi="Times New Roman"/>
                <w:color w:val="auto"/>
                <w:sz w:val="24"/>
              </w:rPr>
              <w:t>及其危险性</w:t>
            </w:r>
            <w:r>
              <w:rPr>
                <w:rFonts w:ascii="Times New Roman" w:hAnsi="Times New Roman"/>
                <w:color w:val="auto"/>
                <w:sz w:val="24"/>
              </w:rPr>
              <w:t>见表</w:t>
            </w:r>
            <w:r>
              <w:rPr>
                <w:rFonts w:hint="eastAsia" w:ascii="Times New Roman" w:hAnsi="Times New Roman"/>
                <w:color w:val="auto"/>
                <w:sz w:val="24"/>
              </w:rPr>
              <w:t>5</w:t>
            </w:r>
            <w:r>
              <w:rPr>
                <w:rFonts w:ascii="Times New Roman" w:hAnsi="Times New Roman"/>
                <w:color w:val="auto"/>
                <w:sz w:val="24"/>
              </w:rPr>
              <w:t>。</w:t>
            </w:r>
          </w:p>
          <w:p>
            <w:pPr>
              <w:pStyle w:val="48"/>
              <w:spacing w:line="360" w:lineRule="auto"/>
              <w:ind w:firstLine="422"/>
              <w:jc w:val="center"/>
              <w:rPr>
                <w:rFonts w:ascii="Times New Roman" w:hAnsi="Times New Roman"/>
                <w:b/>
                <w:bCs/>
                <w:color w:val="auto"/>
                <w:sz w:val="21"/>
                <w:szCs w:val="21"/>
              </w:rPr>
            </w:pPr>
            <w:r>
              <w:rPr>
                <w:rFonts w:ascii="Times New Roman" w:hAnsi="Times New Roman"/>
                <w:b/>
                <w:bCs/>
                <w:color w:val="auto"/>
                <w:sz w:val="21"/>
                <w:szCs w:val="21"/>
              </w:rPr>
              <w:t>表5 柴油</w:t>
            </w:r>
            <w:r>
              <w:rPr>
                <w:rFonts w:hint="eastAsia" w:hAnsi="Times New Roman"/>
                <w:b/>
                <w:bCs/>
                <w:color w:val="auto"/>
                <w:sz w:val="21"/>
                <w:szCs w:val="21"/>
              </w:rPr>
              <w:t>理化性质及其危险性</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937"/>
              <w:gridCol w:w="536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768" w:type="pct"/>
                  <w:shd w:val="clear" w:color="auto" w:fill="auto"/>
                  <w:vAlign w:val="center"/>
                </w:tcPr>
                <w:p>
                  <w:pPr>
                    <w:adjustRightInd w:val="0"/>
                    <w:snapToGrid w:val="0"/>
                    <w:spacing w:line="300" w:lineRule="exact"/>
                    <w:jc w:val="center"/>
                    <w:rPr>
                      <w:rFonts w:ascii="Times New Roman" w:hAnsi="Times New Roman"/>
                      <w:color w:val="auto"/>
                      <w:sz w:val="20"/>
                      <w:szCs w:val="21"/>
                    </w:rPr>
                  </w:pPr>
                  <w:r>
                    <w:rPr>
                      <w:rFonts w:hint="eastAsia"/>
                      <w:color w:val="auto"/>
                      <w:szCs w:val="21"/>
                    </w:rPr>
                    <w:t>组分信息</w:t>
                  </w:r>
                </w:p>
              </w:tc>
              <w:tc>
                <w:tcPr>
                  <w:tcW w:w="3232" w:type="pct"/>
                  <w:shd w:val="clear" w:color="auto" w:fill="auto"/>
                  <w:vAlign w:val="center"/>
                </w:tcPr>
                <w:p>
                  <w:pPr>
                    <w:adjustRightInd w:val="0"/>
                    <w:snapToGrid w:val="0"/>
                    <w:spacing w:line="300" w:lineRule="exact"/>
                    <w:jc w:val="both"/>
                    <w:rPr>
                      <w:rFonts w:ascii="Times New Roman" w:hAnsi="Times New Roman"/>
                      <w:color w:val="auto"/>
                      <w:sz w:val="20"/>
                      <w:szCs w:val="21"/>
                    </w:rPr>
                  </w:pPr>
                  <w:r>
                    <w:rPr>
                      <w:rFonts w:hint="eastAsia"/>
                      <w:color w:val="auto"/>
                      <w:szCs w:val="21"/>
                    </w:rPr>
                    <w:t>由烷烃、烯烃、环烷烃、芳香烃、多环芳烃与少量硫、氮及添加剂组成的混合物。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768" w:type="pct"/>
                  <w:shd w:val="clear" w:color="auto" w:fill="auto"/>
                  <w:vAlign w:val="center"/>
                </w:tcPr>
                <w:p>
                  <w:pPr>
                    <w:adjustRightInd w:val="0"/>
                    <w:snapToGrid w:val="0"/>
                    <w:spacing w:line="300" w:lineRule="exact"/>
                    <w:jc w:val="center"/>
                    <w:rPr>
                      <w:rFonts w:ascii="Times New Roman" w:hAnsi="Times New Roman"/>
                      <w:color w:val="auto"/>
                      <w:sz w:val="20"/>
                      <w:szCs w:val="21"/>
                    </w:rPr>
                  </w:pPr>
                  <w:r>
                    <w:rPr>
                      <w:rFonts w:hint="eastAsia"/>
                      <w:color w:val="auto"/>
                      <w:szCs w:val="21"/>
                    </w:rPr>
                    <w:t>理化性质</w:t>
                  </w:r>
                </w:p>
              </w:tc>
              <w:tc>
                <w:tcPr>
                  <w:tcW w:w="3232" w:type="pct"/>
                  <w:shd w:val="clear" w:color="auto" w:fill="auto"/>
                  <w:vAlign w:val="center"/>
                </w:tcPr>
                <w:p>
                  <w:pPr>
                    <w:pStyle w:val="220"/>
                    <w:jc w:val="both"/>
                    <w:rPr>
                      <w:rFonts w:hAnsi="Times New Roman"/>
                      <w:color w:val="auto"/>
                      <w:sz w:val="21"/>
                      <w:szCs w:val="21"/>
                    </w:rPr>
                  </w:pPr>
                  <w:r>
                    <w:rPr>
                      <w:rFonts w:hint="eastAsia"/>
                      <w:color w:val="auto"/>
                      <w:sz w:val="21"/>
                      <w:szCs w:val="21"/>
                    </w:rPr>
                    <w:t>外观与性状：稍有粘性的棕色液体；熔点：</w:t>
                  </w:r>
                  <w:r>
                    <w:rPr>
                      <w:rFonts w:ascii="Times New Roman" w:hAnsi="Times New Roman" w:cs="Times New Roman"/>
                      <w:color w:val="auto"/>
                      <w:sz w:val="21"/>
                      <w:szCs w:val="21"/>
                    </w:rPr>
                    <w:t>-18℃</w:t>
                  </w:r>
                  <w:r>
                    <w:rPr>
                      <w:rFonts w:hint="eastAsia" w:hAnsi="Times New Roman"/>
                      <w:color w:val="auto"/>
                      <w:sz w:val="21"/>
                      <w:szCs w:val="21"/>
                    </w:rPr>
                    <w:t>；沸点：</w:t>
                  </w:r>
                  <w:r>
                    <w:rPr>
                      <w:rFonts w:ascii="Times New Roman" w:hAnsi="Times New Roman" w:cs="Times New Roman"/>
                      <w:color w:val="auto"/>
                      <w:sz w:val="21"/>
                      <w:szCs w:val="21"/>
                    </w:rPr>
                    <w:t>282-338℃</w:t>
                  </w:r>
                  <w:r>
                    <w:rPr>
                      <w:rFonts w:hint="eastAsia" w:hAnsi="Times New Roman"/>
                      <w:color w:val="auto"/>
                      <w:sz w:val="21"/>
                      <w:szCs w:val="21"/>
                    </w:rPr>
                    <w:t>；</w:t>
                  </w:r>
                </w:p>
                <w:p>
                  <w:pPr>
                    <w:adjustRightInd w:val="0"/>
                    <w:snapToGrid w:val="0"/>
                    <w:spacing w:line="300" w:lineRule="exact"/>
                    <w:jc w:val="both"/>
                    <w:rPr>
                      <w:rFonts w:ascii="Times New Roman" w:hAnsi="Times New Roman"/>
                      <w:color w:val="auto"/>
                      <w:sz w:val="20"/>
                      <w:szCs w:val="21"/>
                    </w:rPr>
                  </w:pPr>
                  <w:r>
                    <w:rPr>
                      <w:rFonts w:hint="eastAsia" w:hAnsi="Times New Roman"/>
                      <w:color w:val="auto"/>
                      <w:szCs w:val="21"/>
                    </w:rPr>
                    <w:t>相对密度（水</w:t>
                  </w:r>
                  <w:r>
                    <w:rPr>
                      <w:rFonts w:ascii="Times New Roman" w:hAnsi="Times New Roman"/>
                      <w:color w:val="auto"/>
                      <w:szCs w:val="21"/>
                    </w:rPr>
                    <w:t>=1</w:t>
                  </w:r>
                  <w:r>
                    <w:rPr>
                      <w:rFonts w:hint="eastAsia" w:hAnsi="Times New Roman"/>
                      <w:color w:val="auto"/>
                      <w:szCs w:val="21"/>
                    </w:rPr>
                    <w:t>）：</w:t>
                  </w:r>
                  <w:r>
                    <w:rPr>
                      <w:rFonts w:ascii="Times New Roman" w:hAnsi="Times New Roman"/>
                      <w:color w:val="auto"/>
                      <w:szCs w:val="21"/>
                    </w:rPr>
                    <w:t>0.87~0.9</w:t>
                  </w:r>
                  <w:r>
                    <w:rPr>
                      <w:rFonts w:hint="eastAsia" w:hAnsi="Times New Roman"/>
                      <w:color w:val="auto"/>
                      <w:szCs w:val="21"/>
                    </w:rPr>
                    <w:t>；闪点：</w:t>
                  </w:r>
                  <w:r>
                    <w:rPr>
                      <w:rFonts w:ascii="Times New Roman" w:hAnsi="Times New Roman"/>
                      <w:color w:val="auto"/>
                      <w:szCs w:val="21"/>
                    </w:rPr>
                    <w:t>38℃</w:t>
                  </w:r>
                  <w:r>
                    <w:rPr>
                      <w:rFonts w:hint="eastAsia" w:hAnsi="Times New Roman"/>
                      <w:color w:val="auto"/>
                      <w:szCs w:val="21"/>
                    </w:rPr>
                    <w:t>；引燃温度：</w:t>
                  </w:r>
                  <w:r>
                    <w:rPr>
                      <w:rFonts w:ascii="Times New Roman" w:hAnsi="Times New Roman"/>
                      <w:color w:val="auto"/>
                      <w:szCs w:val="21"/>
                    </w:rPr>
                    <w:t>257℃</w:t>
                  </w:r>
                  <w:r>
                    <w:rPr>
                      <w:rFonts w:hint="eastAsia" w:hAnsi="Times New Roman"/>
                      <w:color w:val="auto"/>
                      <w:szCs w:val="21"/>
                    </w:rPr>
                    <w:t>；主要用途：用作柴油机的燃料。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68" w:type="pct"/>
                  <w:shd w:val="clear" w:color="auto" w:fill="auto"/>
                  <w:vAlign w:val="center"/>
                </w:tcPr>
                <w:p>
                  <w:pPr>
                    <w:adjustRightInd w:val="0"/>
                    <w:snapToGrid w:val="0"/>
                    <w:spacing w:line="300" w:lineRule="exact"/>
                    <w:jc w:val="center"/>
                    <w:rPr>
                      <w:rFonts w:ascii="Times New Roman" w:hAnsi="Times New Roman"/>
                      <w:color w:val="auto"/>
                      <w:sz w:val="20"/>
                      <w:szCs w:val="21"/>
                    </w:rPr>
                  </w:pPr>
                  <w:r>
                    <w:rPr>
                      <w:rFonts w:hint="eastAsia"/>
                      <w:color w:val="auto"/>
                      <w:szCs w:val="21"/>
                    </w:rPr>
                    <w:t>稳定性和反应性</w:t>
                  </w:r>
                </w:p>
              </w:tc>
              <w:tc>
                <w:tcPr>
                  <w:tcW w:w="3232" w:type="pct"/>
                  <w:shd w:val="clear" w:color="auto" w:fill="auto"/>
                  <w:vAlign w:val="center"/>
                </w:tcPr>
                <w:p>
                  <w:pPr>
                    <w:adjustRightInd w:val="0"/>
                    <w:snapToGrid w:val="0"/>
                    <w:spacing w:line="300" w:lineRule="exact"/>
                    <w:jc w:val="both"/>
                    <w:rPr>
                      <w:rFonts w:ascii="Times New Roman" w:hAnsi="Times New Roman"/>
                      <w:color w:val="auto"/>
                      <w:sz w:val="20"/>
                      <w:szCs w:val="21"/>
                    </w:rPr>
                  </w:pPr>
                  <w:r>
                    <w:rPr>
                      <w:rFonts w:hint="eastAsia"/>
                      <w:color w:val="auto"/>
                      <w:szCs w:val="21"/>
                    </w:rPr>
                    <w:t>禁配物：强氧化剂、卤素。</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68" w:type="pct"/>
                  <w:shd w:val="clear" w:color="auto" w:fill="auto"/>
                  <w:vAlign w:val="center"/>
                </w:tcPr>
                <w:p>
                  <w:pPr>
                    <w:adjustRightInd w:val="0"/>
                    <w:snapToGrid w:val="0"/>
                    <w:spacing w:line="300" w:lineRule="exact"/>
                    <w:jc w:val="center"/>
                    <w:rPr>
                      <w:rFonts w:ascii="Times New Roman" w:hAnsi="Times New Roman"/>
                      <w:color w:val="auto"/>
                      <w:sz w:val="20"/>
                      <w:szCs w:val="21"/>
                    </w:rPr>
                  </w:pPr>
                  <w:r>
                    <w:rPr>
                      <w:rFonts w:hint="eastAsia"/>
                      <w:color w:val="auto"/>
                      <w:szCs w:val="21"/>
                    </w:rPr>
                    <w:t>危险性概述</w:t>
                  </w:r>
                </w:p>
              </w:tc>
              <w:tc>
                <w:tcPr>
                  <w:tcW w:w="3232" w:type="pct"/>
                  <w:shd w:val="clear" w:color="auto" w:fill="auto"/>
                  <w:vAlign w:val="center"/>
                </w:tcPr>
                <w:p>
                  <w:pPr>
                    <w:pStyle w:val="220"/>
                    <w:jc w:val="both"/>
                    <w:rPr>
                      <w:rFonts w:ascii="Times New Roman" w:hAnsi="Times New Roman"/>
                      <w:color w:val="auto"/>
                      <w:sz w:val="20"/>
                      <w:szCs w:val="21"/>
                    </w:rPr>
                  </w:pPr>
                  <w:r>
                    <w:rPr>
                      <w:rFonts w:hint="eastAsia"/>
                      <w:color w:val="auto"/>
                      <w:sz w:val="21"/>
                      <w:szCs w:val="21"/>
                    </w:rPr>
                    <w:t>危险性类别：易燃液体；燃爆危险：易燃，具刺激性；健康危害：皮肤接触可为主要吸收途经，可致急性肾脏损害。柴油可引起接触性皮炎、油性痤疮。吸入其雾滴或液体呛入可引起吸入性肺炎，能经胎盘进入胎儿血中。柴油废气可引起眼、鼻刺激症状，头晕及头痛；环境危害：对环境有危害，对水体和大气可造成污染。</w:t>
                  </w:r>
                </w:p>
              </w:tc>
            </w:tr>
          </w:tbl>
          <w:p>
            <w:pPr>
              <w:spacing w:line="360" w:lineRule="auto"/>
              <w:ind w:firstLine="480" w:firstLineChars="200"/>
              <w:jc w:val="both"/>
              <w:rPr>
                <w:rFonts w:ascii="宋体" w:hAnsi="宋体"/>
                <w:color w:val="auto"/>
                <w:sz w:val="24"/>
              </w:rPr>
            </w:pPr>
            <w:bookmarkStart w:id="51" w:name="_Toc497066536"/>
            <w:bookmarkStart w:id="52" w:name="_Toc489544258"/>
            <w:bookmarkStart w:id="53" w:name="_Toc489870776"/>
            <w:r>
              <w:rPr>
                <w:rFonts w:hint="eastAsia" w:ascii="宋体" w:hAnsi="宋体"/>
                <w:color w:val="auto"/>
                <w:sz w:val="24"/>
              </w:rPr>
              <w:t>柴油的环境风险：泄漏遇明火、高温可燃烧爆炸，属于一般毒性物质、属易</w:t>
            </w:r>
          </w:p>
          <w:p>
            <w:pPr>
              <w:pStyle w:val="48"/>
              <w:spacing w:line="360" w:lineRule="auto"/>
              <w:ind w:firstLine="0" w:firstLineChars="0"/>
              <w:jc w:val="both"/>
              <w:rPr>
                <w:rFonts w:ascii="Times New Roman" w:hAnsi="Times New Roman"/>
                <w:color w:val="auto"/>
              </w:rPr>
            </w:pPr>
            <w:r>
              <w:rPr>
                <w:rFonts w:hint="eastAsia"/>
                <w:color w:val="auto"/>
              </w:rPr>
              <w:t>燃物质。</w:t>
            </w:r>
          </w:p>
          <w:p>
            <w:pPr>
              <w:pStyle w:val="48"/>
              <w:spacing w:line="360" w:lineRule="auto"/>
              <w:ind w:firstLine="480"/>
              <w:jc w:val="both"/>
              <w:rPr>
                <w:rFonts w:ascii="Times New Roman" w:hAnsi="Times New Roman"/>
                <w:color w:val="auto"/>
                <w:lang w:val="zh-CN"/>
              </w:rPr>
            </w:pPr>
            <w:r>
              <w:rPr>
                <w:rFonts w:hint="eastAsia" w:ascii="Times New Roman" w:hAnsi="Times New Roman"/>
                <w:color w:val="auto"/>
              </w:rPr>
              <w:t>3.2</w:t>
            </w:r>
            <w:r>
              <w:rPr>
                <w:rFonts w:ascii="Times New Roman" w:hAnsi="Times New Roman"/>
                <w:color w:val="auto"/>
                <w:lang w:val="zh-CN"/>
              </w:rPr>
              <w:t>生产设施危险性识别</w:t>
            </w:r>
            <w:bookmarkEnd w:id="51"/>
            <w:bookmarkEnd w:id="52"/>
            <w:bookmarkEnd w:id="53"/>
          </w:p>
          <w:p>
            <w:pPr>
              <w:pStyle w:val="48"/>
              <w:spacing w:line="360" w:lineRule="auto"/>
              <w:ind w:firstLine="480"/>
              <w:jc w:val="both"/>
              <w:rPr>
                <w:rFonts w:ascii="Times New Roman" w:hAnsi="Times New Roman"/>
                <w:color w:val="auto"/>
                <w:lang w:val="zh-CN"/>
              </w:rPr>
            </w:pPr>
            <w:r>
              <w:rPr>
                <w:rFonts w:ascii="Times New Roman" w:hAnsi="Times New Roman"/>
                <w:color w:val="auto"/>
                <w:lang w:val="zh-CN"/>
              </w:rPr>
              <w:t>根据工程内容，结合油田项目的风险经验分析，项目可能发生风险事故的单元为</w:t>
            </w:r>
            <w:r>
              <w:rPr>
                <w:rFonts w:ascii="Times New Roman" w:hAnsi="Times New Roman"/>
                <w:color w:val="auto"/>
              </w:rPr>
              <w:t>井场</w:t>
            </w:r>
            <w:r>
              <w:rPr>
                <w:rFonts w:ascii="Times New Roman" w:hAnsi="Times New Roman"/>
                <w:color w:val="auto"/>
                <w:lang w:val="zh-CN"/>
              </w:rPr>
              <w:t>和单井</w:t>
            </w:r>
            <w:r>
              <w:rPr>
                <w:rFonts w:ascii="Times New Roman" w:hAnsi="Times New Roman"/>
                <w:color w:val="auto"/>
              </w:rPr>
              <w:t>集输</w:t>
            </w:r>
            <w:r>
              <w:rPr>
                <w:rFonts w:ascii="Times New Roman" w:hAnsi="Times New Roman"/>
                <w:color w:val="auto"/>
                <w:lang w:val="zh-CN"/>
              </w:rPr>
              <w:t>管线。</w:t>
            </w:r>
          </w:p>
          <w:p>
            <w:pPr>
              <w:pStyle w:val="48"/>
              <w:spacing w:line="360" w:lineRule="auto"/>
              <w:ind w:firstLine="480"/>
              <w:jc w:val="both"/>
              <w:rPr>
                <w:rFonts w:ascii="Times New Roman" w:hAnsi="Times New Roman"/>
                <w:color w:val="auto"/>
              </w:rPr>
            </w:pPr>
            <w:r>
              <w:rPr>
                <w:rFonts w:hint="eastAsia" w:ascii="Times New Roman" w:hAnsi="Times New Roman"/>
                <w:color w:val="auto"/>
              </w:rPr>
              <w:t>（1）</w:t>
            </w:r>
            <w:r>
              <w:rPr>
                <w:rFonts w:ascii="Times New Roman" w:hAnsi="Times New Roman"/>
                <w:color w:val="auto"/>
              </w:rPr>
              <w:t>井场危险性识别</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单井井场主要发生的风险事故为井喷、井漏</w:t>
            </w:r>
            <w:r>
              <w:rPr>
                <w:rFonts w:hint="eastAsia" w:ascii="Times New Roman" w:hAnsi="Times New Roman"/>
                <w:color w:val="auto"/>
                <w:sz w:val="24"/>
              </w:rPr>
              <w:t>、柴油桶泄漏</w:t>
            </w:r>
            <w:r>
              <w:rPr>
                <w:rFonts w:ascii="Times New Roman" w:hAnsi="Times New Roman"/>
                <w:color w:val="auto"/>
                <w:sz w:val="24"/>
              </w:rPr>
              <w:t>事故风险，由于生产井固井质量不好，井下作业可能引发油水窜层，污染地下水。</w:t>
            </w:r>
          </w:p>
          <w:p>
            <w:pPr>
              <w:overflowPunct w:val="0"/>
              <w:spacing w:line="360" w:lineRule="auto"/>
              <w:ind w:firstLine="480" w:firstLineChars="200"/>
              <w:jc w:val="both"/>
              <w:rPr>
                <w:color w:val="auto"/>
                <w:sz w:val="24"/>
              </w:rPr>
            </w:pPr>
            <w:r>
              <w:rPr>
                <w:rFonts w:hint="eastAsia"/>
                <w:color w:val="auto"/>
                <w:sz w:val="24"/>
              </w:rPr>
              <w:t>井喷为井场常见事故。钻井过程中遇到地下油、水层时，油或水窜进井内的钻井液里，加快了钻井液流动和循环的速度。如果井底压力小于地层压力，地层流体将进入井筒并推动钻井液外溢，即发生溢流。此时，如果对地下油、气压力平衡控制不当，不能及时控制溢流，会造成油、水或其他混合物迅速喷到地面，即发生井喷。井喷会引发油品泄漏及火灾爆炸，对空气环境、水环境及生态环境造成危害，致使人员伤亡、财产损失。</w:t>
            </w:r>
          </w:p>
          <w:p>
            <w:pPr>
              <w:pStyle w:val="3"/>
              <w:spacing w:before="0" w:after="0" w:line="360" w:lineRule="auto"/>
              <w:ind w:firstLine="480" w:firstLineChars="200"/>
              <w:jc w:val="both"/>
              <w:rPr>
                <w:rFonts w:ascii="Calibri" w:hAnsi="Calibri"/>
                <w:b w:val="0"/>
                <w:bCs w:val="0"/>
                <w:color w:val="auto"/>
                <w:sz w:val="24"/>
                <w:szCs w:val="24"/>
              </w:rPr>
            </w:pPr>
            <w:r>
              <w:rPr>
                <w:rFonts w:hint="eastAsia" w:ascii="Calibri" w:hAnsi="Calibri"/>
                <w:b w:val="0"/>
                <w:bCs w:val="0"/>
                <w:color w:val="auto"/>
                <w:sz w:val="24"/>
                <w:szCs w:val="24"/>
              </w:rPr>
              <w:t>钻井施工表层套管下入深度不够或固井质量不好可能引发污染地下水事故，如油水上窜造成地下水污染等。</w:t>
            </w:r>
          </w:p>
          <w:p>
            <w:pPr>
              <w:pStyle w:val="3"/>
              <w:spacing w:before="0" w:after="0" w:line="360" w:lineRule="auto"/>
              <w:ind w:firstLine="480" w:firstLineChars="200"/>
              <w:jc w:val="both"/>
              <w:rPr>
                <w:rFonts w:ascii="Calibri" w:hAnsi="Calibri"/>
                <w:b w:val="0"/>
                <w:bCs w:val="0"/>
                <w:color w:val="auto"/>
                <w:sz w:val="24"/>
                <w:szCs w:val="24"/>
              </w:rPr>
            </w:pPr>
            <w:r>
              <w:rPr>
                <w:rFonts w:hint="eastAsia" w:ascii="Calibri" w:hAnsi="Calibri"/>
                <w:b w:val="0"/>
                <w:bCs w:val="0"/>
                <w:color w:val="auto"/>
                <w:sz w:val="24"/>
                <w:szCs w:val="24"/>
              </w:rPr>
              <w:t>钻井期井场设置柴油桶区，油桶因质量、操作运行和管理等环节存在缺陷和失误，可能会发生泄漏，对周围地下水、土壤、大气等环境造成污染。</w:t>
            </w:r>
          </w:p>
          <w:p>
            <w:pPr>
              <w:overflowPunct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集输管道危险性识别</w:t>
            </w:r>
          </w:p>
          <w:p>
            <w:pPr>
              <w:overflowPunct w:val="0"/>
              <w:spacing w:line="360" w:lineRule="auto"/>
              <w:ind w:firstLine="480" w:firstLineChars="200"/>
              <w:jc w:val="both"/>
              <w:rPr>
                <w:rFonts w:ascii="Times New Roman" w:hAnsi="Times New Roman"/>
                <w:color w:val="auto"/>
                <w:sz w:val="24"/>
              </w:rPr>
            </w:pPr>
            <w:r>
              <w:rPr>
                <w:rFonts w:ascii="Times New Roman" w:hAnsi="Times New Roman"/>
                <w:color w:val="auto"/>
                <w:sz w:val="24"/>
              </w:rPr>
              <w:t>集油管线由于管道本身的设计、管材制造、施工、操作运行和管理等各环节都可能存在着缺陷和失误，所有这些因素都可能导致事故的发生。发生的事故主要为管线破裂造成的原油泄漏，事故发生时会有大量的原油溢出，对周围环境造成直接污染。</w:t>
            </w:r>
          </w:p>
          <w:p>
            <w:pPr>
              <w:pStyle w:val="3"/>
              <w:spacing w:before="0" w:after="0" w:line="360" w:lineRule="auto"/>
              <w:ind w:firstLine="482" w:firstLineChars="200"/>
              <w:rPr>
                <w:rFonts w:ascii="Times New Roman" w:hAnsi="Times New Roman"/>
                <w:color w:val="auto"/>
                <w:sz w:val="24"/>
              </w:rPr>
            </w:pP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rPr>
              <w:t>风险类型识别</w:t>
            </w:r>
          </w:p>
          <w:p>
            <w:pPr>
              <w:adjustRightInd w:val="0"/>
              <w:spacing w:line="360" w:lineRule="auto"/>
              <w:ind w:firstLine="480" w:firstLineChars="200"/>
              <w:jc w:val="both"/>
              <w:rPr>
                <w:rFonts w:ascii="Times New Roman" w:hAnsi="Times New Roman"/>
                <w:color w:val="auto"/>
                <w:sz w:val="24"/>
                <w:lang w:bidi="ar"/>
              </w:rPr>
            </w:pPr>
            <w:r>
              <w:rPr>
                <w:rFonts w:hint="eastAsia" w:ascii="Times New Roman" w:hAnsi="Times New Roman"/>
                <w:color w:val="auto"/>
                <w:sz w:val="24"/>
                <w:lang w:bidi="ar"/>
              </w:rPr>
              <w:t>通过分析本项目可能涉及的危险物质及危险场所及危险特性，本项目可能发生的环境风险主要包括井喷、井漏、油类泄漏、火灾、爆炸等引发的伴生</w:t>
            </w:r>
            <w:r>
              <w:rPr>
                <w:rFonts w:ascii="Times New Roman" w:hAnsi="Times New Roman"/>
                <w:color w:val="auto"/>
                <w:sz w:val="24"/>
                <w:lang w:bidi="ar"/>
              </w:rPr>
              <w:t>/</w:t>
            </w:r>
            <w:r>
              <w:rPr>
                <w:rFonts w:hint="eastAsia" w:ascii="Times New Roman" w:hAnsi="Times New Roman"/>
                <w:color w:val="auto"/>
                <w:sz w:val="24"/>
                <w:lang w:bidi="ar"/>
              </w:rPr>
              <w:t>次生污染物排放。</w:t>
            </w:r>
          </w:p>
          <w:p>
            <w:pPr>
              <w:adjustRightInd w:val="0"/>
              <w:spacing w:line="360" w:lineRule="auto"/>
              <w:ind w:firstLine="480" w:firstLineChars="200"/>
              <w:jc w:val="both"/>
              <w:rPr>
                <w:rFonts w:ascii="Times New Roman" w:hAnsi="Times New Roman"/>
                <w:color w:val="auto"/>
                <w:sz w:val="24"/>
                <w:lang w:bidi="ar"/>
              </w:rPr>
            </w:pPr>
            <w:r>
              <w:rPr>
                <w:rFonts w:hint="eastAsia" w:ascii="Times New Roman" w:hAnsi="Times New Roman"/>
                <w:color w:val="auto"/>
                <w:sz w:val="24"/>
                <w:lang w:bidi="ar"/>
              </w:rPr>
              <w:t>运营期管线发生破损造成原油泄漏，会污染土壤和大气，泄漏柴油或者原油有可能通过包气带渗漏进入地下含水层，污染地下水；泄漏的油品若遇明火，发生火灾、爆炸，污染大气环境。</w:t>
            </w:r>
          </w:p>
          <w:p>
            <w:pPr>
              <w:spacing w:line="360" w:lineRule="auto"/>
              <w:ind w:firstLine="482" w:firstLineChars="200"/>
              <w:rPr>
                <w:rFonts w:ascii="宋体" w:hAnsi="宋体" w:cs="宋体"/>
                <w:color w:val="auto"/>
              </w:rPr>
            </w:pPr>
            <w:r>
              <w:rPr>
                <w:rFonts w:hint="eastAsia" w:ascii="Times New Roman" w:hAnsi="Times New Roman"/>
                <w:b/>
                <w:bCs/>
                <w:color w:val="auto"/>
                <w:kern w:val="0"/>
                <w:sz w:val="24"/>
                <w:lang w:bidi="ar"/>
              </w:rPr>
              <w:t>5</w:t>
            </w:r>
            <w:r>
              <w:rPr>
                <w:rFonts w:ascii="Times New Roman" w:hAnsi="Times New Roman"/>
                <w:b/>
                <w:bCs/>
                <w:color w:val="auto"/>
                <w:kern w:val="0"/>
                <w:sz w:val="24"/>
                <w:lang w:bidi="ar"/>
              </w:rPr>
              <w:t>.</w:t>
            </w:r>
            <w:r>
              <w:rPr>
                <w:rFonts w:hint="eastAsia" w:ascii="Times New Roman" w:hAnsi="Times New Roman"/>
                <w:b/>
                <w:bCs/>
                <w:color w:val="auto"/>
                <w:kern w:val="0"/>
                <w:sz w:val="24"/>
                <w:lang w:bidi="ar"/>
              </w:rPr>
              <w:t xml:space="preserve"> </w:t>
            </w:r>
            <w:r>
              <w:rPr>
                <w:rFonts w:ascii="Times New Roman" w:hAnsi="Times New Roman"/>
                <w:b/>
                <w:bCs/>
                <w:color w:val="auto"/>
                <w:kern w:val="0"/>
                <w:sz w:val="24"/>
                <w:lang w:bidi="ar"/>
              </w:rPr>
              <w:t>可</w:t>
            </w:r>
            <w:r>
              <w:rPr>
                <w:rFonts w:hint="eastAsia" w:ascii="宋体" w:hAnsi="宋体" w:cs="宋体"/>
                <w:b/>
                <w:bCs/>
                <w:color w:val="auto"/>
                <w:kern w:val="0"/>
                <w:sz w:val="24"/>
                <w:lang w:bidi="ar"/>
              </w:rPr>
              <w:t xml:space="preserve">能影响环境的途径 </w:t>
            </w:r>
          </w:p>
          <w:p>
            <w:pPr>
              <w:spacing w:line="360" w:lineRule="auto"/>
              <w:ind w:firstLine="480" w:firstLineChars="200"/>
              <w:rPr>
                <w:rFonts w:ascii="Times New Roman" w:hAnsi="Times New Roman"/>
                <w:color w:val="auto"/>
              </w:rPr>
            </w:pPr>
            <w:r>
              <w:rPr>
                <w:rFonts w:ascii="Times New Roman" w:hAnsi="Times New Roman"/>
                <w:color w:val="auto"/>
                <w:kern w:val="0"/>
                <w:sz w:val="24"/>
                <w:lang w:bidi="ar"/>
              </w:rPr>
              <w:t xml:space="preserve">根据石油开采特点，本项目主要风险事故类型、来源及影响环境的途径详见表6。 </w:t>
            </w:r>
          </w:p>
          <w:p>
            <w:pPr>
              <w:jc w:val="center"/>
              <w:rPr>
                <w:b/>
                <w:bCs/>
                <w:color w:val="auto"/>
              </w:rPr>
            </w:pPr>
            <w:r>
              <w:rPr>
                <w:rFonts w:ascii="Times New Roman" w:hAnsi="Times New Roman"/>
                <w:b/>
                <w:bCs/>
                <w:color w:val="auto"/>
                <w:kern w:val="0"/>
                <w:szCs w:val="21"/>
                <w:lang w:bidi="ar"/>
              </w:rPr>
              <w:t>表6  本</w:t>
            </w:r>
            <w:r>
              <w:rPr>
                <w:rFonts w:ascii="宋体" w:hAnsi="宋体" w:cs="宋体"/>
                <w:b/>
                <w:bCs/>
                <w:color w:val="auto"/>
                <w:kern w:val="0"/>
                <w:szCs w:val="21"/>
                <w:lang w:bidi="ar"/>
              </w:rPr>
              <w:t>项目主要事故类型、来源及影响环境的途径</w:t>
            </w:r>
          </w:p>
          <w:tbl>
            <w:tblPr>
              <w:tblStyle w:val="38"/>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854"/>
              <w:gridCol w:w="1443"/>
              <w:gridCol w:w="1899"/>
              <w:gridCol w:w="797"/>
              <w:gridCol w:w="26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发生</w:t>
                  </w:r>
                </w:p>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时段</w:t>
                  </w:r>
                </w:p>
              </w:tc>
              <w:tc>
                <w:tcPr>
                  <w:tcW w:w="854"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事故</w:t>
                  </w:r>
                </w:p>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类型</w:t>
                  </w:r>
                </w:p>
              </w:tc>
              <w:tc>
                <w:tcPr>
                  <w:tcW w:w="1443"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来源</w:t>
                  </w:r>
                </w:p>
              </w:tc>
              <w:tc>
                <w:tcPr>
                  <w:tcW w:w="1899"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主要危害</w:t>
                  </w:r>
                </w:p>
              </w:tc>
              <w:tc>
                <w:tcPr>
                  <w:tcW w:w="797"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危险物质</w:t>
                  </w:r>
                </w:p>
              </w:tc>
              <w:tc>
                <w:tcPr>
                  <w:tcW w:w="2662"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影响环境的途径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施工期</w:t>
                  </w:r>
                </w:p>
              </w:tc>
              <w:tc>
                <w:tcPr>
                  <w:tcW w:w="854"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井喷</w:t>
                  </w:r>
                </w:p>
              </w:tc>
              <w:tc>
                <w:tcPr>
                  <w:tcW w:w="1443"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采油井</w:t>
                  </w:r>
                </w:p>
              </w:tc>
              <w:tc>
                <w:tcPr>
                  <w:tcW w:w="1899"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污染周边土壤环境、大气环境、地下水</w:t>
                  </w:r>
                </w:p>
              </w:tc>
              <w:tc>
                <w:tcPr>
                  <w:tcW w:w="797"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原油</w:t>
                  </w:r>
                </w:p>
              </w:tc>
              <w:tc>
                <w:tcPr>
                  <w:tcW w:w="2662" w:type="dxa"/>
                  <w:vAlign w:val="center"/>
                </w:tcPr>
                <w:p>
                  <w:pPr>
                    <w:jc w:val="center"/>
                    <w:textAlignment w:val="center"/>
                    <w:rPr>
                      <w:rFonts w:ascii="Times New Roman" w:hAnsi="Times New Roman"/>
                      <w:color w:val="auto"/>
                      <w:kern w:val="0"/>
                      <w:szCs w:val="21"/>
                      <w:shd w:val="clear" w:color="auto" w:fill="FFFFFF"/>
                      <w:lang w:bidi="ar"/>
                    </w:rPr>
                  </w:pPr>
                  <w:r>
                    <w:rPr>
                      <w:rFonts w:hint="eastAsia" w:ascii="Times New Roman" w:hAnsi="Times New Roman"/>
                      <w:color w:val="auto"/>
                      <w:kern w:val="0"/>
                      <w:szCs w:val="21"/>
                      <w:shd w:val="clear" w:color="auto" w:fill="FFFFFF"/>
                      <w:lang w:bidi="ar"/>
                    </w:rPr>
                    <w:t>①石油烃积累在土壤表层会破坏土壤结构，影响其通透性，进而影响农作物的生长和发育；②井喷引发的火灾对大气的影响；</w:t>
                  </w:r>
                  <w:r>
                    <w:rPr>
                      <w:rFonts w:hint="eastAsia" w:ascii="Times New Roman" w:hAnsi="Times New Roman"/>
                      <w:color w:val="auto"/>
                      <w:kern w:val="0"/>
                      <w:szCs w:val="21"/>
                      <w:shd w:val="clear" w:color="auto" w:fill="FFFFFF"/>
                      <w:lang w:bidi="ar"/>
                    </w:rPr>
                    <w:fldChar w:fldCharType="begin"/>
                  </w:r>
                  <w:r>
                    <w:rPr>
                      <w:rFonts w:hint="eastAsia" w:ascii="Times New Roman" w:hAnsi="Times New Roman"/>
                      <w:color w:val="auto"/>
                      <w:kern w:val="0"/>
                      <w:szCs w:val="21"/>
                      <w:shd w:val="clear" w:color="auto" w:fill="FFFFFF"/>
                      <w:lang w:bidi="ar"/>
                    </w:rPr>
                    <w:instrText xml:space="preserve"> = 3 \* GB3 \* MERGEFORMAT </w:instrText>
                  </w:r>
                  <w:r>
                    <w:rPr>
                      <w:rFonts w:hint="eastAsia" w:ascii="Times New Roman" w:hAnsi="Times New Roman"/>
                      <w:color w:val="auto"/>
                      <w:kern w:val="0"/>
                      <w:szCs w:val="21"/>
                      <w:shd w:val="clear" w:color="auto" w:fill="FFFFFF"/>
                      <w:lang w:bidi="ar"/>
                    </w:rPr>
                    <w:fldChar w:fldCharType="separate"/>
                  </w:r>
                  <w:r>
                    <w:rPr>
                      <w:rFonts w:hint="eastAsia" w:ascii="Times New Roman" w:hAnsi="Times New Roman"/>
                      <w:color w:val="auto"/>
                      <w:kern w:val="0"/>
                      <w:szCs w:val="21"/>
                      <w:shd w:val="clear" w:color="auto" w:fill="FFFFFF"/>
                      <w:lang w:bidi="ar"/>
                    </w:rPr>
                    <w:t>③</w:t>
                  </w:r>
                  <w:r>
                    <w:rPr>
                      <w:rFonts w:hint="eastAsia" w:ascii="Times New Roman" w:hAnsi="Times New Roman"/>
                      <w:color w:val="auto"/>
                      <w:kern w:val="0"/>
                      <w:szCs w:val="21"/>
                      <w:shd w:val="clear" w:color="auto" w:fill="FFFFFF"/>
                      <w:lang w:bidi="ar"/>
                    </w:rPr>
                    <w:fldChar w:fldCharType="end"/>
                  </w:r>
                  <w:r>
                    <w:rPr>
                      <w:rFonts w:hint="eastAsia" w:ascii="Times New Roman" w:hAnsi="Times New Roman"/>
                      <w:color w:val="auto"/>
                      <w:kern w:val="0"/>
                      <w:szCs w:val="21"/>
                      <w:shd w:val="clear" w:color="auto" w:fill="FFFFFF"/>
                      <w:lang w:bidi="ar"/>
                    </w:rPr>
                    <w:t>原</w:t>
                  </w:r>
                  <w:r>
                    <w:rPr>
                      <w:rFonts w:ascii="Times New Roman" w:hAnsi="Times New Roman"/>
                      <w:color w:val="auto"/>
                      <w:kern w:val="0"/>
                      <w:szCs w:val="21"/>
                      <w:shd w:val="clear" w:color="auto" w:fill="FFFFFF"/>
                      <w:lang w:bidi="ar"/>
                    </w:rPr>
                    <w:t>油以面源的形式渗漏进入包气带土壤并污染地下水</w:t>
                  </w:r>
                  <w:r>
                    <w:rPr>
                      <w:rFonts w:hint="eastAsia" w:ascii="Times New Roman" w:hAnsi="Times New Roman"/>
                      <w:color w:val="auto"/>
                      <w:kern w:val="0"/>
                      <w:szCs w:val="21"/>
                      <w:shd w:val="clear" w:color="auto" w:fill="FFFFFF"/>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jc w:val="center"/>
                    <w:textAlignment w:val="center"/>
                    <w:rPr>
                      <w:rFonts w:ascii="宋体" w:hAnsi="宋体" w:cs="宋体"/>
                      <w:color w:val="auto"/>
                      <w:kern w:val="0"/>
                      <w:szCs w:val="21"/>
                      <w:lang w:bidi="ar"/>
                    </w:rPr>
                  </w:pPr>
                </w:p>
              </w:tc>
              <w:tc>
                <w:tcPr>
                  <w:tcW w:w="854"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井漏</w:t>
                  </w:r>
                </w:p>
              </w:tc>
              <w:tc>
                <w:tcPr>
                  <w:tcW w:w="1443"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采油井</w:t>
                  </w:r>
                </w:p>
              </w:tc>
              <w:tc>
                <w:tcPr>
                  <w:tcW w:w="1899"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地下含水层</w:t>
                  </w:r>
                </w:p>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水质污染</w:t>
                  </w:r>
                </w:p>
              </w:tc>
              <w:tc>
                <w:tcPr>
                  <w:tcW w:w="797" w:type="dxa"/>
                  <w:vAlign w:val="center"/>
                </w:tcPr>
                <w:p>
                  <w:pPr>
                    <w:jc w:val="center"/>
                    <w:textAlignment w:val="center"/>
                    <w:rPr>
                      <w:rFonts w:ascii="宋体" w:hAnsi="宋体" w:cs="宋体"/>
                      <w:color w:val="auto"/>
                      <w:kern w:val="0"/>
                      <w:szCs w:val="21"/>
                      <w:lang w:bidi="ar"/>
                    </w:rPr>
                  </w:pPr>
                  <w:r>
                    <w:rPr>
                      <w:rFonts w:hint="eastAsia" w:ascii="Times New Roman" w:hAnsi="Times New Roman"/>
                      <w:color w:val="auto"/>
                    </w:rPr>
                    <w:t>泥浆</w:t>
                  </w:r>
                </w:p>
              </w:tc>
              <w:tc>
                <w:tcPr>
                  <w:tcW w:w="2662" w:type="dxa"/>
                  <w:vAlign w:val="center"/>
                </w:tcPr>
                <w:p>
                  <w:pPr>
                    <w:jc w:val="center"/>
                    <w:rPr>
                      <w:rFonts w:ascii="Times New Roman" w:hAnsi="Times New Roman"/>
                      <w:color w:val="auto"/>
                      <w:kern w:val="0"/>
                      <w:szCs w:val="21"/>
                      <w:shd w:val="clear" w:color="auto" w:fill="FFFFFF"/>
                      <w:lang w:bidi="ar"/>
                    </w:rPr>
                  </w:pPr>
                  <w:r>
                    <w:rPr>
                      <w:rFonts w:hint="eastAsia" w:ascii="Times New Roman" w:hAnsi="Times New Roman"/>
                      <w:color w:val="auto"/>
                      <w:kern w:val="0"/>
                      <w:szCs w:val="21"/>
                      <w:shd w:val="clear" w:color="auto" w:fill="FFFFFF"/>
                      <w:lang w:bidi="ar"/>
                    </w:rPr>
                    <w:t>漏失于地下水含水层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jc w:val="center"/>
                    <w:textAlignment w:val="center"/>
                    <w:rPr>
                      <w:rFonts w:ascii="宋体" w:hAnsi="宋体" w:cs="宋体"/>
                      <w:color w:val="auto"/>
                      <w:kern w:val="0"/>
                      <w:szCs w:val="21"/>
                      <w:lang w:bidi="ar"/>
                    </w:rPr>
                  </w:pPr>
                </w:p>
              </w:tc>
              <w:tc>
                <w:tcPr>
                  <w:tcW w:w="854"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柴油桶泄漏</w:t>
                  </w:r>
                </w:p>
              </w:tc>
              <w:tc>
                <w:tcPr>
                  <w:tcW w:w="1443"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柴油桶区</w:t>
                  </w:r>
                </w:p>
              </w:tc>
              <w:tc>
                <w:tcPr>
                  <w:tcW w:w="1899"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对周围环境空气、水体、土壤和植被会造成一定的不利影响</w:t>
                  </w:r>
                </w:p>
              </w:tc>
              <w:tc>
                <w:tcPr>
                  <w:tcW w:w="797"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柴油</w:t>
                  </w:r>
                </w:p>
              </w:tc>
              <w:tc>
                <w:tcPr>
                  <w:tcW w:w="2662"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①</w:t>
                  </w:r>
                  <w:r>
                    <w:rPr>
                      <w:rFonts w:hint="eastAsia" w:ascii="Times New Roman" w:hAnsi="Times New Roman"/>
                      <w:color w:val="auto"/>
                    </w:rPr>
                    <w:t>柴油进入环境空气，其中的非甲烷总烃若遇明火，可发生火灾、爆炸产生伴生/次生污染物；</w:t>
                  </w:r>
                  <w:r>
                    <w:rPr>
                      <w:rFonts w:hint="eastAsia" w:ascii="宋体" w:hAnsi="宋体" w:cs="宋体"/>
                      <w:color w:val="auto"/>
                      <w:kern w:val="0"/>
                      <w:szCs w:val="21"/>
                      <w:lang w:bidi="ar"/>
                    </w:rPr>
                    <w:t>②</w:t>
                  </w:r>
                  <w:r>
                    <w:rPr>
                      <w:rFonts w:hint="eastAsia" w:ascii="Times New Roman" w:hAnsi="Times New Roman"/>
                      <w:color w:val="auto"/>
                    </w:rPr>
                    <w:t>油品下渗可能导致地下水污染风险；</w:t>
                  </w:r>
                  <w:r>
                    <w:rPr>
                      <w:rFonts w:hint="eastAsia" w:ascii="宋体" w:hAnsi="宋体" w:cs="宋体"/>
                      <w:color w:val="auto"/>
                      <w:kern w:val="0"/>
                      <w:szCs w:val="21"/>
                      <w:lang w:bidi="ar"/>
                    </w:rPr>
                    <w:fldChar w:fldCharType="begin"/>
                  </w:r>
                  <w:r>
                    <w:rPr>
                      <w:rFonts w:hint="eastAsia" w:ascii="宋体" w:hAnsi="宋体" w:cs="宋体"/>
                      <w:color w:val="auto"/>
                      <w:kern w:val="0"/>
                      <w:szCs w:val="21"/>
                      <w:lang w:bidi="ar"/>
                    </w:rPr>
                    <w:instrText xml:space="preserve"> = 3 \* GB3 \* MERGEFORMAT </w:instrText>
                  </w:r>
                  <w:r>
                    <w:rPr>
                      <w:rFonts w:hint="eastAsia" w:ascii="宋体" w:hAnsi="宋体" w:cs="宋体"/>
                      <w:color w:val="auto"/>
                      <w:kern w:val="0"/>
                      <w:szCs w:val="21"/>
                      <w:lang w:bidi="ar"/>
                    </w:rPr>
                    <w:fldChar w:fldCharType="separate"/>
                  </w:r>
                  <w:r>
                    <w:rPr>
                      <w:rFonts w:hint="eastAsia" w:ascii="宋体" w:hAnsi="宋体" w:cs="宋体"/>
                      <w:color w:val="auto"/>
                    </w:rPr>
                    <w:t>③</w:t>
                  </w:r>
                  <w:r>
                    <w:rPr>
                      <w:rFonts w:hint="eastAsia" w:ascii="宋体" w:hAnsi="宋体" w:cs="宋体"/>
                      <w:color w:val="auto"/>
                      <w:kern w:val="0"/>
                      <w:szCs w:val="21"/>
                      <w:lang w:bidi="ar"/>
                    </w:rPr>
                    <w:fldChar w:fldCharType="end"/>
                  </w:r>
                  <w:r>
                    <w:rPr>
                      <w:rFonts w:hint="eastAsia" w:ascii="Times New Roman" w:hAnsi="Times New Roman"/>
                      <w:color w:val="auto"/>
                    </w:rPr>
                    <w:t>柴油污染土壤造成的土壤理性化性状变化间接影响植物生长，严重时会导致植物死亡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adjustRightInd w:val="0"/>
                    <w:snapToGrid w:val="0"/>
                    <w:jc w:val="center"/>
                    <w:rPr>
                      <w:rFonts w:ascii="Times New Roman" w:hAnsi="Times New Roman"/>
                      <w:color w:val="auto"/>
                      <w:szCs w:val="21"/>
                      <w:lang w:bidi="ar"/>
                    </w:rPr>
                  </w:pPr>
                  <w:r>
                    <w:rPr>
                      <w:rFonts w:hint="eastAsia" w:ascii="Times New Roman" w:hAnsi="Times New Roman"/>
                      <w:color w:val="auto"/>
                      <w:szCs w:val="21"/>
                      <w:lang w:bidi="ar"/>
                    </w:rPr>
                    <w:t>运营期</w:t>
                  </w:r>
                </w:p>
              </w:tc>
              <w:tc>
                <w:tcPr>
                  <w:tcW w:w="854"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泄漏</w:t>
                  </w:r>
                </w:p>
              </w:tc>
              <w:tc>
                <w:tcPr>
                  <w:tcW w:w="1443"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井场高架罐、集油管线</w:t>
                  </w:r>
                </w:p>
              </w:tc>
              <w:tc>
                <w:tcPr>
                  <w:tcW w:w="1899"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污染环境，引发火灾爆炸，损害人体及财产安全</w:t>
                  </w:r>
                </w:p>
              </w:tc>
              <w:tc>
                <w:tcPr>
                  <w:tcW w:w="797"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原油</w:t>
                  </w:r>
                </w:p>
              </w:tc>
              <w:tc>
                <w:tcPr>
                  <w:tcW w:w="2662"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①原油泄漏进入地表环境，阻塞土壤孔隙，使土壤板结，通透性变差，不利于植物生长；②泄漏后聚积地面，通过地面渗透进入地下含水层，影响地下水质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adjustRightInd w:val="0"/>
                    <w:snapToGrid w:val="0"/>
                    <w:jc w:val="center"/>
                    <w:rPr>
                      <w:rFonts w:ascii="Times New Roman" w:hAnsi="Times New Roman"/>
                      <w:color w:val="auto"/>
                      <w:szCs w:val="21"/>
                      <w:lang w:bidi="ar"/>
                    </w:rPr>
                  </w:pPr>
                </w:p>
              </w:tc>
              <w:tc>
                <w:tcPr>
                  <w:tcW w:w="854"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火灾爆炸产生的次生污染</w:t>
                  </w:r>
                </w:p>
              </w:tc>
              <w:tc>
                <w:tcPr>
                  <w:tcW w:w="1443"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井场高架罐、集油管线</w:t>
                  </w:r>
                </w:p>
              </w:tc>
              <w:tc>
                <w:tcPr>
                  <w:tcW w:w="1899"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污染环境、损害人身健康及财产安全</w:t>
                  </w:r>
                </w:p>
              </w:tc>
              <w:tc>
                <w:tcPr>
                  <w:tcW w:w="797"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次生污染物CO等</w:t>
                  </w:r>
                </w:p>
              </w:tc>
              <w:tc>
                <w:tcPr>
                  <w:tcW w:w="2662" w:type="dxa"/>
                  <w:vAlign w:val="center"/>
                </w:tcPr>
                <w:p>
                  <w:pPr>
                    <w:jc w:val="center"/>
                    <w:textAlignment w:val="center"/>
                    <w:rPr>
                      <w:rFonts w:ascii="Times New Roman" w:hAnsi="Times New Roman"/>
                      <w:color w:val="auto"/>
                      <w:szCs w:val="21"/>
                      <w:lang w:bidi="ar"/>
                    </w:rPr>
                  </w:pPr>
                  <w:r>
                    <w:rPr>
                      <w:rFonts w:hint="eastAsia" w:ascii="宋体" w:hAnsi="宋体" w:cs="宋体"/>
                      <w:color w:val="auto"/>
                      <w:kern w:val="0"/>
                      <w:szCs w:val="21"/>
                      <w:lang w:bidi="ar"/>
                    </w:rPr>
                    <w:t>发生火灾或爆炸，污染大气，同时破坏周围地表植被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adjustRightInd w:val="0"/>
                    <w:snapToGrid w:val="0"/>
                    <w:jc w:val="center"/>
                    <w:rPr>
                      <w:rFonts w:ascii="Times New Roman" w:hAnsi="Times New Roman"/>
                      <w:color w:val="auto"/>
                      <w:szCs w:val="21"/>
                      <w:lang w:bidi="ar"/>
                    </w:rPr>
                  </w:pPr>
                </w:p>
              </w:tc>
              <w:tc>
                <w:tcPr>
                  <w:tcW w:w="854"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套管外返水</w:t>
                  </w:r>
                </w:p>
              </w:tc>
              <w:tc>
                <w:tcPr>
                  <w:tcW w:w="1443"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采油井</w:t>
                  </w:r>
                </w:p>
              </w:tc>
              <w:tc>
                <w:tcPr>
                  <w:tcW w:w="1899"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污染地下水</w:t>
                  </w:r>
                </w:p>
              </w:tc>
              <w:tc>
                <w:tcPr>
                  <w:tcW w:w="797"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原油</w:t>
                  </w:r>
                </w:p>
              </w:tc>
              <w:tc>
                <w:tcPr>
                  <w:tcW w:w="2662" w:type="dxa"/>
                  <w:vAlign w:val="center"/>
                </w:tcPr>
                <w:p>
                  <w:pPr>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固井质量不好、油井表层套管腐蚀或者固井水泥老化等，可能导致水泥环破裂及脱落，最终造成套外返水，可能会穿透含水层污染承压水，对地下水环境造成影响。</w:t>
                  </w:r>
                </w:p>
              </w:tc>
            </w:tr>
          </w:tbl>
          <w:p>
            <w:pPr>
              <w:adjustRightInd w:val="0"/>
              <w:spacing w:before="156" w:beforeLines="50" w:line="360" w:lineRule="auto"/>
              <w:ind w:firstLine="482" w:firstLineChars="200"/>
              <w:jc w:val="both"/>
              <w:rPr>
                <w:rFonts w:ascii="Times New Roman" w:hAnsi="Times New Roman"/>
                <w:b/>
                <w:color w:val="auto"/>
                <w:kern w:val="0"/>
                <w:sz w:val="24"/>
                <w:szCs w:val="20"/>
              </w:rPr>
            </w:pPr>
            <w:r>
              <w:rPr>
                <w:rFonts w:hint="eastAsia" w:ascii="Times New Roman" w:hAnsi="Times New Roman"/>
                <w:b/>
                <w:bCs/>
                <w:color w:val="auto"/>
                <w:sz w:val="24"/>
              </w:rPr>
              <w:t>6．</w:t>
            </w:r>
            <w:r>
              <w:rPr>
                <w:rFonts w:ascii="Times New Roman" w:hAnsi="Times New Roman"/>
                <w:b/>
                <w:color w:val="auto"/>
                <w:kern w:val="0"/>
                <w:sz w:val="24"/>
                <w:szCs w:val="20"/>
              </w:rPr>
              <w:t>钻井期环境风险影响分析及防范措施</w:t>
            </w:r>
          </w:p>
          <w:p>
            <w:pPr>
              <w:adjustRightInd w:val="0"/>
              <w:spacing w:line="360" w:lineRule="auto"/>
              <w:ind w:firstLine="480" w:firstLineChars="200"/>
              <w:jc w:val="both"/>
              <w:rPr>
                <w:rFonts w:ascii="Times New Roman" w:hAnsi="Times New Roman"/>
                <w:color w:val="auto"/>
                <w:sz w:val="24"/>
                <w:lang w:bidi="ar"/>
              </w:rPr>
            </w:pPr>
            <w:r>
              <w:rPr>
                <w:rFonts w:ascii="Times New Roman" w:hAnsi="Times New Roman"/>
                <w:color w:val="auto"/>
                <w:sz w:val="24"/>
                <w:lang w:bidi="ar"/>
              </w:rPr>
              <w:t>钻井期环境风险主要为井喷、井漏</w:t>
            </w:r>
            <w:r>
              <w:rPr>
                <w:rFonts w:hint="eastAsia" w:ascii="Times New Roman" w:hAnsi="Times New Roman"/>
                <w:color w:val="auto"/>
                <w:sz w:val="24"/>
                <w:lang w:bidi="ar"/>
              </w:rPr>
              <w:t>、柴油桶泄漏</w:t>
            </w:r>
            <w:r>
              <w:rPr>
                <w:rFonts w:ascii="Times New Roman" w:hAnsi="Times New Roman"/>
                <w:color w:val="auto"/>
                <w:sz w:val="24"/>
                <w:lang w:bidi="ar"/>
              </w:rPr>
              <w:t>，针对钻井期存在的环境风险进行分析并提出相应的环境风险防范措施。</w:t>
            </w:r>
          </w:p>
          <w:p>
            <w:pPr>
              <w:pStyle w:val="48"/>
              <w:adjustRightInd w:val="0"/>
              <w:spacing w:line="360" w:lineRule="auto"/>
              <w:ind w:firstLine="480"/>
              <w:jc w:val="both"/>
              <w:rPr>
                <w:rFonts w:ascii="Times New Roman" w:hAnsi="Times New Roman"/>
                <w:color w:val="auto"/>
              </w:rPr>
            </w:pPr>
            <w:r>
              <w:rPr>
                <w:rFonts w:hint="eastAsia" w:ascii="Times New Roman" w:hAnsi="Times New Roman"/>
                <w:color w:val="auto"/>
              </w:rPr>
              <w:t>6.1</w:t>
            </w:r>
            <w:r>
              <w:rPr>
                <w:rFonts w:ascii="Times New Roman" w:hAnsi="Times New Roman"/>
                <w:color w:val="auto"/>
              </w:rPr>
              <w:t>环境风险分析</w:t>
            </w:r>
          </w:p>
          <w:p>
            <w:pPr>
              <w:pStyle w:val="48"/>
              <w:adjustRightInd w:val="0"/>
              <w:spacing w:line="360" w:lineRule="auto"/>
              <w:ind w:firstLine="480"/>
              <w:jc w:val="both"/>
              <w:rPr>
                <w:rFonts w:ascii="Times New Roman" w:hAnsi="Times New Roman"/>
                <w:color w:val="auto"/>
              </w:rPr>
            </w:pPr>
            <w:r>
              <w:rPr>
                <w:rFonts w:hint="eastAsia" w:ascii="Times New Roman" w:hAnsi="Times New Roman"/>
                <w:color w:val="auto"/>
              </w:rPr>
              <w:t>6</w:t>
            </w:r>
            <w:r>
              <w:rPr>
                <w:rFonts w:ascii="Times New Roman" w:hAnsi="Times New Roman"/>
                <w:color w:val="auto"/>
              </w:rPr>
              <w:t>.1.1井喷事故影响分析</w:t>
            </w:r>
          </w:p>
          <w:p>
            <w:pPr>
              <w:shd w:val="clear" w:color="auto" w:fill="FFFFFF"/>
              <w:spacing w:line="360" w:lineRule="auto"/>
              <w:ind w:firstLine="480" w:firstLineChars="200"/>
              <w:jc w:val="both"/>
              <w:rPr>
                <w:rFonts w:ascii="Times New Roman" w:hAnsi="Times New Roman"/>
                <w:color w:val="auto"/>
                <w:kern w:val="0"/>
                <w:sz w:val="24"/>
                <w:shd w:val="clear" w:color="auto" w:fill="FFFFFF"/>
                <w:lang w:bidi="ar"/>
              </w:rPr>
            </w:pPr>
            <w:r>
              <w:rPr>
                <w:rFonts w:ascii="Times New Roman" w:hAnsi="Times New Roman"/>
                <w:color w:val="auto"/>
                <w:kern w:val="0"/>
                <w:sz w:val="24"/>
                <w:shd w:val="clear" w:color="auto" w:fill="FFFFFF"/>
                <w:lang w:bidi="ar"/>
              </w:rPr>
              <w:t>井喷事故一旦发生，大量的</w:t>
            </w:r>
            <w:r>
              <w:rPr>
                <w:rFonts w:hint="eastAsia" w:ascii="Times New Roman" w:hAnsi="Times New Roman"/>
                <w:color w:val="auto"/>
                <w:kern w:val="0"/>
                <w:sz w:val="24"/>
                <w:shd w:val="clear" w:color="auto" w:fill="FFFFFF"/>
                <w:lang w:bidi="ar"/>
              </w:rPr>
              <w:t>原油</w:t>
            </w:r>
            <w:r>
              <w:rPr>
                <w:rFonts w:ascii="Times New Roman" w:hAnsi="Times New Roman"/>
                <w:color w:val="auto"/>
                <w:kern w:val="0"/>
                <w:sz w:val="24"/>
                <w:shd w:val="clear" w:color="auto" w:fill="FFFFFF"/>
                <w:lang w:bidi="ar"/>
              </w:rPr>
              <w:t>喷出井口，井喷范围内土壤表层可见有蜡状的原油喷散物，井喷的影响范围及影响程度较大，对项目区及周边土壤环境、大气环境、地下水产生影响，井喷影响范围约100m。</w:t>
            </w:r>
          </w:p>
          <w:p>
            <w:pPr>
              <w:shd w:val="clear" w:color="auto" w:fill="FFFFFF"/>
              <w:spacing w:line="360" w:lineRule="auto"/>
              <w:ind w:firstLine="480" w:firstLineChars="200"/>
              <w:jc w:val="both"/>
              <w:rPr>
                <w:rFonts w:ascii="Times New Roman" w:hAnsi="Times New Roman"/>
                <w:color w:val="auto"/>
                <w:kern w:val="0"/>
                <w:sz w:val="24"/>
                <w:shd w:val="clear" w:color="auto" w:fill="FFFFFF"/>
                <w:lang w:bidi="ar"/>
              </w:rPr>
            </w:pPr>
            <w:r>
              <w:rPr>
                <w:rFonts w:ascii="Times New Roman" w:hAnsi="Times New Roman"/>
                <w:color w:val="auto"/>
                <w:kern w:val="0"/>
                <w:sz w:val="24"/>
                <w:shd w:val="clear" w:color="auto" w:fill="FFFFFF"/>
                <w:lang w:bidi="ar"/>
              </w:rPr>
              <w:t>井喷事故</w:t>
            </w:r>
            <w:r>
              <w:rPr>
                <w:rFonts w:hint="eastAsia" w:ascii="Times New Roman" w:hAnsi="Times New Roman"/>
                <w:color w:val="auto"/>
                <w:kern w:val="0"/>
                <w:sz w:val="24"/>
                <w:shd w:val="clear" w:color="auto" w:fill="FFFFFF"/>
                <w:lang w:bidi="ar"/>
              </w:rPr>
              <w:t>造成土壤污染的原因主要有石油中的各种成分都具有一定的毒性，石油类污染物可破坏生物的生活环境、造成生物的机能障碍。石油烃积累在土壤表层会破坏土壤结构，影响其通透性，进而影响农作物的生长和发育，另外</w:t>
            </w:r>
            <w:r>
              <w:rPr>
                <w:rFonts w:hint="eastAsia" w:ascii="Times New Roman" w:hAnsi="Times New Roman"/>
                <w:color w:val="auto"/>
                <w:sz w:val="24"/>
              </w:rPr>
              <w:t>农作物表面</w:t>
            </w:r>
            <w:r>
              <w:rPr>
                <w:rFonts w:ascii="Times New Roman" w:hAnsi="Times New Roman"/>
                <w:color w:val="auto"/>
                <w:sz w:val="24"/>
              </w:rPr>
              <w:t>附着的原油越多，</w:t>
            </w:r>
            <w:r>
              <w:rPr>
                <w:rFonts w:hint="eastAsia" w:ascii="Times New Roman" w:hAnsi="Times New Roman"/>
                <w:color w:val="auto"/>
                <w:sz w:val="24"/>
              </w:rPr>
              <w:t>影响作物呼吸光合作用，</w:t>
            </w:r>
            <w:r>
              <w:rPr>
                <w:rFonts w:ascii="Times New Roman" w:hAnsi="Times New Roman"/>
                <w:color w:val="auto"/>
                <w:sz w:val="24"/>
              </w:rPr>
              <w:t>死亡率</w:t>
            </w:r>
            <w:r>
              <w:rPr>
                <w:rFonts w:hint="eastAsia" w:ascii="Times New Roman" w:hAnsi="Times New Roman"/>
                <w:color w:val="auto"/>
                <w:sz w:val="24"/>
              </w:rPr>
              <w:t>也</w:t>
            </w:r>
            <w:r>
              <w:rPr>
                <w:rFonts w:ascii="Times New Roman" w:hAnsi="Times New Roman"/>
                <w:color w:val="auto"/>
                <w:sz w:val="24"/>
              </w:rPr>
              <w:t>就越高</w:t>
            </w:r>
            <w:r>
              <w:rPr>
                <w:rFonts w:hint="eastAsia" w:ascii="Times New Roman" w:hAnsi="Times New Roman"/>
                <w:color w:val="auto"/>
                <w:sz w:val="24"/>
              </w:rPr>
              <w:t>，</w:t>
            </w:r>
            <w:r>
              <w:rPr>
                <w:rFonts w:hint="eastAsia" w:ascii="Times New Roman" w:hAnsi="Times New Roman"/>
                <w:color w:val="auto"/>
                <w:kern w:val="0"/>
                <w:sz w:val="24"/>
                <w:shd w:val="clear" w:color="auto" w:fill="FFFFFF"/>
                <w:lang w:bidi="ar"/>
              </w:rPr>
              <w:t>对植物的生长、结实和果实的品质等造成一定的影响，并可通过食物链在动物体内逐级富集，危害人类健康。</w:t>
            </w:r>
          </w:p>
          <w:p>
            <w:pPr>
              <w:shd w:val="clear" w:color="auto" w:fill="FFFFFF"/>
              <w:spacing w:line="360" w:lineRule="auto"/>
              <w:ind w:firstLine="480" w:firstLineChars="200"/>
              <w:jc w:val="both"/>
              <w:rPr>
                <w:rFonts w:ascii="Times New Roman" w:hAnsi="Times New Roman"/>
                <w:color w:val="auto"/>
                <w:kern w:val="0"/>
                <w:sz w:val="24"/>
                <w:shd w:val="clear" w:color="auto" w:fill="FFFFFF"/>
                <w:lang w:bidi="ar"/>
              </w:rPr>
            </w:pPr>
            <w:r>
              <w:rPr>
                <w:rFonts w:hint="eastAsia" w:ascii="Times New Roman" w:hAnsi="Times New Roman"/>
                <w:color w:val="auto"/>
                <w:kern w:val="0"/>
                <w:sz w:val="24"/>
                <w:shd w:val="clear" w:color="auto" w:fill="FFFFFF"/>
                <w:lang w:bidi="ar"/>
              </w:rPr>
              <w:t>影响农作物生长发育及产品的品质的因素，除了农作物品种之外，还有环境条件等诸多因素，特别是土壤条件起着决定性的作用，当土壤中含有不同含量的原油时，对产品的品质、作物生长发育等都产生影响。低浓度的石油烃对植物自身的生长发育有一定的促进，不同植物对石油含量的耐受力是不同的，但当石油含量在一定范围内增加时，会达到一定的危害指标，使植物生长受到轻微的抑制。</w:t>
            </w:r>
          </w:p>
          <w:p>
            <w:pPr>
              <w:shd w:val="clear" w:color="auto" w:fill="FFFFFF"/>
              <w:spacing w:line="360" w:lineRule="auto"/>
              <w:ind w:firstLine="480" w:firstLineChars="200"/>
              <w:jc w:val="both"/>
              <w:rPr>
                <w:rFonts w:ascii="Times New Roman" w:hAnsi="Times New Roman"/>
                <w:color w:val="auto"/>
                <w:kern w:val="0"/>
                <w:sz w:val="24"/>
                <w:shd w:val="clear" w:color="auto" w:fill="FFFFFF"/>
                <w:lang w:bidi="ar"/>
              </w:rPr>
            </w:pPr>
            <w:r>
              <w:rPr>
                <w:rFonts w:ascii="Times New Roman" w:hAnsi="Times New Roman"/>
                <w:color w:val="auto"/>
                <w:kern w:val="0"/>
                <w:sz w:val="24"/>
                <w:shd w:val="clear" w:color="auto" w:fill="FFFFFF"/>
                <w:lang w:bidi="ar"/>
              </w:rPr>
              <w:t>井喷事故发生时对地下水环境的影响主要是原油以面源的形式渗漏进入包气带土壤并污染地下水。污染物迁移途径为地表以下的包气带和含水层，然后随地下水流动而污染地下水。石油类污染物主要聚积在土壤表层1m以内，一般很难渗入到2m以下。项目区域降水稀少，不存在大量降水的淋滤作用。因此，井喷事故中的泄漏原油不会进入地下含水层污染地下水。</w:t>
            </w:r>
          </w:p>
          <w:p>
            <w:pPr>
              <w:shd w:val="clear" w:color="auto" w:fill="FFFFFF"/>
              <w:spacing w:line="360" w:lineRule="auto"/>
              <w:ind w:firstLine="480" w:firstLineChars="200"/>
              <w:jc w:val="both"/>
              <w:rPr>
                <w:rFonts w:ascii="Times New Roman" w:hAnsi="Times New Roman"/>
                <w:color w:val="auto"/>
                <w:sz w:val="24"/>
              </w:rPr>
            </w:pPr>
            <w:r>
              <w:rPr>
                <w:rFonts w:ascii="Times New Roman" w:hAnsi="Times New Roman"/>
                <w:color w:val="auto"/>
                <w:kern w:val="0"/>
                <w:sz w:val="24"/>
                <w:shd w:val="clear" w:color="auto" w:fill="FFFFFF"/>
                <w:lang w:bidi="ar"/>
              </w:rPr>
              <w:t>为防范井喷风险，本项目各采油井位选择时，按照《石油天然气钻井井控技术规范》（GB/T31033-2014）的要求，钻井过程中严格防喷、防漏措施</w:t>
            </w:r>
            <w:r>
              <w:rPr>
                <w:rFonts w:hint="eastAsia" w:ascii="Times New Roman" w:hAnsi="Times New Roman"/>
                <w:color w:val="auto"/>
                <w:kern w:val="0"/>
                <w:sz w:val="24"/>
                <w:shd w:val="clear" w:color="auto" w:fill="FFFFFF"/>
                <w:lang w:bidi="ar"/>
              </w:rPr>
              <w:t>，环评建议春99区块春99-2/春99-3/春99-4/春99-5号井周边100m范围内居民搬迁，</w:t>
            </w:r>
            <w:r>
              <w:rPr>
                <w:rFonts w:ascii="Times New Roman" w:hAnsi="Times New Roman"/>
                <w:color w:val="auto"/>
                <w:kern w:val="0"/>
                <w:sz w:val="24"/>
                <w:shd w:val="clear" w:color="auto" w:fill="FFFFFF"/>
                <w:lang w:bidi="ar"/>
              </w:rPr>
              <w:t>项目各个采油</w:t>
            </w:r>
            <w:r>
              <w:rPr>
                <w:rFonts w:hint="eastAsia" w:ascii="Times New Roman" w:hAnsi="Times New Roman"/>
                <w:color w:val="auto"/>
                <w:kern w:val="0"/>
                <w:sz w:val="24"/>
                <w:shd w:val="clear" w:color="auto" w:fill="FFFFFF"/>
                <w:lang w:bidi="ar"/>
              </w:rPr>
              <w:t>井场</w:t>
            </w:r>
            <w:r>
              <w:rPr>
                <w:rFonts w:ascii="Times New Roman" w:hAnsi="Times New Roman"/>
                <w:color w:val="auto"/>
                <w:kern w:val="0"/>
                <w:sz w:val="24"/>
                <w:shd w:val="clear" w:color="auto" w:fill="FFFFFF"/>
                <w:lang w:bidi="ar"/>
              </w:rPr>
              <w:t>均配备一定数量的灭火器材和报警器材，截</w:t>
            </w:r>
            <w:r>
              <w:rPr>
                <w:rFonts w:hint="eastAsia" w:ascii="Times New Roman" w:hAnsi="Times New Roman"/>
                <w:color w:val="auto"/>
                <w:kern w:val="0"/>
                <w:sz w:val="24"/>
                <w:shd w:val="clear" w:color="auto" w:fill="FFFFFF"/>
                <w:lang w:val="en-US" w:eastAsia="zh-CN" w:bidi="ar"/>
              </w:rPr>
              <w:t>至</w:t>
            </w:r>
            <w:bookmarkStart w:id="54" w:name="_GoBack"/>
            <w:bookmarkEnd w:id="54"/>
            <w:r>
              <w:rPr>
                <w:rFonts w:ascii="Times New Roman" w:hAnsi="Times New Roman"/>
                <w:color w:val="auto"/>
                <w:kern w:val="0"/>
                <w:sz w:val="24"/>
                <w:shd w:val="clear" w:color="auto" w:fill="FFFFFF"/>
                <w:lang w:bidi="ar"/>
              </w:rPr>
              <w:t>目前建设单位已编制突发环境事件应急预案，并针对每口采油井编制了钻井应急预案并完成备案，企业根据自身实际情况制定了适用于本企业的环境管理制度，同时企业内部各分场根据自身的不同情况，制定了各分场的相关管理规定，以及各相关演练记录等。一旦发生</w:t>
            </w:r>
            <w:r>
              <w:rPr>
                <w:rFonts w:hint="eastAsia" w:ascii="Times New Roman" w:hAnsi="Times New Roman"/>
                <w:color w:val="auto"/>
                <w:kern w:val="0"/>
                <w:sz w:val="24"/>
                <w:shd w:val="clear" w:color="auto" w:fill="FFFFFF"/>
                <w:lang w:bidi="ar"/>
              </w:rPr>
              <w:t>井</w:t>
            </w:r>
            <w:r>
              <w:rPr>
                <w:rFonts w:ascii="Times New Roman" w:hAnsi="Times New Roman"/>
                <w:color w:val="auto"/>
                <w:kern w:val="0"/>
                <w:sz w:val="24"/>
                <w:shd w:val="clear" w:color="auto" w:fill="FFFFFF"/>
                <w:lang w:bidi="ar"/>
              </w:rPr>
              <w:t>喷火灾事故能及时启动救援，并疏散居住人群，对其影响较小。</w:t>
            </w:r>
          </w:p>
          <w:p>
            <w:pPr>
              <w:pStyle w:val="48"/>
              <w:adjustRightInd w:val="0"/>
              <w:spacing w:line="360" w:lineRule="auto"/>
              <w:ind w:firstLine="480"/>
              <w:jc w:val="both"/>
              <w:rPr>
                <w:rFonts w:ascii="Times New Roman" w:hAnsi="Times New Roman"/>
                <w:color w:val="auto"/>
              </w:rPr>
            </w:pPr>
            <w:r>
              <w:rPr>
                <w:rFonts w:hint="eastAsia" w:ascii="Times New Roman" w:hAnsi="Times New Roman"/>
                <w:color w:val="auto"/>
              </w:rPr>
              <w:t>6.1.2</w:t>
            </w:r>
            <w:r>
              <w:rPr>
                <w:rFonts w:ascii="Times New Roman" w:hAnsi="Times New Roman"/>
                <w:color w:val="auto"/>
              </w:rPr>
              <w:t>井漏事故影响分析</w:t>
            </w:r>
          </w:p>
          <w:p>
            <w:pPr>
              <w:spacing w:line="360" w:lineRule="auto"/>
              <w:ind w:firstLine="480" w:firstLineChars="200"/>
              <w:rPr>
                <w:rFonts w:ascii="Times New Roman" w:hAnsi="Times New Roman"/>
                <w:color w:val="auto"/>
                <w:sz w:val="24"/>
              </w:rPr>
            </w:pPr>
            <w:r>
              <w:rPr>
                <w:rFonts w:ascii="Times New Roman" w:hAnsi="Times New Roman"/>
                <w:color w:val="auto"/>
                <w:sz w:val="24"/>
              </w:rPr>
              <w:t>井漏事故主要为钻井</w:t>
            </w:r>
            <w:r>
              <w:rPr>
                <w:rFonts w:hint="eastAsia" w:ascii="Times New Roman" w:hAnsi="Times New Roman"/>
                <w:color w:val="auto"/>
                <w:sz w:val="24"/>
              </w:rPr>
              <w:t>泥浆</w:t>
            </w:r>
            <w:r>
              <w:rPr>
                <w:rFonts w:ascii="Times New Roman" w:hAnsi="Times New Roman"/>
                <w:color w:val="auto"/>
                <w:sz w:val="24"/>
              </w:rPr>
              <w:t>漏失</w:t>
            </w:r>
            <w:r>
              <w:rPr>
                <w:rFonts w:hint="eastAsia" w:ascii="Times New Roman" w:hAnsi="Times New Roman"/>
                <w:color w:val="auto"/>
                <w:sz w:val="24"/>
              </w:rPr>
              <w:t>漏失于地下水含水层中，由于其含</w:t>
            </w:r>
            <w:r>
              <w:rPr>
                <w:rFonts w:ascii="Times New Roman" w:hAnsi="Times New Roman"/>
                <w:color w:val="auto"/>
                <w:sz w:val="24"/>
              </w:rPr>
              <w:t>Ca</w:t>
            </w:r>
            <w:r>
              <w:rPr>
                <w:rFonts w:hint="eastAsia" w:ascii="Times New Roman" w:hAnsi="Times New Roman"/>
                <w:color w:val="auto"/>
                <w:sz w:val="24"/>
              </w:rPr>
              <w:t>、</w:t>
            </w:r>
            <w:r>
              <w:rPr>
                <w:rFonts w:ascii="Times New Roman" w:hAnsi="Times New Roman"/>
                <w:color w:val="auto"/>
                <w:sz w:val="24"/>
              </w:rPr>
              <w:t>Na</w:t>
            </w:r>
            <w:r>
              <w:rPr>
                <w:rFonts w:hint="eastAsia" w:ascii="Times New Roman" w:hAnsi="Times New Roman"/>
                <w:color w:val="auto"/>
                <w:sz w:val="24"/>
              </w:rPr>
              <w:t>等离子，且</w:t>
            </w:r>
            <w:r>
              <w:rPr>
                <w:rFonts w:ascii="Times New Roman" w:hAnsi="Times New Roman"/>
                <w:color w:val="auto"/>
                <w:sz w:val="24"/>
              </w:rPr>
              <w:t>pH</w:t>
            </w:r>
            <w:r>
              <w:rPr>
                <w:rFonts w:hint="eastAsia" w:ascii="Times New Roman" w:hAnsi="Times New Roman"/>
                <w:color w:val="auto"/>
                <w:sz w:val="24"/>
              </w:rPr>
              <w:t>、盐分都很多，造成地下含水层水质污染。</w:t>
            </w:r>
            <w:r>
              <w:rPr>
                <w:rFonts w:ascii="Times New Roman" w:hAnsi="Times New Roman"/>
                <w:color w:val="auto"/>
                <w:sz w:val="24"/>
              </w:rPr>
              <w:t>本项目采用表层套管下入深度为150m，远超出本区域地下水含水层深度，在钻井过程中采用下套管注水泥固井、完井方式进行水泥固井，对含水层进行了固封处理，发生井漏的可能性较小，不会对地下水环境产生明显影响。</w:t>
            </w:r>
          </w:p>
          <w:p>
            <w:pPr>
              <w:pStyle w:val="48"/>
              <w:adjustRightInd w:val="0"/>
              <w:spacing w:line="360" w:lineRule="auto"/>
              <w:ind w:firstLine="480"/>
              <w:jc w:val="both"/>
              <w:rPr>
                <w:rFonts w:ascii="Times New Roman" w:hAnsi="Times New Roman"/>
                <w:color w:val="auto"/>
              </w:rPr>
            </w:pPr>
            <w:r>
              <w:rPr>
                <w:rFonts w:hint="eastAsia" w:ascii="Times New Roman" w:hAnsi="Times New Roman"/>
                <w:color w:val="auto"/>
              </w:rPr>
              <w:t>6.1.3油桶</w:t>
            </w:r>
            <w:r>
              <w:rPr>
                <w:rFonts w:ascii="Times New Roman" w:hAnsi="Times New Roman"/>
                <w:color w:val="auto"/>
              </w:rPr>
              <w:t>泄漏环境影响分析</w:t>
            </w:r>
          </w:p>
          <w:p>
            <w:pPr>
              <w:pStyle w:val="48"/>
              <w:adjustRightInd w:val="0"/>
              <w:spacing w:line="360" w:lineRule="auto"/>
              <w:ind w:firstLine="480"/>
              <w:jc w:val="both"/>
              <w:rPr>
                <w:rFonts w:ascii="Times New Roman" w:hAnsi="Times New Roman"/>
                <w:color w:val="auto"/>
              </w:rPr>
            </w:pPr>
            <w:r>
              <w:rPr>
                <w:rFonts w:ascii="Times New Roman" w:hAnsi="Times New Roman"/>
                <w:color w:val="auto"/>
              </w:rPr>
              <w:t>钻井期会在井场布置柴油</w:t>
            </w:r>
            <w:r>
              <w:rPr>
                <w:rFonts w:hint="eastAsia" w:ascii="Times New Roman" w:hAnsi="Times New Roman"/>
                <w:color w:val="auto"/>
              </w:rPr>
              <w:t>桶区</w:t>
            </w:r>
            <w:r>
              <w:rPr>
                <w:rFonts w:ascii="Times New Roman" w:hAnsi="Times New Roman"/>
                <w:color w:val="auto"/>
              </w:rPr>
              <w:t>，一旦</w:t>
            </w:r>
            <w:r>
              <w:rPr>
                <w:rFonts w:hint="eastAsia" w:ascii="Times New Roman" w:hAnsi="Times New Roman"/>
                <w:color w:val="auto"/>
              </w:rPr>
              <w:t>油桶</w:t>
            </w:r>
            <w:r>
              <w:rPr>
                <w:rFonts w:ascii="Times New Roman" w:hAnsi="Times New Roman"/>
                <w:color w:val="auto"/>
              </w:rPr>
              <w:t>发生泄漏，会对周围环境空气、水体、土壤和植被会造成一定的不利影响。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6.1.3.1对大气环境影响分析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柴油桶泄漏后，柴油进入环境空气，其中的非甲烷总烃可能会对周围环境空气产生影响，若遇明火，可发生火灾、爆炸，火灾、爆炸产生的伴生/次生污染物可能对环境空气产生一定的影响。项目区春9</w:t>
            </w:r>
            <w:r>
              <w:rPr>
                <w:rFonts w:ascii="Times New Roman" w:hAnsi="Times New Roman"/>
                <w:color w:val="auto"/>
              </w:rPr>
              <w:t>9</w:t>
            </w:r>
            <w:r>
              <w:rPr>
                <w:rFonts w:hint="eastAsia" w:ascii="Times New Roman" w:hAnsi="Times New Roman"/>
                <w:color w:val="auto"/>
              </w:rPr>
              <w:t>区块周围存在居民区，</w:t>
            </w:r>
            <w:r>
              <w:rPr>
                <w:rFonts w:ascii="Times New Roman" w:hAnsi="Times New Roman"/>
                <w:color w:val="auto"/>
                <w:kern w:val="0"/>
                <w:shd w:val="clear" w:color="auto" w:fill="FFFFFF"/>
                <w:lang w:bidi="ar"/>
              </w:rPr>
              <w:t>一旦发生火灾事故</w:t>
            </w:r>
            <w:r>
              <w:rPr>
                <w:rFonts w:hint="eastAsia" w:ascii="Times New Roman" w:hAnsi="Times New Roman"/>
                <w:color w:val="auto"/>
                <w:kern w:val="0"/>
                <w:shd w:val="clear" w:color="auto" w:fill="FFFFFF"/>
                <w:lang w:bidi="ar"/>
              </w:rPr>
              <w:t>需</w:t>
            </w:r>
            <w:r>
              <w:rPr>
                <w:rFonts w:ascii="Times New Roman" w:hAnsi="Times New Roman"/>
                <w:color w:val="auto"/>
                <w:kern w:val="0"/>
                <w:shd w:val="clear" w:color="auto" w:fill="FFFFFF"/>
                <w:lang w:bidi="ar"/>
              </w:rPr>
              <w:t>及时启动救援，并疏散居住人群，对其影响较小。</w:t>
            </w:r>
            <w:r>
              <w:rPr>
                <w:rFonts w:hint="eastAsia" w:ascii="Times New Roman" w:hAnsi="Times New Roman"/>
                <w:color w:val="auto"/>
              </w:rPr>
              <w:t>其他区块地域空旷，扩散条件较好，发生事故后，及时采取相应的措施，不会对周围环境空气产生明显影响。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6.1.3.2对地下水环境影响分析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柴油桶泄漏的油品下渗而可能导致地下水污染风险的发生。发生泄漏事故后，及时维修处理，即使有少量的污染物泄漏，也很难通过防渗层渗入包气带。油桶区底部铺设防渗膜，采取钢制油桶，发生泄漏的概率极小，同时一旦发生泄漏会在较短时间内发现并采取堵漏措施，出现长期连续性泄漏的可能性很低，发生渗漏污染地下水的风险事故概率较低。</w:t>
            </w:r>
          </w:p>
          <w:p>
            <w:pPr>
              <w:pStyle w:val="48"/>
              <w:spacing w:line="360" w:lineRule="auto"/>
              <w:ind w:firstLine="480"/>
              <w:jc w:val="both"/>
              <w:rPr>
                <w:rFonts w:ascii="Times New Roman" w:hAnsi="Times New Roman"/>
                <w:color w:val="auto"/>
              </w:rPr>
            </w:pPr>
            <w:r>
              <w:rPr>
                <w:rFonts w:hint="eastAsia" w:ascii="Times New Roman" w:hAnsi="Times New Roman"/>
                <w:color w:val="auto"/>
              </w:rPr>
              <w:t>发生泄漏事故后，若及时维修处理，即使有少量的污染物泄漏，也很难通过防渗层渗入包气带。故在正常工况下，加强检修力度，发生泄漏事故及时找到泄漏点，及时维修，并将受污染的土壤全部集中收集，交由有资质的单位进行处理，污染物从源头和末端均得到控制，阻断了污染地下水的通道，污染物不会渗入地下污染地下水体。</w:t>
            </w:r>
          </w:p>
          <w:p>
            <w:pPr>
              <w:pStyle w:val="48"/>
              <w:spacing w:line="360" w:lineRule="auto"/>
              <w:ind w:firstLine="480"/>
              <w:jc w:val="both"/>
              <w:rPr>
                <w:rFonts w:ascii="Times New Roman" w:hAnsi="Times New Roman"/>
                <w:color w:val="auto"/>
              </w:rPr>
            </w:pPr>
            <w:r>
              <w:rPr>
                <w:rFonts w:hint="eastAsia" w:ascii="Times New Roman" w:hAnsi="Times New Roman"/>
                <w:color w:val="auto"/>
              </w:rPr>
              <w:t>6.1.3.3对土壤环境影响分析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钻井期柴油桶区铺设防渗膜，油桶发生泄漏后，及时清理，不能回收的柴油以及受污染的土壤应集中收集后交由有相应处理资质的单位进行回收处置。发生事故后，及时采取相应的措施，不会对周围土壤环境产生明显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6.1.3.4对植被的影响分析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柴油泄漏对植被的影响主要分为三种途径，一是泄漏柴油直接粘附于植物体阻断植物的光合作用，使植物枯萎、死亡；二是柴油污染土壤造成的土壤理性化性状变化间接影响植物生长，严重时会导致植物死亡；三是柴油的原油中的轻组分挥发，在对空气环境产生影响的同时，也对周围植物产生影响。发生事故后，及时采取相应的措施，基本不会对周围植被产生明显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综上所述，本项目钻井期发生事故后，及时采取相应的措施，不会对周围环境产生明显影响。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6.2</w:t>
            </w:r>
            <w:r>
              <w:rPr>
                <w:rFonts w:ascii="Times New Roman" w:hAnsi="Times New Roman"/>
                <w:color w:val="auto"/>
              </w:rPr>
              <w:t>风险防范措施</w:t>
            </w:r>
          </w:p>
          <w:p>
            <w:pPr>
              <w:spacing w:line="360" w:lineRule="auto"/>
              <w:ind w:firstLine="480" w:firstLineChars="200"/>
              <w:jc w:val="both"/>
              <w:rPr>
                <w:rFonts w:ascii="宋体" w:hAnsi="宋体"/>
                <w:color w:val="auto"/>
                <w:sz w:val="24"/>
              </w:rPr>
            </w:pPr>
            <w:r>
              <w:rPr>
                <w:rFonts w:hint="eastAsia" w:ascii="Times New Roman" w:hAnsi="Times New Roman"/>
                <w:color w:val="auto"/>
                <w:sz w:val="24"/>
              </w:rPr>
              <w:t>6.2.1</w:t>
            </w:r>
            <w:r>
              <w:rPr>
                <w:rFonts w:ascii="Times New Roman" w:hAnsi="Times New Roman"/>
                <w:color w:val="auto"/>
                <w:sz w:val="24"/>
              </w:rPr>
              <w:t>钻井</w:t>
            </w:r>
            <w:r>
              <w:rPr>
                <w:rFonts w:hint="eastAsia" w:ascii="宋体" w:hAnsi="宋体"/>
                <w:color w:val="auto"/>
                <w:sz w:val="24"/>
              </w:rPr>
              <w:t xml:space="preserve">、井下作业事故风险预防措施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1</w:t>
            </w:r>
            <w:r>
              <w:rPr>
                <w:rFonts w:hint="eastAsia" w:ascii="宋体" w:hAnsi="宋体"/>
                <w:color w:val="auto"/>
                <w:sz w:val="24"/>
              </w:rPr>
              <w:t xml:space="preserve">）设计、生产中采取有效预防措施，严格遵守钻井、井下作业的安全规定，在井口安装防喷器和控制装置，杜绝井喷的发生。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2</w:t>
            </w:r>
            <w:r>
              <w:rPr>
                <w:rFonts w:hint="eastAsia" w:ascii="宋体" w:hAnsi="宋体"/>
                <w:color w:val="auto"/>
                <w:sz w:val="24"/>
              </w:rPr>
              <w:t xml:space="preserve">）抓好井场建设，根据气候特点，做好井场的防护规划，钻井泥浆、岩屑一同进入不落地处理系统处理，不外排。 </w:t>
            </w:r>
          </w:p>
          <w:p>
            <w:pPr>
              <w:spacing w:line="360" w:lineRule="auto"/>
              <w:ind w:firstLine="480" w:firstLineChars="200"/>
              <w:jc w:val="both"/>
              <w:rPr>
                <w:rFonts w:ascii="宋体" w:hAnsi="宋体"/>
                <w:color w:val="auto"/>
                <w:sz w:val="24"/>
              </w:rPr>
            </w:pPr>
            <w:r>
              <w:rPr>
                <w:rFonts w:ascii="Times New Roman" w:hAnsi="Times New Roman"/>
                <w:color w:val="auto"/>
                <w:sz w:val="24"/>
              </w:rPr>
              <w:t>（3）使用</w:t>
            </w:r>
            <w:r>
              <w:rPr>
                <w:rFonts w:hint="eastAsia" w:ascii="宋体" w:hAnsi="宋体"/>
                <w:color w:val="auto"/>
                <w:sz w:val="24"/>
              </w:rPr>
              <w:t xml:space="preserve">的泥浆参数必须符合钻井地质技术的规定要求。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4</w:t>
            </w:r>
            <w:r>
              <w:rPr>
                <w:rFonts w:hint="eastAsia" w:ascii="宋体" w:hAnsi="宋体"/>
                <w:color w:val="auto"/>
                <w:sz w:val="24"/>
              </w:rPr>
              <w:t xml:space="preserve">）井控操作实行持证上岗，各岗位的钻井人员有明确的分工，并且应经过井控专业培训。在油层中钻进，每班进行一次防喷操作演习。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5</w:t>
            </w:r>
            <w:r>
              <w:rPr>
                <w:rFonts w:hint="eastAsia" w:ascii="宋体" w:hAnsi="宋体"/>
                <w:color w:val="auto"/>
                <w:sz w:val="24"/>
              </w:rPr>
              <w:t xml:space="preserve">）井场设置明显的禁止烟火标志；井场钻井设备及电器设备、照明灯具符合防火防爆的安全要求，井场安装探照灯，以备井喷时钻台照明。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6</w:t>
            </w:r>
            <w:r>
              <w:rPr>
                <w:rFonts w:hint="eastAsia" w:ascii="宋体" w:hAnsi="宋体"/>
                <w:color w:val="auto"/>
                <w:sz w:val="24"/>
              </w:rPr>
              <w:t>）定时清除柴油机排气管内的积炭，以防井喷时排气管进出火星引起着火，排气管出口与井口相距不少于</w:t>
            </w:r>
            <w:r>
              <w:rPr>
                <w:rFonts w:hint="eastAsia" w:ascii="Times New Roman" w:hAnsi="Times New Roman" w:eastAsia="Times New Roman"/>
                <w:color w:val="auto"/>
                <w:sz w:val="24"/>
              </w:rPr>
              <w:t>15m</w:t>
            </w:r>
            <w:r>
              <w:rPr>
                <w:rFonts w:hint="eastAsia" w:ascii="宋体" w:hAnsi="宋体"/>
                <w:color w:val="auto"/>
                <w:sz w:val="24"/>
              </w:rPr>
              <w:t xml:space="preserve">。 </w:t>
            </w:r>
          </w:p>
          <w:p>
            <w:pPr>
              <w:spacing w:line="360" w:lineRule="auto"/>
              <w:ind w:firstLine="480" w:firstLineChars="200"/>
              <w:jc w:val="both"/>
              <w:rPr>
                <w:rFonts w:ascii="宋体" w:hAnsi="宋体"/>
                <w:color w:val="auto"/>
                <w:sz w:val="24"/>
              </w:rPr>
            </w:pPr>
            <w:r>
              <w:rPr>
                <w:rFonts w:ascii="Times New Roman" w:hAnsi="Times New Roman"/>
                <w:color w:val="auto"/>
                <w:sz w:val="24"/>
              </w:rPr>
              <w:t>（7）按</w:t>
            </w:r>
            <w:r>
              <w:rPr>
                <w:rFonts w:hint="eastAsia" w:ascii="宋体" w:hAnsi="宋体"/>
                <w:color w:val="auto"/>
                <w:sz w:val="24"/>
              </w:rPr>
              <w:t xml:space="preserve">消防规定配备泡沫灭火器、干粉灭火器、消防铁锹和其它消防器材。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8</w:t>
            </w:r>
            <w:r>
              <w:rPr>
                <w:rFonts w:hint="eastAsia" w:ascii="宋体" w:hAnsi="宋体"/>
                <w:color w:val="auto"/>
                <w:sz w:val="24"/>
              </w:rPr>
              <w:t>）柴油桶区铺设防渗膜，并设置在井场主导风向下风向，与井口距离不得小于</w:t>
            </w:r>
            <w:r>
              <w:rPr>
                <w:rFonts w:hint="eastAsia" w:ascii="Times New Roman" w:hAnsi="Times New Roman" w:eastAsia="Times New Roman"/>
                <w:color w:val="auto"/>
                <w:sz w:val="24"/>
              </w:rPr>
              <w:t>50m</w:t>
            </w:r>
            <w:r>
              <w:rPr>
                <w:rFonts w:hint="eastAsia" w:ascii="宋体" w:hAnsi="宋体"/>
                <w:color w:val="auto"/>
                <w:sz w:val="24"/>
              </w:rPr>
              <w:t xml:space="preserve">，在井架上、井场路口等处设置风向标，以便发生事故时人员能迅速向上风向疏散。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9</w:t>
            </w:r>
            <w:r>
              <w:rPr>
                <w:rFonts w:hint="eastAsia" w:ascii="宋体" w:hAnsi="宋体"/>
                <w:color w:val="auto"/>
                <w:sz w:val="24"/>
              </w:rPr>
              <w:t xml:space="preserve">）井下作业之前，在井场周围划分高压区和低压区，高压泵、高压汇管、井口装置等高压设备均布置于高压区内，施工过程中，高压区无关人员全部撤离，并设置安全警戒岗。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10</w:t>
            </w:r>
            <w:r>
              <w:rPr>
                <w:rFonts w:hint="eastAsia" w:ascii="宋体" w:hAnsi="宋体"/>
                <w:color w:val="auto"/>
                <w:sz w:val="24"/>
              </w:rPr>
              <w:t>）每一次井下作业施工前，必须对高压汇管进行试压，试压压力大于施工压力</w:t>
            </w:r>
            <w:r>
              <w:rPr>
                <w:rFonts w:hint="eastAsia" w:ascii="Times New Roman" w:hAnsi="Times New Roman" w:eastAsia="Times New Roman"/>
                <w:color w:val="auto"/>
                <w:sz w:val="24"/>
              </w:rPr>
              <w:t>5MPa</w:t>
            </w:r>
            <w:r>
              <w:rPr>
                <w:rFonts w:hint="eastAsia" w:ascii="宋体" w:hAnsi="宋体"/>
                <w:color w:val="auto"/>
                <w:sz w:val="24"/>
              </w:rPr>
              <w:t xml:space="preserve">，施工后必须探伤，更换不符合要求的汇管。 </w:t>
            </w:r>
          </w:p>
          <w:p>
            <w:pPr>
              <w:spacing w:line="360" w:lineRule="auto"/>
              <w:ind w:firstLine="480" w:firstLineChars="200"/>
              <w:jc w:val="both"/>
              <w:rPr>
                <w:rFonts w:ascii="宋体" w:hAnsi="宋体" w:cs="宋体"/>
                <w:color w:val="auto"/>
                <w:sz w:val="24"/>
              </w:rPr>
            </w:pPr>
            <w:r>
              <w:rPr>
                <w:rFonts w:ascii="Times New Roman" w:hAnsi="Times New Roman"/>
                <w:color w:val="auto"/>
                <w:sz w:val="24"/>
              </w:rPr>
              <w:t>（11）</w:t>
            </w:r>
            <w:r>
              <w:rPr>
                <w:rFonts w:hint="eastAsia" w:ascii="宋体" w:hAnsi="宋体"/>
                <w:color w:val="auto"/>
                <w:sz w:val="24"/>
              </w:rPr>
              <w:t>钻井井位的确定尽可能避开冲蚀沟、河床等洪水危险性大的区域。</w:t>
            </w:r>
          </w:p>
          <w:p>
            <w:pPr>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6.2.2</w:t>
            </w:r>
            <w:r>
              <w:rPr>
                <w:rFonts w:ascii="Times New Roman" w:hAnsi="Times New Roman"/>
                <w:color w:val="auto"/>
                <w:sz w:val="24"/>
              </w:rPr>
              <w:t>井喷失控风险防范措施</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a、钻井工程中确保钻井液密度及其它性能符合设计要求，并按设计要求储备压井液、加重剂、堵漏材料和其它处理剂，储备加重钻井液定期循环处理，防止沉淀；准备一根防喷单根或防喷立柱（上端接旋塞），防喷单根(防喷立柱)在提下钻铤前，应置于坡道或便于快速取用的位置；各岗位必须按分工规定，对井控装置进行维护、保养、检查，保证井控装置及工具灵活好用，始终处于待命状态；落实溢流监测岗位、关井操作岗和钻井队干部24h值班制度；严格执行钻开油</w:t>
            </w:r>
            <w:r>
              <w:rPr>
                <w:rFonts w:hint="eastAsia" w:ascii="Times New Roman" w:hAnsi="Times New Roman"/>
                <w:color w:val="auto"/>
                <w:sz w:val="24"/>
              </w:rPr>
              <w:t>水</w:t>
            </w:r>
            <w:r>
              <w:rPr>
                <w:rFonts w:ascii="Times New Roman" w:hAnsi="Times New Roman"/>
                <w:color w:val="auto"/>
                <w:sz w:val="24"/>
              </w:rPr>
              <w:t>层前的申报、审批制度以及程序。</w:t>
            </w:r>
          </w:p>
          <w:p>
            <w:pPr>
              <w:spacing w:line="360" w:lineRule="auto"/>
              <w:ind w:firstLine="456" w:firstLineChars="200"/>
              <w:jc w:val="both"/>
              <w:rPr>
                <w:rFonts w:ascii="Times New Roman" w:hAnsi="Times New Roman"/>
                <w:color w:val="auto"/>
                <w:spacing w:val="-6"/>
                <w:sz w:val="24"/>
              </w:rPr>
            </w:pPr>
            <w:r>
              <w:rPr>
                <w:rFonts w:ascii="Times New Roman" w:hAnsi="Times New Roman"/>
                <w:color w:val="auto"/>
                <w:spacing w:val="-6"/>
                <w:sz w:val="24"/>
              </w:rPr>
              <w:t>b、钻进油层后：落实专人坐岗观察井口和循环池液面变化，发现溢流立即关井，疑似液流关井检查；加强溢流预兆显示的观察，及时发现溢流。坐岗人员发现溢流、井漏及油</w:t>
            </w:r>
            <w:r>
              <w:rPr>
                <w:rFonts w:hint="eastAsia" w:ascii="Times New Roman" w:hAnsi="Times New Roman"/>
                <w:color w:val="auto"/>
                <w:spacing w:val="-6"/>
                <w:sz w:val="24"/>
              </w:rPr>
              <w:t>品</w:t>
            </w:r>
            <w:r>
              <w:rPr>
                <w:rFonts w:ascii="Times New Roman" w:hAnsi="Times New Roman"/>
                <w:color w:val="auto"/>
                <w:spacing w:val="-6"/>
                <w:sz w:val="24"/>
              </w:rPr>
              <w:t>显示等异常情况，应立即报告司钻；钻开油层后，每次起下钻（活动时间间隔超过5d）对闸板防喷器及手动锁紧装置开关活动一次，定期对井控装置进行试压；起钻杆时每3～5柱向环空灌满钻井液，起钻铤要连续灌浆，作好记录、校对，若灌入钻井液量大于或小于灌入量，均应停止起钻作业，进行观察。如有溢流，应及时关井。如有井漏，应及时采取相应措施。起完钻要及时下钻，检修设备时应保持井内有一定数量的钻具，并安排专人观察出口罐钻井液返出情况。严禁在空井情况下检修设备；钻开油层后，所有车辆应停放在距井口30m以外，必须进入距井口30m以内的车辆，应安装阻火器，车头朝外停放。</w:t>
            </w:r>
          </w:p>
          <w:p>
            <w:pPr>
              <w:pStyle w:val="48"/>
              <w:spacing w:line="360" w:lineRule="auto"/>
              <w:ind w:firstLine="480"/>
              <w:jc w:val="both"/>
              <w:rPr>
                <w:rFonts w:ascii="Times New Roman" w:hAnsi="Times New Roman"/>
                <w:color w:val="auto"/>
              </w:rPr>
            </w:pPr>
            <w:r>
              <w:rPr>
                <w:rFonts w:ascii="Times New Roman" w:hAnsi="Times New Roman"/>
                <w:color w:val="auto"/>
              </w:rPr>
              <w:t>c、井喷事件发生时，通过放喷管线将井喷液体排放至应急放喷池内，待事故结束后，对应急放喷池内物体进行清理，污染的土壤由有相应处理资质单位转运、处理。</w:t>
            </w:r>
          </w:p>
          <w:p>
            <w:pPr>
              <w:pStyle w:val="48"/>
              <w:spacing w:line="360" w:lineRule="auto"/>
              <w:ind w:firstLine="480"/>
              <w:jc w:val="both"/>
              <w:rPr>
                <w:rFonts w:ascii="Times New Roman" w:hAnsi="Times New Roman"/>
                <w:color w:val="auto"/>
              </w:rPr>
            </w:pPr>
            <w:r>
              <w:rPr>
                <w:rFonts w:ascii="Times New Roman" w:hAnsi="Times New Roman"/>
                <w:color w:val="auto"/>
              </w:rPr>
              <w:t>d、溢流处理和压井措施：最大允许关井套压不得超过井口装置额定工作压力、套管抗内压强度的80%和薄弱地层破裂压力所允许关井套压三者中的最小值。在允许关井套压内严禁放喷。在等候加重材料或加重过程中，视情况间隔一段时间向井内灌注加重钻井液，同时用节流管汇控制回压，保持井底压力要略大于地层压力，排放井口附近含气钻井液。若等候时间长，应及时实施司钻法第一时间排除溢流，防止井口压力过高。空井溢流关井后，根据溢流的严重程度，可采用强行下钻分段压井法、置换法、压回法等方法进行处置。</w:t>
            </w:r>
          </w:p>
          <w:p>
            <w:pPr>
              <w:pStyle w:val="48"/>
              <w:spacing w:line="360" w:lineRule="auto"/>
              <w:ind w:firstLine="480"/>
              <w:jc w:val="both"/>
              <w:rPr>
                <w:rFonts w:ascii="Times New Roman" w:hAnsi="Times New Roman"/>
                <w:color w:val="auto"/>
              </w:rPr>
            </w:pPr>
            <w:r>
              <w:rPr>
                <w:rFonts w:ascii="Times New Roman" w:hAnsi="Times New Roman"/>
                <w:color w:val="auto"/>
              </w:rPr>
              <w:t>e、测井、固井、完井等作业时，要严格执行安全操作规程和井控措施，避免发生井下复杂情况和井喷失控事故。</w:t>
            </w:r>
          </w:p>
          <w:p>
            <w:pPr>
              <w:pStyle w:val="48"/>
              <w:spacing w:line="360" w:lineRule="auto"/>
              <w:ind w:firstLine="480"/>
              <w:jc w:val="both"/>
              <w:rPr>
                <w:rFonts w:ascii="Times New Roman" w:hAnsi="Times New Roman"/>
                <w:color w:val="auto"/>
              </w:rPr>
            </w:pPr>
            <w:r>
              <w:rPr>
                <w:rFonts w:hint="eastAsia" w:ascii="Times New Roman" w:hAnsi="Times New Roman"/>
                <w:color w:val="auto"/>
              </w:rPr>
              <w:t>6</w:t>
            </w:r>
            <w:r>
              <w:rPr>
                <w:rFonts w:ascii="Times New Roman" w:hAnsi="Times New Roman"/>
                <w:color w:val="auto"/>
              </w:rPr>
              <w:t>.2.</w:t>
            </w:r>
            <w:r>
              <w:rPr>
                <w:rFonts w:hint="eastAsia" w:ascii="Times New Roman" w:hAnsi="Times New Roman"/>
                <w:color w:val="auto"/>
              </w:rPr>
              <w:t>3</w:t>
            </w:r>
            <w:r>
              <w:rPr>
                <w:rFonts w:ascii="Times New Roman" w:hAnsi="Times New Roman"/>
                <w:color w:val="auto"/>
              </w:rPr>
              <w:t>管理措施</w:t>
            </w:r>
          </w:p>
          <w:p>
            <w:pPr>
              <w:pStyle w:val="48"/>
              <w:spacing w:line="360" w:lineRule="auto"/>
              <w:ind w:firstLine="480"/>
              <w:jc w:val="both"/>
              <w:rPr>
                <w:rFonts w:ascii="Times New Roman" w:hAnsi="Times New Roman"/>
                <w:color w:val="auto"/>
              </w:rPr>
            </w:pPr>
            <w:r>
              <w:rPr>
                <w:rFonts w:ascii="Times New Roman" w:hAnsi="Times New Roman"/>
                <w:color w:val="auto"/>
              </w:rPr>
              <w:t>建设单位以及施工钻井队结合行业作业规范，设置有专职安全环保管理人员，把安全、环境管理纳入生产管理的各个环节，为防止事故的发生能起到非常积极的作用。现场作业严格按照《健康、安全与环境管理体系 第1部分：规范》（Q/SY 1002.1-2013）；《健康、安全与环境管理体系 第2部分：实施指南》（Q/SY 1002.2-2014）；《健康、安全与环境管理体系 第3部分：审核指南》（Q/SY 1002.3-2015）；《石油天然气钻井作业健康、安全与环境管理导则》（Q/SY 08053-2017）的要求执行。</w:t>
            </w:r>
          </w:p>
          <w:p>
            <w:pPr>
              <w:pStyle w:val="48"/>
              <w:spacing w:line="360" w:lineRule="auto"/>
              <w:ind w:firstLine="480"/>
              <w:jc w:val="both"/>
              <w:rPr>
                <w:rFonts w:ascii="Times New Roman" w:hAnsi="Times New Roman"/>
                <w:color w:val="auto"/>
              </w:rPr>
            </w:pPr>
            <w:r>
              <w:rPr>
                <w:rFonts w:ascii="Times New Roman" w:hAnsi="Times New Roman"/>
                <w:color w:val="auto"/>
              </w:rPr>
              <w:t>建设单位建立事故应急领导小组，设置抢险组、消防组、救护组、警戒组和环境保护组，负责整个工程的环境风险管理，建立与地方政府的环境风险应急联动机制。本项目按照二级井控要求落实好环境风险防范、应急措施以及管理措施。</w:t>
            </w:r>
          </w:p>
          <w:p>
            <w:pPr>
              <w:pStyle w:val="48"/>
              <w:spacing w:line="360" w:lineRule="auto"/>
              <w:ind w:firstLine="480"/>
              <w:jc w:val="both"/>
              <w:rPr>
                <w:rFonts w:ascii="Times New Roman" w:hAnsi="Times New Roman"/>
                <w:color w:val="auto"/>
              </w:rPr>
            </w:pPr>
            <w:r>
              <w:rPr>
                <w:rFonts w:hint="eastAsia" w:ascii="Times New Roman" w:hAnsi="Times New Roman"/>
                <w:color w:val="auto"/>
              </w:rPr>
              <w:t>6.3</w:t>
            </w:r>
            <w:r>
              <w:rPr>
                <w:rFonts w:ascii="Times New Roman" w:hAnsi="Times New Roman"/>
                <w:color w:val="auto"/>
              </w:rPr>
              <w:t>环境风险应急预案</w:t>
            </w:r>
          </w:p>
          <w:p>
            <w:pPr>
              <w:pStyle w:val="48"/>
              <w:spacing w:line="360" w:lineRule="auto"/>
              <w:ind w:firstLine="480"/>
              <w:jc w:val="both"/>
              <w:rPr>
                <w:rFonts w:ascii="Times New Roman" w:hAnsi="Times New Roman"/>
                <w:color w:val="auto"/>
              </w:rPr>
            </w:pPr>
            <w:r>
              <w:rPr>
                <w:rFonts w:hint="eastAsia" w:cs="宋体"/>
                <w:color w:val="auto"/>
              </w:rPr>
              <w:t>①</w:t>
            </w:r>
            <w:r>
              <w:rPr>
                <w:rFonts w:ascii="Times New Roman" w:hAnsi="Times New Roman"/>
                <w:color w:val="auto"/>
              </w:rPr>
              <w:t>应急</w:t>
            </w:r>
            <w:r>
              <w:rPr>
                <w:rFonts w:hint="eastAsia" w:ascii="Times New Roman" w:hAnsi="Times New Roman"/>
                <w:color w:val="auto"/>
              </w:rPr>
              <w:t>要求</w:t>
            </w:r>
          </w:p>
          <w:p>
            <w:pPr>
              <w:pStyle w:val="48"/>
              <w:spacing w:line="360" w:lineRule="auto"/>
              <w:ind w:firstLine="480"/>
              <w:jc w:val="both"/>
              <w:rPr>
                <w:rFonts w:ascii="Times New Roman" w:hAnsi="Times New Roman"/>
                <w:color w:val="auto"/>
              </w:rPr>
            </w:pPr>
            <w:r>
              <w:rPr>
                <w:rFonts w:ascii="Times New Roman" w:hAnsi="Times New Roman"/>
                <w:color w:val="auto"/>
              </w:rPr>
              <w:t>根据钻井工程特点和经验，从环境保护角度，制定《井喷及井喷失控应急预案》。应急预案应包括针对井喷失控的应急监测、抢险、救援、疏散及消除、减缓、控制技术方法和设施等相关内容。</w:t>
            </w:r>
          </w:p>
          <w:p>
            <w:pPr>
              <w:pStyle w:val="48"/>
              <w:spacing w:line="360" w:lineRule="auto"/>
              <w:ind w:firstLine="480"/>
              <w:jc w:val="both"/>
              <w:rPr>
                <w:rFonts w:ascii="Times New Roman" w:hAnsi="Times New Roman"/>
                <w:color w:val="auto"/>
              </w:rPr>
            </w:pPr>
            <w:r>
              <w:rPr>
                <w:rFonts w:hint="eastAsia" w:cs="宋体"/>
                <w:color w:val="auto"/>
              </w:rPr>
              <w:t>②</w:t>
            </w:r>
            <w:r>
              <w:rPr>
                <w:rFonts w:ascii="Times New Roman" w:hAnsi="Times New Roman"/>
                <w:color w:val="auto"/>
              </w:rPr>
              <w:t>应急演练和物资储备</w:t>
            </w:r>
          </w:p>
          <w:p>
            <w:pPr>
              <w:pStyle w:val="48"/>
              <w:spacing w:line="360" w:lineRule="auto"/>
              <w:ind w:firstLine="480"/>
              <w:jc w:val="both"/>
              <w:rPr>
                <w:rFonts w:ascii="Times New Roman" w:hAnsi="Times New Roman"/>
                <w:color w:val="auto"/>
              </w:rPr>
            </w:pPr>
            <w:r>
              <w:rPr>
                <w:rFonts w:ascii="Times New Roman" w:hAnsi="Times New Roman"/>
                <w:color w:val="auto"/>
              </w:rPr>
              <w:t>应急演练应定期开展，通过演练掌握应急人员在应急抢险中对预案的熟悉程度和能力，同时加强抢险应急设备的维护保养，检查是否备足所需应急材料。</w:t>
            </w:r>
          </w:p>
          <w:p>
            <w:pPr>
              <w:adjustRightInd w:val="0"/>
              <w:spacing w:line="360" w:lineRule="auto"/>
              <w:ind w:firstLine="482" w:firstLineChars="200"/>
              <w:jc w:val="both"/>
              <w:rPr>
                <w:rFonts w:ascii="Times New Roman" w:hAnsi="Times New Roman"/>
                <w:b/>
                <w:bCs/>
                <w:color w:val="auto"/>
                <w:sz w:val="24"/>
              </w:rPr>
            </w:pPr>
            <w:r>
              <w:rPr>
                <w:rFonts w:hint="eastAsia" w:ascii="Times New Roman" w:hAnsi="Times New Roman"/>
                <w:b/>
                <w:bCs/>
                <w:color w:val="auto"/>
                <w:sz w:val="24"/>
              </w:rPr>
              <w:t>7．</w:t>
            </w:r>
            <w:r>
              <w:rPr>
                <w:rFonts w:ascii="Times New Roman" w:hAnsi="Times New Roman"/>
                <w:b/>
                <w:bCs/>
                <w:color w:val="auto"/>
                <w:sz w:val="24"/>
              </w:rPr>
              <w:t>运营期环境风险分析</w:t>
            </w:r>
          </w:p>
          <w:p>
            <w:pPr>
              <w:pStyle w:val="48"/>
              <w:spacing w:line="360" w:lineRule="auto"/>
              <w:ind w:firstLine="480"/>
              <w:jc w:val="both"/>
              <w:rPr>
                <w:rFonts w:ascii="Times New Roman" w:hAnsi="Times New Roman"/>
                <w:color w:val="auto"/>
              </w:rPr>
            </w:pPr>
            <w:r>
              <w:rPr>
                <w:rFonts w:ascii="Times New Roman" w:hAnsi="Times New Roman"/>
                <w:color w:val="auto"/>
              </w:rPr>
              <w:t>运营期环境风险主要为</w:t>
            </w:r>
            <w:r>
              <w:rPr>
                <w:rFonts w:hint="eastAsia" w:ascii="Times New Roman" w:hAnsi="Times New Roman"/>
                <w:color w:val="auto"/>
              </w:rPr>
              <w:t>井场高架罐和</w:t>
            </w:r>
            <w:r>
              <w:rPr>
                <w:rFonts w:ascii="Times New Roman" w:hAnsi="Times New Roman"/>
                <w:color w:val="auto"/>
              </w:rPr>
              <w:t>管线泄漏</w:t>
            </w:r>
            <w:r>
              <w:rPr>
                <w:rFonts w:hint="eastAsia" w:ascii="Times New Roman" w:hAnsi="Times New Roman"/>
                <w:color w:val="auto"/>
              </w:rPr>
              <w:t>以及运营期油水窜层</w:t>
            </w:r>
            <w:r>
              <w:rPr>
                <w:rFonts w:ascii="Times New Roman" w:hAnsi="Times New Roman"/>
                <w:color w:val="auto"/>
              </w:rPr>
              <w:t>，针对运营期存在的环境风险进行分析并提出相应的环境风险防范措施。</w:t>
            </w:r>
          </w:p>
          <w:p>
            <w:pPr>
              <w:overflowPunct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7.1</w:t>
            </w:r>
            <w:r>
              <w:rPr>
                <w:rFonts w:ascii="Times New Roman" w:hAnsi="Times New Roman"/>
                <w:color w:val="auto"/>
                <w:sz w:val="24"/>
              </w:rPr>
              <w:t>环境风险分析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7</w:t>
            </w:r>
            <w:r>
              <w:rPr>
                <w:rFonts w:ascii="Times New Roman" w:hAnsi="Times New Roman"/>
                <w:color w:val="auto"/>
              </w:rPr>
              <w:t>.1.1对土壤的影响分析</w:t>
            </w:r>
          </w:p>
          <w:p>
            <w:pPr>
              <w:pStyle w:val="48"/>
              <w:spacing w:line="360" w:lineRule="auto"/>
              <w:ind w:firstLine="480"/>
              <w:jc w:val="both"/>
              <w:rPr>
                <w:rFonts w:ascii="Times New Roman" w:hAnsi="Times New Roman"/>
                <w:color w:val="auto"/>
              </w:rPr>
            </w:pPr>
            <w:r>
              <w:rPr>
                <w:rFonts w:hint="eastAsia" w:ascii="Times New Roman" w:hAnsi="Times New Roman"/>
                <w:color w:val="auto"/>
              </w:rPr>
              <w:t>井场高架罐和</w:t>
            </w:r>
            <w:r>
              <w:rPr>
                <w:rFonts w:ascii="Times New Roman" w:hAnsi="Times New Roman"/>
                <w:color w:val="auto"/>
              </w:rPr>
              <w:t>集输管线泄漏</w:t>
            </w:r>
            <w:r>
              <w:rPr>
                <w:rFonts w:hint="eastAsia" w:ascii="Times New Roman" w:hAnsi="Times New Roman"/>
                <w:color w:val="auto"/>
              </w:rPr>
              <w:t>均</w:t>
            </w:r>
            <w:r>
              <w:rPr>
                <w:rFonts w:ascii="Times New Roman" w:hAnsi="Times New Roman"/>
                <w:color w:val="auto"/>
              </w:rPr>
              <w:t>会对土壤环境造成影响，泄漏的</w:t>
            </w:r>
            <w:r>
              <w:rPr>
                <w:rFonts w:hint="eastAsia" w:ascii="Times New Roman" w:hAnsi="Times New Roman"/>
                <w:color w:val="auto"/>
              </w:rPr>
              <w:t>原油</w:t>
            </w:r>
            <w:r>
              <w:rPr>
                <w:rFonts w:ascii="Times New Roman" w:hAnsi="Times New Roman"/>
                <w:color w:val="auto"/>
              </w:rPr>
              <w:t>可使土壤透气性下降、土壤理化性状发生变化。泄漏的油品如果进入土壤，从而使土壤质地、结构发生改变，影响到土地功能，进而影响荒漠植被的生长，并可影响局部的生态环境。</w:t>
            </w:r>
          </w:p>
          <w:p>
            <w:pPr>
              <w:pStyle w:val="48"/>
              <w:spacing w:line="360" w:lineRule="auto"/>
              <w:ind w:firstLine="480"/>
              <w:jc w:val="both"/>
              <w:rPr>
                <w:rFonts w:ascii="Times New Roman" w:hAnsi="Times New Roman"/>
                <w:color w:val="auto"/>
              </w:rPr>
            </w:pPr>
            <w:r>
              <w:rPr>
                <w:rFonts w:ascii="Times New Roman" w:hAnsi="Times New Roman"/>
                <w:color w:val="auto"/>
              </w:rPr>
              <w:t>采油管线发生泄漏时，相当于向土壤中直接注入原油，泄漏的原油进入土壤中后，渗入土壤孔隙，则使土壤透气性和呼吸作用减弱，影响土壤中的微生物生存，造成土壤盐碱化，破坏土壤结构，增加土壤中石油类污染物，造成土地肥力下降，改变土壤的理化性质，影响土壤正常的结构和功能。</w:t>
            </w:r>
          </w:p>
          <w:p>
            <w:pPr>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根据类比调查结果可知，原油泄漏事故发生后，在非渗透性的基岩及粘重土壤上污染（扩展）面积较大，而疏松土质上影响的扩展范围较小；粘重土壤多为耕作土，原油覆于地表会使土壤透气性下降，降低土壤肥力。在泄漏事故发生的最初，原油在土壤中下渗至一定深度，随泄漏历时的延长，下渗深度增加不大（落地原油一般在土壤表层20cm以上深度内积聚）。</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7</w:t>
            </w:r>
            <w:r>
              <w:rPr>
                <w:rFonts w:ascii="Times New Roman" w:hAnsi="Times New Roman"/>
                <w:color w:val="auto"/>
                <w:sz w:val="24"/>
              </w:rPr>
              <w:t>.1.2对植被的影响</w:t>
            </w:r>
          </w:p>
          <w:p>
            <w:pPr>
              <w:overflowPunct w:val="0"/>
              <w:adjustRightInd w:val="0"/>
              <w:snapToGrid w:val="0"/>
              <w:spacing w:line="360" w:lineRule="auto"/>
              <w:ind w:firstLine="480" w:firstLineChars="200"/>
              <w:jc w:val="both"/>
              <w:rPr>
                <w:rFonts w:ascii="Times New Roman" w:hAnsi="Times New Roman"/>
                <w:color w:val="auto"/>
                <w:sz w:val="24"/>
              </w:rPr>
            </w:pPr>
            <w:r>
              <w:rPr>
                <w:rFonts w:ascii="Times New Roman" w:hAnsi="Times New Roman"/>
                <w:color w:val="auto"/>
                <w:sz w:val="24"/>
              </w:rPr>
              <w:t>油品泄漏对植被的影响主要分为三种途径，一是泄漏石油直接粘附于植物体阻断植物的光合作用，使植物枯萎、死亡；二是原油污染土壤造成的土壤理性化性状变化间接影响植物生长，严重时会导致植物死亡；三是泄漏的原油中的轻组份挥发，在对空气环境产生影响的同时，也对周围植物产生影响。发生事故后，及时采取相应的措施，不会对周围植被产生明显影响。</w:t>
            </w:r>
          </w:p>
          <w:p>
            <w:pPr>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7</w:t>
            </w:r>
            <w:r>
              <w:rPr>
                <w:rFonts w:ascii="Times New Roman" w:hAnsi="Times New Roman"/>
                <w:color w:val="auto"/>
                <w:sz w:val="24"/>
              </w:rPr>
              <w:t>.1.3对地下水环境的影响</w:t>
            </w:r>
          </w:p>
          <w:p>
            <w:pPr>
              <w:overflowPunct w:val="0"/>
              <w:adjustRightInd w:val="0"/>
              <w:snapToGrid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油水窜层和</w:t>
            </w:r>
            <w:r>
              <w:rPr>
                <w:rFonts w:ascii="Times New Roman" w:hAnsi="Times New Roman"/>
                <w:color w:val="auto"/>
                <w:sz w:val="24"/>
              </w:rPr>
              <w:t>管线泄漏的油品下渗可能导致地下水污染风险的发生。发生泄漏事故后，及时维修处理，即使有少量的污染物泄漏，也很难通过防渗层渗入包气带。故在正常工况下，定期对储罐上的安全保护设施，如截断阀进行检查，加强检修力度，发生泄漏事故及时找到泄漏点，及时维修，并将受污染的土壤全部回收，送至主体装置区进行处理，污染物从源头和末端均得到控制，没有污染地下水的通道，污染物不会渗入地下污染地下水体。</w:t>
            </w:r>
          </w:p>
          <w:p>
            <w:pPr>
              <w:pStyle w:val="48"/>
              <w:spacing w:line="360" w:lineRule="auto"/>
              <w:ind w:firstLine="480"/>
              <w:jc w:val="both"/>
              <w:rPr>
                <w:rFonts w:ascii="Times New Roman" w:hAnsi="Times New Roman"/>
                <w:color w:val="auto"/>
              </w:rPr>
            </w:pPr>
            <w:r>
              <w:rPr>
                <w:rFonts w:ascii="Times New Roman" w:hAnsi="Times New Roman"/>
                <w:color w:val="auto"/>
              </w:rPr>
              <w:t>当泄漏事故不可控时，泄漏的油品经土层渗漏，通过包气带进入含水层。根据《采油废水中石油类污染物在土壤中的迁移规律研究》（岳占林文）中结论：风沙土尽管颗粒较粗、结构较松散、孔隙比较大，但对石油类物质的截留作用是非常显著的，石油类很难在土壤剖面中随水下渗迁移，基本上被截留在0cm～10cm或0cm～20cm表层土壤中，其中表层0cm～5cm土壤截留了90%以上的泄漏原油。因此，即使发生输油管线泄漏事故，做到及时发现、及时处理，彻底清除泄漏油品、被污染的土壤，不会对当地地下水体环境产生大的影响。</w:t>
            </w:r>
          </w:p>
          <w:p>
            <w:pPr>
              <w:pStyle w:val="48"/>
              <w:spacing w:line="360" w:lineRule="auto"/>
              <w:ind w:firstLine="480"/>
              <w:jc w:val="both"/>
              <w:rPr>
                <w:rFonts w:ascii="Times New Roman" w:hAnsi="Times New Roman"/>
                <w:color w:val="auto"/>
              </w:rPr>
            </w:pPr>
            <w:r>
              <w:rPr>
                <w:rFonts w:hint="eastAsia" w:ascii="Times New Roman" w:hAnsi="Times New Roman"/>
                <w:color w:val="auto"/>
              </w:rPr>
              <w:t>7</w:t>
            </w:r>
            <w:r>
              <w:rPr>
                <w:rFonts w:ascii="Times New Roman" w:hAnsi="Times New Roman"/>
                <w:color w:val="auto"/>
              </w:rPr>
              <w:t>.1.4对大气环境的影响分析</w:t>
            </w:r>
          </w:p>
          <w:p>
            <w:pPr>
              <w:pStyle w:val="48"/>
              <w:spacing w:line="360" w:lineRule="auto"/>
              <w:ind w:firstLine="480"/>
              <w:jc w:val="both"/>
              <w:rPr>
                <w:rFonts w:ascii="Times New Roman" w:hAnsi="Times New Roman"/>
                <w:color w:val="auto"/>
              </w:rPr>
            </w:pPr>
            <w:r>
              <w:rPr>
                <w:rFonts w:ascii="Times New Roman" w:hAnsi="Times New Roman"/>
                <w:color w:val="auto"/>
              </w:rPr>
              <w:t>井场及管线泄漏后，原油进入环境空气，其中的NMHC可能会对周围环境空气产生影响，若遇明火，可发生火灾、爆炸，火灾、爆炸产生的伴生/次生污染物可能对环境空气产生一定的影响。</w:t>
            </w:r>
            <w:r>
              <w:rPr>
                <w:rFonts w:hint="eastAsia" w:ascii="Times New Roman" w:hAnsi="Times New Roman"/>
                <w:color w:val="auto"/>
              </w:rPr>
              <w:t>项目区春9</w:t>
            </w:r>
            <w:r>
              <w:rPr>
                <w:rFonts w:ascii="Times New Roman" w:hAnsi="Times New Roman"/>
                <w:color w:val="auto"/>
              </w:rPr>
              <w:t>9</w:t>
            </w:r>
            <w:r>
              <w:rPr>
                <w:rFonts w:hint="eastAsia" w:ascii="Times New Roman" w:hAnsi="Times New Roman"/>
                <w:color w:val="auto"/>
              </w:rPr>
              <w:t>区块周边100m范围内存在居民区，</w:t>
            </w:r>
            <w:r>
              <w:rPr>
                <w:rFonts w:ascii="Times New Roman" w:hAnsi="Times New Roman"/>
                <w:color w:val="auto"/>
                <w:kern w:val="0"/>
                <w:shd w:val="clear" w:color="auto" w:fill="FFFFFF"/>
                <w:lang w:bidi="ar"/>
              </w:rPr>
              <w:t>一旦发生火灾事故</w:t>
            </w:r>
            <w:r>
              <w:rPr>
                <w:rFonts w:hint="eastAsia" w:ascii="Times New Roman" w:hAnsi="Times New Roman"/>
                <w:color w:val="auto"/>
                <w:kern w:val="0"/>
                <w:shd w:val="clear" w:color="auto" w:fill="FFFFFF"/>
                <w:lang w:bidi="ar"/>
              </w:rPr>
              <w:t>需</w:t>
            </w:r>
            <w:r>
              <w:rPr>
                <w:rFonts w:ascii="Times New Roman" w:hAnsi="Times New Roman"/>
                <w:color w:val="auto"/>
                <w:kern w:val="0"/>
                <w:shd w:val="clear" w:color="auto" w:fill="FFFFFF"/>
                <w:lang w:bidi="ar"/>
              </w:rPr>
              <w:t>及时启动救援，并疏散居住人群，对其影响较小。</w:t>
            </w:r>
            <w:r>
              <w:rPr>
                <w:rFonts w:hint="eastAsia" w:ascii="Times New Roman" w:hAnsi="Times New Roman"/>
                <w:color w:val="auto"/>
              </w:rPr>
              <w:t>其他区块地域空旷，扩散条件较好，发生事故后，及时采取相应的措施，不会对周围环境空气产生明显影响。</w:t>
            </w:r>
          </w:p>
          <w:p>
            <w:pPr>
              <w:overflowPunct w:val="0"/>
              <w:spacing w:line="360" w:lineRule="auto"/>
              <w:ind w:firstLine="480" w:firstLineChars="200"/>
              <w:jc w:val="both"/>
              <w:rPr>
                <w:rFonts w:ascii="Times New Roman" w:hAnsi="Times New Roman"/>
                <w:color w:val="auto"/>
                <w:sz w:val="24"/>
              </w:rPr>
            </w:pPr>
            <w:r>
              <w:rPr>
                <w:rFonts w:hint="eastAsia" w:ascii="Times New Roman" w:hAnsi="Times New Roman"/>
                <w:color w:val="auto"/>
                <w:sz w:val="24"/>
              </w:rPr>
              <w:t>7.2</w:t>
            </w:r>
            <w:r>
              <w:rPr>
                <w:rFonts w:ascii="Times New Roman" w:hAnsi="Times New Roman"/>
                <w:color w:val="auto"/>
                <w:sz w:val="24"/>
              </w:rPr>
              <w:t>环境风险防范措施</w:t>
            </w:r>
          </w:p>
          <w:p>
            <w:pPr>
              <w:spacing w:line="360" w:lineRule="auto"/>
              <w:ind w:firstLine="480" w:firstLineChars="200"/>
              <w:jc w:val="both"/>
              <w:rPr>
                <w:rFonts w:ascii="Times New Roman" w:hAnsi="Times New Roman" w:eastAsia="Times New Roman"/>
                <w:bCs/>
                <w:color w:val="auto"/>
                <w:sz w:val="24"/>
              </w:rPr>
            </w:pPr>
            <w:r>
              <w:rPr>
                <w:rFonts w:hint="eastAsia" w:ascii="Times New Roman" w:hAnsi="Times New Roman"/>
                <w:bCs/>
                <w:color w:val="auto"/>
                <w:sz w:val="24"/>
              </w:rPr>
              <w:t>7.2.1</w:t>
            </w:r>
            <w:r>
              <w:rPr>
                <w:rFonts w:hint="eastAsia" w:ascii="Times New Roman" w:hAnsi="Times New Roman" w:eastAsia="Times New Roman"/>
                <w:bCs/>
                <w:color w:val="auto"/>
                <w:sz w:val="24"/>
              </w:rPr>
              <w:t xml:space="preserve">集输事故风险预防措施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（1）严格按照管道施工、验收等规范进行设计、施工和验收。集输管线敷设前，应加强对管材和焊接质量的检查．严禁使用不合格产品。对焊接质量严格检验，防止焊接缺陷造成泄漏事故的发生。 </w:t>
            </w:r>
          </w:p>
          <w:p>
            <w:pPr>
              <w:pStyle w:val="48"/>
              <w:numPr>
                <w:ilvl w:val="0"/>
                <w:numId w:val="8"/>
              </w:numPr>
              <w:spacing w:line="360" w:lineRule="auto"/>
              <w:ind w:firstLine="480"/>
              <w:jc w:val="both"/>
              <w:rPr>
                <w:rFonts w:ascii="Times New Roman" w:hAnsi="Times New Roman"/>
                <w:color w:val="auto"/>
              </w:rPr>
            </w:pPr>
            <w:r>
              <w:rPr>
                <w:rFonts w:ascii="Times New Roman" w:hAnsi="Times New Roman"/>
                <w:color w:val="auto"/>
              </w:rPr>
              <w:t xml:space="preserve">在集输管线的敷设线路上应设置永久性标志，包括里程桩、转角桩、交叉标志和警示牌等。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w:t>
            </w:r>
            <w:r>
              <w:rPr>
                <w:rFonts w:ascii="Times New Roman" w:hAnsi="Times New Roman" w:eastAsia="Times New Roman"/>
                <w:color w:val="auto"/>
                <w:sz w:val="24"/>
              </w:rPr>
              <w:t>3</w:t>
            </w:r>
            <w:r>
              <w:rPr>
                <w:rFonts w:ascii="Times New Roman" w:hAnsi="Times New Roman"/>
                <w:color w:val="auto"/>
                <w:sz w:val="24"/>
              </w:rPr>
              <w:t xml:space="preserve">）按规定进行设备维修、保养，及时更换易损及老化部件，防止原油泄漏事故的发生。 </w:t>
            </w:r>
          </w:p>
          <w:p>
            <w:pPr>
              <w:spacing w:line="360" w:lineRule="auto"/>
              <w:ind w:firstLine="480" w:firstLineChars="200"/>
              <w:jc w:val="both"/>
              <w:rPr>
                <w:rFonts w:ascii="Times New Roman" w:hAnsi="Times New Roman"/>
                <w:color w:val="auto"/>
                <w:sz w:val="24"/>
              </w:rPr>
            </w:pPr>
            <w:r>
              <w:rPr>
                <w:rFonts w:ascii="Times New Roman" w:hAnsi="Times New Roman"/>
                <w:color w:val="auto"/>
                <w:sz w:val="24"/>
              </w:rPr>
              <w:t xml:space="preserve">（4）加强自动控制系统的管理和控制，严格控制压力平衡。 </w:t>
            </w:r>
          </w:p>
          <w:p>
            <w:pPr>
              <w:spacing w:line="360" w:lineRule="auto"/>
              <w:ind w:firstLine="480" w:firstLineChars="200"/>
              <w:jc w:val="both"/>
              <w:rPr>
                <w:rFonts w:ascii="宋体" w:hAnsi="宋体"/>
                <w:color w:val="auto"/>
                <w:sz w:val="24"/>
              </w:rPr>
            </w:pPr>
            <w:r>
              <w:rPr>
                <w:rFonts w:ascii="Times New Roman" w:hAnsi="Times New Roman"/>
                <w:color w:val="auto"/>
                <w:sz w:val="24"/>
              </w:rPr>
              <w:t>（</w:t>
            </w:r>
            <w:r>
              <w:rPr>
                <w:rFonts w:ascii="Times New Roman" w:hAnsi="Times New Roman" w:eastAsia="Times New Roman"/>
                <w:color w:val="auto"/>
                <w:sz w:val="24"/>
              </w:rPr>
              <w:t>5</w:t>
            </w:r>
            <w:r>
              <w:rPr>
                <w:rFonts w:ascii="Times New Roman" w:hAnsi="Times New Roman"/>
                <w:color w:val="auto"/>
                <w:sz w:val="24"/>
              </w:rPr>
              <w:t>）完善各</w:t>
            </w:r>
            <w:r>
              <w:rPr>
                <w:rFonts w:hint="eastAsia" w:ascii="Times New Roman" w:hAnsi="Times New Roman"/>
                <w:color w:val="auto"/>
                <w:sz w:val="24"/>
              </w:rPr>
              <w:t>井</w:t>
            </w:r>
            <w:r>
              <w:rPr>
                <w:rFonts w:ascii="Times New Roman" w:hAnsi="Times New Roman"/>
                <w:color w:val="auto"/>
                <w:sz w:val="24"/>
              </w:rPr>
              <w:t>场的环境保护工程，及时清除、处理各种污染物，保持安全设施的完好，杜绝火灾的发生。</w:t>
            </w:r>
            <w:r>
              <w:rPr>
                <w:rFonts w:hint="eastAsia" w:ascii="宋体" w:hAnsi="宋体"/>
                <w:color w:val="auto"/>
                <w:sz w:val="24"/>
              </w:rPr>
              <w:t xml:space="preserve">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6</w:t>
            </w:r>
            <w:r>
              <w:rPr>
                <w:rFonts w:hint="eastAsia" w:ascii="宋体" w:hAnsi="宋体"/>
                <w:color w:val="auto"/>
                <w:sz w:val="24"/>
              </w:rPr>
              <w:t xml:space="preserve">）在集输系统运营期间，严格控制输送原油的性质，定期清管，排除管内的积水和污物，以减轻管道内腐蚀；定期对管线进行超声波检查，对壁厚低于规定要求的管段应及时更换，消除爆管的隐患；定期对集输管线上的安全保护设施，如截断阀、安全阀等进行检查，使管道在超压时能够得到安全处理，在管道破裂时能够及时截断上下游管段，以减少事故时原油的释放量，使危害影响范围减小到最低程度。 </w:t>
            </w:r>
          </w:p>
          <w:p>
            <w:pPr>
              <w:spacing w:line="360" w:lineRule="auto"/>
              <w:ind w:firstLine="480" w:firstLineChars="200"/>
              <w:jc w:val="both"/>
              <w:rPr>
                <w:rFonts w:ascii="宋体" w:hAnsi="宋体"/>
                <w:color w:val="auto"/>
                <w:sz w:val="24"/>
              </w:rPr>
            </w:pPr>
            <w:r>
              <w:rPr>
                <w:rFonts w:ascii="Times New Roman" w:hAnsi="Times New Roman"/>
                <w:color w:val="auto"/>
                <w:sz w:val="24"/>
              </w:rPr>
              <w:t>（7）</w:t>
            </w:r>
            <w:r>
              <w:rPr>
                <w:rFonts w:hint="eastAsia" w:ascii="宋体" w:hAnsi="宋体"/>
                <w:color w:val="auto"/>
                <w:sz w:val="24"/>
              </w:rPr>
              <w:t xml:space="preserve">定期对管线进行巡视，加强管线和警戒标志的管理工作。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8</w:t>
            </w:r>
            <w:r>
              <w:rPr>
                <w:rFonts w:hint="eastAsia" w:ascii="宋体" w:hAnsi="宋体"/>
                <w:color w:val="auto"/>
                <w:sz w:val="24"/>
              </w:rPr>
              <w:t>）严禁在管线两侧各</w:t>
            </w:r>
            <w:r>
              <w:rPr>
                <w:rFonts w:hint="eastAsia" w:ascii="Times New Roman" w:hAnsi="Times New Roman" w:eastAsia="Times New Roman"/>
                <w:color w:val="auto"/>
                <w:sz w:val="24"/>
              </w:rPr>
              <w:t>50m</w:t>
            </w:r>
            <w:r>
              <w:rPr>
                <w:rFonts w:hint="eastAsia" w:ascii="宋体" w:hAnsi="宋体"/>
                <w:color w:val="auto"/>
                <w:sz w:val="24"/>
              </w:rPr>
              <w:t xml:space="preserve">范围内修筑工程，在管线上方及近旁严禁动土开挖和修建超过管道负荷的建筑物。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9</w:t>
            </w:r>
            <w:r>
              <w:rPr>
                <w:rFonts w:hint="eastAsia" w:ascii="宋体" w:hAnsi="宋体"/>
                <w:color w:val="auto"/>
                <w:sz w:val="24"/>
              </w:rPr>
              <w:t xml:space="preserve">）加强对集输管线沿线重点敏感地段的环保管理，定期进行环境监测。 </w:t>
            </w:r>
          </w:p>
          <w:p>
            <w:pPr>
              <w:pStyle w:val="48"/>
              <w:spacing w:line="360" w:lineRule="auto"/>
              <w:ind w:firstLine="480"/>
              <w:jc w:val="both"/>
              <w:rPr>
                <w:color w:val="auto"/>
              </w:rPr>
            </w:pPr>
            <w:r>
              <w:rPr>
                <w:rFonts w:hint="eastAsia"/>
                <w:color w:val="auto"/>
              </w:rPr>
              <w:t>（</w:t>
            </w:r>
            <w:r>
              <w:rPr>
                <w:rFonts w:hint="eastAsia" w:ascii="Times New Roman" w:hAnsi="Times New Roman" w:eastAsia="Times New Roman"/>
                <w:color w:val="auto"/>
              </w:rPr>
              <w:t>10</w:t>
            </w:r>
            <w:r>
              <w:rPr>
                <w:rFonts w:hint="eastAsia"/>
                <w:color w:val="auto"/>
              </w:rPr>
              <w:t xml:space="preserve">）建立腐蚀监测系统，随时监测介质的腐蚀状况，了解和掌握区域系统的腐蚀原因，有针对性地制定、调整和优化腐蚀控制措施。 </w:t>
            </w:r>
          </w:p>
          <w:p>
            <w:pPr>
              <w:spacing w:line="360" w:lineRule="auto"/>
              <w:ind w:firstLine="480" w:firstLineChars="200"/>
              <w:jc w:val="both"/>
              <w:rPr>
                <w:rFonts w:ascii="宋体" w:hAnsi="宋体"/>
                <w:color w:val="auto"/>
                <w:sz w:val="24"/>
              </w:rPr>
            </w:pPr>
            <w:r>
              <w:rPr>
                <w:rFonts w:hint="eastAsia" w:ascii="Times New Roman" w:hAnsi="Times New Roman"/>
                <w:bCs/>
                <w:color w:val="auto"/>
                <w:sz w:val="24"/>
              </w:rPr>
              <w:t>7.2.2</w:t>
            </w:r>
            <w:r>
              <w:rPr>
                <w:rFonts w:hint="eastAsia" w:ascii="宋体" w:hAnsi="宋体"/>
                <w:color w:val="auto"/>
                <w:sz w:val="24"/>
              </w:rPr>
              <w:t xml:space="preserve">窜层污染事故的防范措施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1</w:t>
            </w:r>
            <w:r>
              <w:rPr>
                <w:rFonts w:hint="eastAsia" w:ascii="宋体" w:hAnsi="宋体"/>
                <w:color w:val="auto"/>
                <w:sz w:val="24"/>
              </w:rPr>
              <w:t xml:space="preserve">）采用双层套管，表层套管完全封闭各含水层，固井水泥均上返地面， 这样，在各含水层与井筒间形成双层套管、单层水泥环的保护措施，将事故风险降低到最低。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2</w:t>
            </w:r>
            <w:r>
              <w:rPr>
                <w:rFonts w:hint="eastAsia" w:ascii="宋体" w:hAnsi="宋体"/>
                <w:color w:val="auto"/>
                <w:sz w:val="24"/>
              </w:rPr>
              <w:t>）利用已有的或者新开发的水井，对各层地下水分别设置监测井位，定期对油田开发区各地下水层监测井采样分析，一个季度采样一次，分析项目为</w:t>
            </w:r>
            <w:r>
              <w:rPr>
                <w:rFonts w:hint="eastAsia" w:ascii="Times New Roman" w:hAnsi="Times New Roman" w:eastAsia="Times New Roman"/>
                <w:color w:val="auto"/>
                <w:sz w:val="24"/>
              </w:rPr>
              <w:t>COD</w:t>
            </w:r>
            <w:r>
              <w:rPr>
                <w:rFonts w:hint="eastAsia" w:ascii="宋体" w:hAnsi="宋体"/>
                <w:color w:val="auto"/>
                <w:sz w:val="24"/>
              </w:rPr>
              <w:t xml:space="preserve">、石油类、挥发酚等石油特征指标，根据监测指标的变化趋势，对可能产生的隐蔽污染，做到及时发现，尽早处理。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3</w:t>
            </w:r>
            <w:r>
              <w:rPr>
                <w:rFonts w:hint="eastAsia" w:ascii="宋体" w:hAnsi="宋体"/>
                <w:color w:val="auto"/>
                <w:sz w:val="24"/>
              </w:rPr>
              <w:t xml:space="preserve">）及时展开隐蔽污染源调查，查明隐蔽污染源之所在，采取果断措施，截断隐蔽污染源的扩散途径。 </w:t>
            </w:r>
          </w:p>
          <w:p>
            <w:pPr>
              <w:spacing w:line="360" w:lineRule="auto"/>
              <w:ind w:firstLine="480" w:firstLineChars="200"/>
              <w:jc w:val="both"/>
              <w:rPr>
                <w:rFonts w:ascii="Times New Roman" w:hAnsi="Times New Roman" w:eastAsia="Times New Roman"/>
                <w:bCs/>
                <w:color w:val="auto"/>
                <w:sz w:val="24"/>
              </w:rPr>
            </w:pPr>
            <w:r>
              <w:rPr>
                <w:rFonts w:hint="eastAsia" w:ascii="Times New Roman" w:hAnsi="Times New Roman"/>
                <w:bCs/>
                <w:color w:val="auto"/>
                <w:sz w:val="24"/>
              </w:rPr>
              <w:t>7.2.3</w:t>
            </w:r>
            <w:r>
              <w:rPr>
                <w:rFonts w:hint="eastAsia" w:ascii="Times New Roman" w:hAnsi="Times New Roman" w:eastAsia="Times New Roman"/>
                <w:bCs/>
                <w:color w:val="auto"/>
                <w:sz w:val="24"/>
              </w:rPr>
              <w:t xml:space="preserve">管线安全运行措施 </w:t>
            </w:r>
          </w:p>
          <w:p>
            <w:pPr>
              <w:spacing w:line="360" w:lineRule="auto"/>
              <w:ind w:firstLine="480" w:firstLineChars="200"/>
              <w:jc w:val="both"/>
              <w:rPr>
                <w:rFonts w:ascii="宋体" w:hAnsi="宋体"/>
                <w:color w:val="auto"/>
                <w:sz w:val="24"/>
              </w:rPr>
            </w:pPr>
            <w:r>
              <w:rPr>
                <w:rFonts w:hint="eastAsia" w:ascii="宋体" w:hAnsi="宋体"/>
                <w:color w:val="auto"/>
                <w:sz w:val="24"/>
              </w:rPr>
              <w:t xml:space="preserve">为了尽量避免管线破裂事故的发生，减轻管线破裂、泄漏事故对环境的影响， 应采取以下安全环保措施： </w:t>
            </w:r>
          </w:p>
          <w:p>
            <w:pPr>
              <w:spacing w:line="360" w:lineRule="auto"/>
              <w:ind w:firstLine="480" w:firstLineChars="200"/>
              <w:jc w:val="both"/>
              <w:rPr>
                <w:color w:val="auto"/>
                <w:sz w:val="24"/>
              </w:rPr>
            </w:pPr>
            <w:r>
              <w:rPr>
                <w:rFonts w:hint="eastAsia" w:ascii="宋体" w:hAnsi="宋体"/>
                <w:color w:val="auto"/>
                <w:sz w:val="24"/>
              </w:rPr>
              <w:t>（</w:t>
            </w:r>
            <w:r>
              <w:rPr>
                <w:rFonts w:hint="eastAsia" w:ascii="Times New Roman" w:hAnsi="Times New Roman" w:eastAsia="Times New Roman"/>
                <w:color w:val="auto"/>
                <w:sz w:val="24"/>
              </w:rPr>
              <w:t>1</w:t>
            </w:r>
            <w:r>
              <w:rPr>
                <w:rFonts w:hint="eastAsia" w:ascii="宋体" w:hAnsi="宋体"/>
                <w:color w:val="auto"/>
                <w:sz w:val="24"/>
              </w:rPr>
              <w:t>）管线敷设过程中应严格按设计要求进行，确保埋设深度、防腐和保温质量，防止腐蚀管道。管线敷设线路上方设置永久性标志，提醒人们在管线两侧活动，保护管线</w:t>
            </w:r>
            <w:r>
              <w:rPr>
                <w:color w:val="auto"/>
                <w:sz w:val="24"/>
              </w:rPr>
              <w:t xml:space="preserve">的安全。 </w:t>
            </w:r>
          </w:p>
          <w:p>
            <w:pPr>
              <w:spacing w:line="360" w:lineRule="auto"/>
              <w:ind w:firstLine="480" w:firstLineChars="200"/>
              <w:jc w:val="both"/>
              <w:rPr>
                <w:rFonts w:ascii="宋体" w:hAnsi="宋体"/>
                <w:color w:val="auto"/>
                <w:sz w:val="24"/>
              </w:rPr>
            </w:pPr>
            <w:r>
              <w:rPr>
                <w:color w:val="auto"/>
                <w:sz w:val="24"/>
              </w:rPr>
              <w:t>（</w:t>
            </w:r>
            <w:r>
              <w:rPr>
                <w:rFonts w:hint="eastAsia" w:ascii="Times New Roman" w:hAnsi="Times New Roman" w:eastAsia="Times New Roman"/>
                <w:color w:val="auto"/>
                <w:sz w:val="24"/>
              </w:rPr>
              <w:t>2</w:t>
            </w:r>
            <w:r>
              <w:rPr>
                <w:rFonts w:hint="eastAsia" w:ascii="宋体" w:hAnsi="宋体"/>
                <w:color w:val="auto"/>
                <w:sz w:val="24"/>
              </w:rPr>
              <w:t xml:space="preserve">）为了减轻管线的内外腐蚀，每年定期用超声波检测仪，测量 </w:t>
            </w:r>
            <w:r>
              <w:rPr>
                <w:rFonts w:hint="eastAsia" w:ascii="Times New Roman" w:hAnsi="Times New Roman" w:eastAsia="Times New Roman"/>
                <w:color w:val="auto"/>
                <w:sz w:val="24"/>
              </w:rPr>
              <w:t xml:space="preserve">1-2 </w:t>
            </w:r>
            <w:r>
              <w:rPr>
                <w:rFonts w:hint="eastAsia" w:ascii="宋体" w:hAnsi="宋体"/>
                <w:color w:val="auto"/>
                <w:sz w:val="24"/>
              </w:rPr>
              <w:t xml:space="preserve">次管线内外防腐情况，若管壁厚度减薄，应及时更换管段。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3</w:t>
            </w:r>
            <w:r>
              <w:rPr>
                <w:rFonts w:hint="eastAsia" w:ascii="宋体" w:hAnsi="宋体"/>
                <w:color w:val="auto"/>
                <w:sz w:val="24"/>
              </w:rPr>
              <w:t xml:space="preserve">）为保护管道不受深根系植被破坏，在管道上部土壤中可复耕一般农作物及种植浅根系植被。在对集输管道的日常巡线检查过程中，应将管道上覆土壤中会对管道构成破坏的深根系植被进行及时清理，以确保管道的安全运行。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4</w:t>
            </w:r>
            <w:r>
              <w:rPr>
                <w:rFonts w:hint="eastAsia" w:ascii="宋体" w:hAnsi="宋体"/>
                <w:color w:val="auto"/>
                <w:sz w:val="24"/>
              </w:rPr>
              <w:t xml:space="preserve">）机械失效及施工缺陷是导致事故的重要原因之一。根据我国的经验， 管道焊接是最关键的工艺，焊接工应接受专门培训，持证上岗。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5</w:t>
            </w:r>
            <w:r>
              <w:rPr>
                <w:rFonts w:hint="eastAsia" w:ascii="宋体" w:hAnsi="宋体"/>
                <w:color w:val="auto"/>
                <w:sz w:val="24"/>
              </w:rPr>
              <w:t xml:space="preserve">）加强日常生产监督管理和安全运行检查工作，对各种设备、管线、油罐、阀门定期进行检查，防止跑、冒、滴、漏，及时巡查管线，消除事故隐患。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6</w:t>
            </w:r>
            <w:r>
              <w:rPr>
                <w:rFonts w:hint="eastAsia" w:ascii="宋体" w:hAnsi="宋体"/>
                <w:color w:val="auto"/>
                <w:sz w:val="24"/>
              </w:rPr>
              <w:t xml:space="preserve">）加强职工安全意识教育和安全生产技术培训，制定安全生产操作规程。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7</w:t>
            </w:r>
            <w:r>
              <w:rPr>
                <w:rFonts w:hint="eastAsia" w:ascii="宋体" w:hAnsi="宋体"/>
                <w:color w:val="auto"/>
                <w:sz w:val="24"/>
              </w:rPr>
              <w:t>）集输管线敷设前，应加强对管材和焊接质量的检查，严禁使用不合格产品。对焊接质量严格检验，防止焊接缺陷造成泄漏事故的发生；按规定进行管道的定期检验、保养，及时更换易损及老化部件，防止原油泄漏事故的发生。</w:t>
            </w:r>
          </w:p>
          <w:p>
            <w:pPr>
              <w:spacing w:line="360" w:lineRule="auto"/>
              <w:ind w:firstLine="480" w:firstLineChars="200"/>
              <w:jc w:val="both"/>
              <w:rPr>
                <w:rFonts w:ascii="宋体" w:hAnsi="宋体"/>
                <w:color w:val="auto"/>
                <w:sz w:val="24"/>
              </w:rPr>
            </w:pPr>
            <w:r>
              <w:rPr>
                <w:rFonts w:hint="eastAsia" w:ascii="宋体" w:hAnsi="宋体"/>
                <w:color w:val="auto"/>
                <w:sz w:val="24"/>
              </w:rPr>
              <w:t xml:space="preserve">当有风险事故发生时，立即启动应急预案，使事故带来的损失降低到最小。 </w:t>
            </w:r>
          </w:p>
          <w:p>
            <w:pPr>
              <w:spacing w:line="360" w:lineRule="auto"/>
              <w:ind w:firstLine="480" w:firstLineChars="200"/>
              <w:jc w:val="both"/>
              <w:rPr>
                <w:rFonts w:ascii="Times New Roman" w:hAnsi="Times New Roman" w:eastAsia="Times New Roman"/>
                <w:bCs/>
                <w:color w:val="auto"/>
                <w:sz w:val="24"/>
              </w:rPr>
            </w:pPr>
            <w:r>
              <w:rPr>
                <w:rFonts w:hint="eastAsia" w:ascii="Times New Roman" w:hAnsi="Times New Roman"/>
                <w:bCs/>
                <w:color w:val="auto"/>
                <w:sz w:val="24"/>
              </w:rPr>
              <w:t>7.2.4</w:t>
            </w:r>
            <w:r>
              <w:rPr>
                <w:rFonts w:hint="eastAsia" w:ascii="Times New Roman" w:hAnsi="Times New Roman" w:eastAsia="Times New Roman"/>
                <w:bCs/>
                <w:color w:val="auto"/>
                <w:sz w:val="24"/>
              </w:rPr>
              <w:t xml:space="preserve">其他措施 </w:t>
            </w:r>
          </w:p>
          <w:p>
            <w:pPr>
              <w:spacing w:line="360" w:lineRule="auto"/>
              <w:ind w:firstLine="480" w:firstLineChars="200"/>
              <w:jc w:val="both"/>
              <w:rPr>
                <w:rFonts w:ascii="宋体" w:hAnsi="宋体"/>
                <w:color w:val="auto"/>
                <w:sz w:val="24"/>
              </w:rPr>
            </w:pPr>
            <w:r>
              <w:rPr>
                <w:rFonts w:hint="eastAsia" w:ascii="宋体" w:hAnsi="宋体"/>
                <w:color w:val="auto"/>
                <w:sz w:val="24"/>
              </w:rPr>
              <w:t xml:space="preserve">除采取上述安全预防措施外，还应通过提高人员素质，加强责任心教育，完善有关操作条例等方法来防止人为因素引发的事故。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1</w:t>
            </w:r>
            <w:r>
              <w:rPr>
                <w:rFonts w:hint="eastAsia" w:ascii="宋体" w:hAnsi="宋体"/>
                <w:color w:val="auto"/>
                <w:sz w:val="24"/>
              </w:rPr>
              <w:t xml:space="preserve">）对生产操作的工人必须培训经考核后上岗，使其了解工艺过程，熟悉操作规程，对各种情况能进行正确判断。 </w:t>
            </w:r>
          </w:p>
          <w:p>
            <w:pPr>
              <w:spacing w:line="360" w:lineRule="auto"/>
              <w:ind w:firstLine="480" w:firstLineChars="200"/>
              <w:jc w:val="both"/>
              <w:rPr>
                <w:rFonts w:ascii="宋体" w:hAnsi="宋体"/>
                <w:color w:val="auto"/>
                <w:sz w:val="24"/>
              </w:rPr>
            </w:pPr>
            <w:r>
              <w:rPr>
                <w:rFonts w:hint="eastAsia" w:ascii="宋体" w:hAnsi="宋体"/>
                <w:color w:val="auto"/>
                <w:sz w:val="24"/>
              </w:rPr>
              <w:t>（</w:t>
            </w:r>
            <w:r>
              <w:rPr>
                <w:rFonts w:hint="eastAsia" w:ascii="Times New Roman" w:hAnsi="Times New Roman" w:eastAsia="Times New Roman"/>
                <w:color w:val="auto"/>
                <w:sz w:val="24"/>
              </w:rPr>
              <w:t>2</w:t>
            </w:r>
            <w:r>
              <w:rPr>
                <w:rFonts w:hint="eastAsia" w:ascii="宋体" w:hAnsi="宋体"/>
                <w:color w:val="auto"/>
                <w:sz w:val="24"/>
              </w:rPr>
              <w:t xml:space="preserve">）加强各级干部、职工的风险意识和环境意识教育，增强安全、环保意识。建立健全各种规章制度、规程，使制度落实到实处，严格遵守，杜绝违章作业。 </w:t>
            </w:r>
          </w:p>
          <w:p>
            <w:pPr>
              <w:pStyle w:val="48"/>
              <w:spacing w:line="360" w:lineRule="auto"/>
              <w:ind w:firstLine="480"/>
              <w:jc w:val="both"/>
              <w:rPr>
                <w:color w:val="auto"/>
              </w:rPr>
            </w:pPr>
            <w:r>
              <w:rPr>
                <w:rFonts w:hint="eastAsia"/>
                <w:color w:val="auto"/>
              </w:rPr>
              <w:t>（</w:t>
            </w:r>
            <w:r>
              <w:rPr>
                <w:rFonts w:hint="eastAsia" w:ascii="Times New Roman" w:hAnsi="Times New Roman" w:eastAsia="Times New Roman"/>
                <w:color w:val="auto"/>
              </w:rPr>
              <w:t>3</w:t>
            </w:r>
            <w:r>
              <w:rPr>
                <w:rFonts w:hint="eastAsia"/>
                <w:color w:val="auto"/>
              </w:rPr>
              <w:t>）经常对职工进行爱岗教育，使职工安心本职工作，遵守劳动纪律，避免因责任心不强、操作中疏忽大意、擅离职守等原因造成的事故。</w:t>
            </w:r>
          </w:p>
          <w:p>
            <w:pPr>
              <w:spacing w:line="360" w:lineRule="auto"/>
              <w:ind w:firstLine="482" w:firstLineChars="200"/>
              <w:jc w:val="both"/>
              <w:rPr>
                <w:color w:val="auto"/>
              </w:rPr>
            </w:pPr>
            <w:r>
              <w:rPr>
                <w:rFonts w:hint="eastAsia" w:ascii="Times New Roman" w:hAnsi="Times New Roman"/>
                <w:b/>
                <w:bCs/>
                <w:color w:val="auto"/>
                <w:kern w:val="0"/>
                <w:sz w:val="24"/>
                <w:lang w:bidi="ar"/>
              </w:rPr>
              <w:t>7.3</w:t>
            </w:r>
            <w:r>
              <w:rPr>
                <w:rFonts w:ascii="Times New Roman" w:hAnsi="Times New Roman"/>
                <w:b/>
                <w:bCs/>
                <w:color w:val="auto"/>
                <w:kern w:val="0"/>
                <w:sz w:val="24"/>
                <w:lang w:bidi="ar"/>
              </w:rPr>
              <w:t xml:space="preserve"> </w:t>
            </w:r>
            <w:r>
              <w:rPr>
                <w:rFonts w:hint="eastAsia" w:ascii="宋体" w:hAnsi="宋体" w:cs="宋体"/>
                <w:b/>
                <w:bCs/>
                <w:color w:val="auto"/>
                <w:kern w:val="0"/>
                <w:sz w:val="24"/>
                <w:lang w:bidi="ar"/>
              </w:rPr>
              <w:t xml:space="preserve">应急预案 </w:t>
            </w:r>
          </w:p>
          <w:p>
            <w:pPr>
              <w:adjustRightInd w:val="0"/>
              <w:spacing w:line="360" w:lineRule="auto"/>
              <w:ind w:firstLine="480" w:firstLineChars="200"/>
              <w:jc w:val="both"/>
              <w:rPr>
                <w:rFonts w:ascii="Times New Roman" w:hAnsi="Times New Roman"/>
                <w:color w:val="auto"/>
                <w:sz w:val="24"/>
                <w:shd w:val="clear" w:color="auto" w:fill="FFFFFF"/>
              </w:rPr>
            </w:pPr>
            <w:r>
              <w:rPr>
                <w:rFonts w:ascii="Times New Roman" w:hAnsi="Times New Roman"/>
                <w:color w:val="auto"/>
                <w:sz w:val="24"/>
                <w:shd w:val="clear" w:color="auto" w:fill="FFFFFF"/>
              </w:rPr>
              <w:t>项目应完善应急预案，对于重大或不可接受的风险（主要是物料严重泄漏、火灾爆炸造成重大人员伤害等），制定应急响应方案，建立应急反应体系，当事故一旦发生时可迅速加以控制，使危害和损失降低到尽可能低的程度。作为事故风险防范和应急对策的重要组成部分，应急组织机构应及时完善应急计划，其基本内容应包括应急组织、应急设施（设备器材）、应急通讯联络、应急监测、应急安全保卫、应急撤离措施、应急救援、应急状态终止、事故后果评价、应急报告等。</w:t>
            </w:r>
          </w:p>
          <w:p>
            <w:pPr>
              <w:adjustRightInd w:val="0"/>
              <w:spacing w:line="360" w:lineRule="auto"/>
              <w:ind w:firstLine="480" w:firstLineChars="200"/>
              <w:jc w:val="both"/>
              <w:rPr>
                <w:rFonts w:ascii="宋体" w:hAnsi="宋体"/>
                <w:color w:val="auto"/>
                <w:sz w:val="24"/>
              </w:rPr>
            </w:pPr>
            <w:r>
              <w:rPr>
                <w:rFonts w:hint="eastAsia" w:ascii="Times New Roman" w:hAnsi="Times New Roman"/>
                <w:color w:val="auto"/>
                <w:sz w:val="24"/>
                <w:shd w:val="clear" w:color="auto" w:fill="FFFFFF"/>
              </w:rPr>
              <w:t>本项目根据《建设项目环境风险评价技术导则》（HJ 169-2018）的要求制定环境风险事故应急预案，</w:t>
            </w:r>
            <w:r>
              <w:rPr>
                <w:rFonts w:ascii="Times New Roman" w:hAnsi="Times New Roman"/>
                <w:color w:val="auto"/>
                <w:sz w:val="24"/>
                <w:shd w:val="clear" w:color="auto" w:fill="FFFFFF"/>
              </w:rPr>
              <w:t>项目实施区域纳入</w:t>
            </w:r>
            <w:r>
              <w:rPr>
                <w:rFonts w:hint="eastAsia" w:ascii="Times New Roman" w:hAnsi="Times New Roman"/>
                <w:color w:val="auto"/>
                <w:sz w:val="24"/>
                <w:shd w:val="clear" w:color="auto" w:fill="FFFFFF"/>
              </w:rPr>
              <w:t>春光油田</w:t>
            </w:r>
            <w:r>
              <w:rPr>
                <w:rFonts w:ascii="Times New Roman" w:hAnsi="Times New Roman"/>
                <w:color w:val="auto"/>
                <w:sz w:val="24"/>
                <w:shd w:val="clear" w:color="auto" w:fill="FFFFFF"/>
              </w:rPr>
              <w:t>突发环境污染事件应急预案的管理范畴。</w:t>
            </w:r>
            <w:r>
              <w:rPr>
                <w:rFonts w:hint="eastAsia" w:ascii="宋体" w:hAnsi="宋体"/>
                <w:color w:val="auto"/>
                <w:sz w:val="24"/>
              </w:rPr>
              <w:t>中国石油化工股份有限公司河南油田分公司新疆采油厂已制定了《春光油田突发事件环境应急预案》并进行了备案，规定了严格的环境风险防范措施及对策。</w:t>
            </w:r>
          </w:p>
          <w:p>
            <w:pPr>
              <w:adjustRightInd w:val="0"/>
              <w:snapToGrid w:val="0"/>
              <w:spacing w:line="360" w:lineRule="auto"/>
              <w:ind w:firstLine="480" w:firstLineChars="200"/>
              <w:jc w:val="both"/>
              <w:rPr>
                <w:rFonts w:ascii="Times New Roman" w:hAnsi="Times New Roman"/>
                <w:color w:val="auto"/>
                <w:sz w:val="24"/>
                <w:shd w:val="clear" w:color="auto" w:fill="FFFFFF"/>
              </w:rPr>
            </w:pPr>
            <w:r>
              <w:rPr>
                <w:rFonts w:ascii="Times New Roman" w:hAnsi="Times New Roman"/>
                <w:color w:val="auto"/>
                <w:sz w:val="24"/>
                <w:shd w:val="clear" w:color="auto" w:fill="FFFFFF"/>
              </w:rPr>
              <w:t>根据导则要求，相关环境保护应急预案应包括内容见表</w:t>
            </w:r>
            <w:r>
              <w:rPr>
                <w:rFonts w:hint="eastAsia" w:ascii="Times New Roman" w:hAnsi="Times New Roman"/>
                <w:color w:val="auto"/>
                <w:sz w:val="24"/>
                <w:shd w:val="clear" w:color="auto" w:fill="FFFFFF"/>
              </w:rPr>
              <w:t>7</w:t>
            </w:r>
            <w:r>
              <w:rPr>
                <w:rFonts w:ascii="Times New Roman" w:hAnsi="Times New Roman"/>
                <w:color w:val="auto"/>
                <w:sz w:val="24"/>
                <w:shd w:val="clear" w:color="auto" w:fill="FFFFFF"/>
              </w:rPr>
              <w:t xml:space="preserve"> 。</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7</w:t>
            </w:r>
            <w:r>
              <w:rPr>
                <w:rFonts w:ascii="Times New Roman" w:hAnsi="Times New Roman"/>
                <w:b/>
                <w:color w:val="auto"/>
                <w:kern w:val="0"/>
                <w:szCs w:val="21"/>
              </w:rPr>
              <w:t xml:space="preserve">   本项目环境风险应急预案内容一览表</w:t>
            </w:r>
          </w:p>
          <w:tbl>
            <w:tblPr>
              <w:tblStyle w:val="3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618"/>
              <w:gridCol w:w="62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序号</w:t>
                  </w:r>
                </w:p>
              </w:tc>
              <w:tc>
                <w:tcPr>
                  <w:tcW w:w="974" w:type="pct"/>
                  <w:vAlign w:val="center"/>
                </w:tcPr>
                <w:p>
                  <w:pPr>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项目</w:t>
                  </w:r>
                </w:p>
              </w:tc>
              <w:tc>
                <w:tcPr>
                  <w:tcW w:w="3744" w:type="pct"/>
                  <w:vAlign w:val="center"/>
                </w:tcPr>
                <w:p>
                  <w:pPr>
                    <w:adjustRightInd w:val="0"/>
                    <w:snapToGrid w:val="0"/>
                    <w:spacing w:line="240" w:lineRule="exact"/>
                    <w:jc w:val="center"/>
                    <w:rPr>
                      <w:rFonts w:ascii="Times New Roman" w:hAnsi="Times New Roman"/>
                      <w:color w:val="auto"/>
                      <w:kern w:val="0"/>
                      <w:szCs w:val="21"/>
                    </w:rPr>
                  </w:pPr>
                  <w:r>
                    <w:rPr>
                      <w:rFonts w:ascii="Times New Roman" w:hAnsi="Times New Roman"/>
                      <w:color w:val="auto"/>
                      <w:kern w:val="0"/>
                      <w:szCs w:val="21"/>
                    </w:rPr>
                    <w:t>主要内容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1</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应急计划区</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单井井场、单井集输管线，相关环保设施。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2</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应急组织结构</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应急组织机构分级，各级别主要负责人为应急计划、协调第一人，应急人员必须为培训上岗熟练工；区域应急组织结构由当地政府、相关行业专家、卫生安全相关单位组成，并由当地政府进行统一调度。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3</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预案分级响应条件</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根据事故的严重程度制定相应级别的应急预案，以及适合相应情况的处理措施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4</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报警、通讯联络方式</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逐一细化应急状态下各主要负责单位的报警通讯方式、地点、电话号码以及相关配套的交通保障、管制、消防联络方法，涉及跨区域的还应与相关区域环境保护部门和上级环保部门保持联系，及时通报事故处理情况，以获得区域性支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Merge w:val="restar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5</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应急环境监测</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组织专业队伍负责对事故现场进行侦察监测，对事故性质、参数与后果进行评估，专为指挥部门提供决策依据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Merge w:val="continue"/>
                  <w:vAlign w:val="center"/>
                </w:tcPr>
                <w:p>
                  <w:pPr>
                    <w:adjustRightInd w:val="0"/>
                    <w:snapToGrid w:val="0"/>
                    <w:spacing w:line="240" w:lineRule="exact"/>
                    <w:jc w:val="both"/>
                    <w:rPr>
                      <w:rFonts w:ascii="Times New Roman" w:hAnsi="Times New Roman"/>
                      <w:color w:val="auto"/>
                      <w:kern w:val="0"/>
                      <w:szCs w:val="21"/>
                    </w:rPr>
                  </w:pP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抢险、救援控制措施</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严格规定事故多发区、事故现场、邻近区域、控制防火区域设置控制和清除污染措施及相应设备的数量、使用方法、使用人员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6</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人员紧急撤离、疏散计划</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事故现场、罐区邻近区、受事故影响的区域人员及公众对有毒有害物质应急剂量控制规定，制定紧急撤离组织计划和救护，医疗救护与公众健康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7</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事故应急救援</w:t>
                  </w:r>
                </w:p>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关闭程序</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制定相关应急状态终止程序，事故现场、受影响范围内的善后处理、恢复措施，邻近区域解除事故警戒及善后恢复措施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8</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事故恢复措施</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制定有关的环境恢复措施（包括生态环境），组织专业人员对事故后的环境变化进行监测，对事故应急措施的环境可行性进行后评价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9</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应急培训计划</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定期安排有关人员进行培训与演练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10</w:t>
                  </w:r>
                </w:p>
              </w:tc>
              <w:tc>
                <w:tcPr>
                  <w:tcW w:w="97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公众教育和信息</w:t>
                  </w:r>
                </w:p>
              </w:tc>
              <w:tc>
                <w:tcPr>
                  <w:tcW w:w="3744" w:type="pct"/>
                  <w:vAlign w:val="center"/>
                </w:tcPr>
                <w:p>
                  <w:pPr>
                    <w:adjustRightInd w:val="0"/>
                    <w:snapToGrid w:val="0"/>
                    <w:spacing w:line="240" w:lineRule="exact"/>
                    <w:jc w:val="both"/>
                    <w:rPr>
                      <w:rFonts w:ascii="Times New Roman" w:hAnsi="Times New Roman"/>
                      <w:color w:val="auto"/>
                      <w:kern w:val="0"/>
                      <w:szCs w:val="21"/>
                    </w:rPr>
                  </w:pPr>
                  <w:r>
                    <w:rPr>
                      <w:rFonts w:ascii="Times New Roman" w:hAnsi="Times New Roman"/>
                      <w:color w:val="auto"/>
                      <w:kern w:val="0"/>
                      <w:szCs w:val="21"/>
                    </w:rPr>
                    <w:t>对邻近地区职工及公众开展教育、培训和发布有关信息</w:t>
                  </w:r>
                </w:p>
              </w:tc>
            </w:tr>
          </w:tbl>
          <w:p>
            <w:pPr>
              <w:adjustRightInd w:val="0"/>
              <w:spacing w:line="360" w:lineRule="auto"/>
              <w:ind w:firstLine="482"/>
              <w:jc w:val="both"/>
              <w:rPr>
                <w:rFonts w:ascii="Times New Roman" w:hAnsi="Times New Roman"/>
                <w:color w:val="auto"/>
                <w:sz w:val="24"/>
              </w:rPr>
            </w:pPr>
            <w:r>
              <w:rPr>
                <w:rFonts w:hint="eastAsia" w:ascii="宋体" w:hAnsi="宋体"/>
                <w:color w:val="auto"/>
                <w:sz w:val="24"/>
              </w:rPr>
              <w:t xml:space="preserve"> </w:t>
            </w:r>
            <w:r>
              <w:rPr>
                <w:rFonts w:hint="eastAsia" w:ascii="Times New Roman" w:hAnsi="Times New Roman"/>
                <w:color w:val="auto"/>
                <w:sz w:val="24"/>
              </w:rPr>
              <w:t>据建设单位介绍，春光油田自建设、投产运营以来，尚未发生过财产损失严重和生态环境影响较大的火灾、爆炸或泄漏等风险事故。项目各站场工作纪律严明，工作人员均持证上岗，井、站和集输管线都制定了巡检制度，有专人对各井、站设备的工作状态进行维护、检查，说明建设单位采取的环境风险防范措施是较为有效的。</w:t>
            </w:r>
          </w:p>
          <w:p>
            <w:pPr>
              <w:spacing w:line="360" w:lineRule="auto"/>
              <w:ind w:firstLine="482" w:firstLineChars="200"/>
              <w:jc w:val="both"/>
              <w:rPr>
                <w:rFonts w:ascii="Times New Roman" w:hAnsi="Times New Roman"/>
                <w:b/>
                <w:bCs/>
                <w:color w:val="auto"/>
                <w:kern w:val="0"/>
                <w:sz w:val="24"/>
                <w:szCs w:val="22"/>
              </w:rPr>
            </w:pPr>
            <w:r>
              <w:rPr>
                <w:rFonts w:hint="eastAsia" w:ascii="Times New Roman" w:hAnsi="Times New Roman"/>
                <w:b/>
                <w:bCs/>
                <w:color w:val="auto"/>
                <w:kern w:val="0"/>
                <w:sz w:val="24"/>
                <w:szCs w:val="22"/>
              </w:rPr>
              <w:t>8.</w:t>
            </w:r>
            <w:r>
              <w:rPr>
                <w:rFonts w:ascii="Times New Roman" w:hAnsi="Times New Roman"/>
                <w:b/>
                <w:bCs/>
                <w:color w:val="auto"/>
                <w:kern w:val="0"/>
                <w:sz w:val="24"/>
                <w:szCs w:val="22"/>
              </w:rPr>
              <w:t>环境风险分析结论</w:t>
            </w:r>
          </w:p>
          <w:p>
            <w:pPr>
              <w:spacing w:line="360" w:lineRule="auto"/>
              <w:ind w:firstLine="480" w:firstLineChars="200"/>
              <w:jc w:val="both"/>
              <w:rPr>
                <w:rFonts w:ascii="Times New Roman" w:hAnsi="Times New Roman"/>
                <w:color w:val="auto"/>
                <w:sz w:val="24"/>
              </w:rPr>
            </w:pPr>
            <w:r>
              <w:rPr>
                <w:rFonts w:hint="eastAsia" w:ascii="宋体" w:hAnsi="宋体"/>
                <w:color w:val="auto"/>
                <w:sz w:val="24"/>
              </w:rPr>
              <w:t xml:space="preserve">本项目所涉及的危险物质包括原油、柴油，可能发生的风险事故包括井场事故、管线泄露事故。原油发生泄漏时，对土壤、植被、地下水会产生一定的影响，发生事故后，在严格落实本项目提出的风险防范措施的前提下，不会对周围环境产生明显影响；当泄漏事故发生时，及时、彻底清除泄漏油品、被污染的土壤，污染物不会进入地下水中，对地下水水质没有不良影响。做好事故风险防范措施，将事故发生概率减少到最低。综上所述，本项目环境风险程度属于可以防控的。 </w:t>
            </w:r>
          </w:p>
          <w:p>
            <w:pPr>
              <w:pStyle w:val="74"/>
              <w:spacing w:line="360" w:lineRule="auto"/>
              <w:ind w:firstLine="480"/>
              <w:jc w:val="both"/>
              <w:outlineLvl w:val="9"/>
              <w:rPr>
                <w:rFonts w:ascii="Times New Roman" w:hAnsi="Times New Roman"/>
                <w:b w:val="0"/>
                <w:bCs/>
                <w:color w:val="auto"/>
                <w:szCs w:val="24"/>
              </w:rPr>
            </w:pPr>
            <w:r>
              <w:rPr>
                <w:rFonts w:ascii="Times New Roman" w:hAnsi="Times New Roman"/>
                <w:b w:val="0"/>
                <w:bCs/>
                <w:color w:val="auto"/>
                <w:szCs w:val="24"/>
              </w:rPr>
              <w:t>本项目环境风险简单</w:t>
            </w:r>
            <w:r>
              <w:rPr>
                <w:rFonts w:hint="eastAsia" w:ascii="Times New Roman" w:hAnsi="Times New Roman"/>
                <w:b w:val="0"/>
                <w:bCs/>
                <w:color w:val="auto"/>
                <w:szCs w:val="24"/>
              </w:rPr>
              <w:t>分析内容表见表8。</w:t>
            </w:r>
          </w:p>
          <w:p>
            <w:pPr>
              <w:ind w:firstLine="422" w:firstLineChars="200"/>
              <w:jc w:val="center"/>
              <w:rPr>
                <w:rFonts w:ascii="Times New Roman" w:hAnsi="Times New Roman"/>
                <w:b/>
                <w:color w:val="auto"/>
                <w:kern w:val="0"/>
                <w:szCs w:val="21"/>
              </w:rPr>
            </w:pPr>
            <w:r>
              <w:rPr>
                <w:rFonts w:ascii="Times New Roman" w:hAnsi="Times New Roman"/>
                <w:b/>
                <w:color w:val="auto"/>
                <w:kern w:val="0"/>
                <w:szCs w:val="21"/>
              </w:rPr>
              <w:t>表</w:t>
            </w:r>
            <w:r>
              <w:rPr>
                <w:rFonts w:hint="eastAsia" w:ascii="Times New Roman" w:hAnsi="Times New Roman"/>
                <w:b/>
                <w:color w:val="auto"/>
                <w:kern w:val="0"/>
                <w:szCs w:val="21"/>
              </w:rPr>
              <w:t>8</w:t>
            </w:r>
            <w:r>
              <w:rPr>
                <w:rFonts w:ascii="Times New Roman" w:hAnsi="Times New Roman"/>
                <w:b/>
                <w:color w:val="auto"/>
                <w:kern w:val="0"/>
                <w:szCs w:val="21"/>
              </w:rPr>
              <w:t xml:space="preserve"> 环境风险简单分析内容表</w:t>
            </w:r>
          </w:p>
          <w:tbl>
            <w:tblPr>
              <w:tblStyle w:val="37"/>
              <w:tblW w:w="5003"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35"/>
              <w:gridCol w:w="1096"/>
              <w:gridCol w:w="2075"/>
              <w:gridCol w:w="1106"/>
              <w:gridCol w:w="249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4" w:type="pct"/>
                  <w:vAlign w:val="center"/>
                </w:tcPr>
                <w:p>
                  <w:pPr>
                    <w:pStyle w:val="86"/>
                    <w:jc w:val="both"/>
                    <w:rPr>
                      <w:rFonts w:ascii="Times New Roman" w:hAnsi="Times New Roman"/>
                      <w:color w:val="auto"/>
                    </w:rPr>
                  </w:pPr>
                  <w:r>
                    <w:rPr>
                      <w:rFonts w:ascii="Times New Roman" w:hAnsi="Times New Roman"/>
                      <w:color w:val="auto"/>
                    </w:rPr>
                    <w:t>建设项目名称</w:t>
                  </w:r>
                </w:p>
              </w:tc>
              <w:tc>
                <w:tcPr>
                  <w:tcW w:w="4075" w:type="pct"/>
                  <w:gridSpan w:val="4"/>
                  <w:vAlign w:val="center"/>
                </w:tcPr>
                <w:p>
                  <w:pPr>
                    <w:pStyle w:val="86"/>
                    <w:jc w:val="both"/>
                    <w:rPr>
                      <w:rFonts w:ascii="Times New Roman" w:hAnsi="Times New Roman"/>
                      <w:color w:val="auto"/>
                    </w:rPr>
                  </w:pPr>
                  <w:r>
                    <w:rPr>
                      <w:rFonts w:ascii="Times New Roman" w:hAnsi="Times New Roman"/>
                      <w:color w:val="auto"/>
                    </w:rPr>
                    <w:t>春光油田春2井区开发建设项目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4" w:type="pct"/>
                  <w:vAlign w:val="center"/>
                </w:tcPr>
                <w:p>
                  <w:pPr>
                    <w:pStyle w:val="86"/>
                    <w:jc w:val="both"/>
                    <w:rPr>
                      <w:rFonts w:ascii="Times New Roman" w:hAnsi="Times New Roman"/>
                      <w:color w:val="auto"/>
                    </w:rPr>
                  </w:pPr>
                  <w:r>
                    <w:rPr>
                      <w:rFonts w:ascii="Times New Roman" w:hAnsi="Times New Roman"/>
                      <w:color w:val="auto"/>
                    </w:rPr>
                    <w:t>建设地点</w:t>
                  </w:r>
                </w:p>
              </w:tc>
              <w:tc>
                <w:tcPr>
                  <w:tcW w:w="4075" w:type="pct"/>
                  <w:gridSpan w:val="4"/>
                  <w:vAlign w:val="center"/>
                </w:tcPr>
                <w:p>
                  <w:pPr>
                    <w:pStyle w:val="86"/>
                    <w:jc w:val="both"/>
                    <w:rPr>
                      <w:rFonts w:ascii="Times New Roman" w:hAnsi="Times New Roman"/>
                      <w:color w:val="auto"/>
                    </w:rPr>
                  </w:pPr>
                  <w:r>
                    <w:rPr>
                      <w:rFonts w:ascii="Times New Roman" w:hAnsi="Times New Roman"/>
                      <w:color w:val="auto"/>
                    </w:rPr>
                    <w:t>新疆生产建设兵团</w:t>
                  </w:r>
                  <w:r>
                    <w:rPr>
                      <w:rFonts w:hint="eastAsia" w:ascii="Times New Roman" w:hAnsi="Times New Roman"/>
                      <w:color w:val="auto"/>
                    </w:rPr>
                    <w:t>第七师</w:t>
                  </w:r>
                  <w:r>
                    <w:rPr>
                      <w:rFonts w:ascii="Times New Roman" w:hAnsi="Times New Roman"/>
                      <w:color w:val="auto"/>
                    </w:rPr>
                    <w:t>123团境内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4" w:type="pct"/>
                  <w:vAlign w:val="center"/>
                </w:tcPr>
                <w:p>
                  <w:pPr>
                    <w:pStyle w:val="86"/>
                    <w:jc w:val="both"/>
                    <w:rPr>
                      <w:rFonts w:ascii="Times New Roman" w:hAnsi="Times New Roman"/>
                      <w:color w:val="auto"/>
                    </w:rPr>
                  </w:pPr>
                  <w:r>
                    <w:rPr>
                      <w:rFonts w:ascii="Times New Roman" w:hAnsi="Times New Roman"/>
                      <w:color w:val="auto"/>
                    </w:rPr>
                    <w:t>地理坐标</w:t>
                  </w:r>
                </w:p>
              </w:tc>
              <w:tc>
                <w:tcPr>
                  <w:tcW w:w="659" w:type="pct"/>
                  <w:vAlign w:val="center"/>
                </w:tcPr>
                <w:p>
                  <w:pPr>
                    <w:pStyle w:val="86"/>
                    <w:jc w:val="both"/>
                    <w:rPr>
                      <w:rFonts w:ascii="Times New Roman" w:hAnsi="Times New Roman"/>
                      <w:color w:val="auto"/>
                      <w:highlight w:val="yellow"/>
                    </w:rPr>
                  </w:pPr>
                  <w:r>
                    <w:rPr>
                      <w:rFonts w:ascii="Times New Roman" w:hAnsi="Times New Roman"/>
                      <w:color w:val="auto"/>
                    </w:rPr>
                    <w:t>经度</w:t>
                  </w:r>
                </w:p>
              </w:tc>
              <w:tc>
                <w:tcPr>
                  <w:tcW w:w="1248" w:type="pct"/>
                  <w:vAlign w:val="center"/>
                </w:tcPr>
                <w:p>
                  <w:pPr>
                    <w:pStyle w:val="86"/>
                    <w:jc w:val="both"/>
                    <w:rPr>
                      <w:rFonts w:ascii="Times New Roman" w:hAnsi="Times New Roman"/>
                      <w:color w:val="auto"/>
                      <w:highlight w:val="yellow"/>
                    </w:rPr>
                  </w:pPr>
                  <w:r>
                    <w:rPr>
                      <w:rFonts w:ascii="Times New Roman" w:hAnsi="Times New Roman"/>
                      <w:color w:val="auto"/>
                      <w:sz w:val="20"/>
                      <w:szCs w:val="22"/>
                    </w:rPr>
                    <w:t>E：84°31′34.41</w:t>
                  </w:r>
                  <w:r>
                    <w:rPr>
                      <w:rFonts w:hint="eastAsia" w:ascii="Times New Roman" w:hAnsi="Times New Roman"/>
                      <w:color w:val="auto"/>
                      <w:sz w:val="20"/>
                      <w:szCs w:val="22"/>
                    </w:rPr>
                    <w:t>1</w:t>
                  </w:r>
                  <w:r>
                    <w:rPr>
                      <w:rFonts w:ascii="Times New Roman" w:hAnsi="Times New Roman"/>
                      <w:color w:val="auto"/>
                      <w:sz w:val="20"/>
                      <w:szCs w:val="22"/>
                    </w:rPr>
                    <w:t>″</w:t>
                  </w:r>
                </w:p>
              </w:tc>
              <w:tc>
                <w:tcPr>
                  <w:tcW w:w="665" w:type="pct"/>
                  <w:vAlign w:val="center"/>
                </w:tcPr>
                <w:p>
                  <w:pPr>
                    <w:pStyle w:val="86"/>
                    <w:jc w:val="both"/>
                    <w:rPr>
                      <w:rFonts w:ascii="Times New Roman" w:hAnsi="Times New Roman"/>
                      <w:color w:val="auto"/>
                      <w:highlight w:val="yellow"/>
                    </w:rPr>
                  </w:pPr>
                  <w:r>
                    <w:rPr>
                      <w:rFonts w:ascii="Times New Roman" w:hAnsi="Times New Roman"/>
                      <w:color w:val="auto"/>
                    </w:rPr>
                    <w:t>纬度</w:t>
                  </w:r>
                </w:p>
              </w:tc>
              <w:tc>
                <w:tcPr>
                  <w:tcW w:w="1501" w:type="pct"/>
                  <w:vAlign w:val="center"/>
                </w:tcPr>
                <w:p>
                  <w:pPr>
                    <w:pStyle w:val="86"/>
                    <w:jc w:val="both"/>
                    <w:rPr>
                      <w:rFonts w:ascii="Times New Roman" w:hAnsi="Times New Roman"/>
                      <w:color w:val="auto"/>
                      <w:highlight w:val="yellow"/>
                    </w:rPr>
                  </w:pPr>
                  <w:r>
                    <w:rPr>
                      <w:rFonts w:ascii="Times New Roman" w:hAnsi="Times New Roman"/>
                      <w:color w:val="auto"/>
                      <w:sz w:val="20"/>
                      <w:szCs w:val="22"/>
                    </w:rPr>
                    <w:t>N：44°58′36.62</w:t>
                  </w:r>
                  <w:r>
                    <w:rPr>
                      <w:rFonts w:hint="eastAsia" w:ascii="Times New Roman" w:hAnsi="Times New Roman"/>
                      <w:color w:val="auto"/>
                      <w:sz w:val="20"/>
                      <w:szCs w:val="22"/>
                    </w:rPr>
                    <w:t>4</w:t>
                  </w:r>
                  <w:r>
                    <w:rPr>
                      <w:rFonts w:ascii="Times New Roman" w:hAnsi="Times New Roman"/>
                      <w:color w:val="auto"/>
                      <w:sz w:val="20"/>
                      <w:szCs w:val="22"/>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4" w:type="pct"/>
                  <w:vAlign w:val="center"/>
                </w:tcPr>
                <w:p>
                  <w:pPr>
                    <w:pStyle w:val="86"/>
                    <w:rPr>
                      <w:rFonts w:ascii="Times New Roman" w:hAnsi="Times New Roman"/>
                      <w:color w:val="auto"/>
                    </w:rPr>
                  </w:pPr>
                  <w:r>
                    <w:rPr>
                      <w:rFonts w:ascii="Times New Roman" w:hAnsi="Times New Roman"/>
                      <w:color w:val="auto"/>
                    </w:rPr>
                    <w:t>主要危险物质及分布</w:t>
                  </w:r>
                </w:p>
              </w:tc>
              <w:tc>
                <w:tcPr>
                  <w:tcW w:w="4075" w:type="pct"/>
                  <w:gridSpan w:val="4"/>
                  <w:vAlign w:val="center"/>
                </w:tcPr>
                <w:p>
                  <w:pPr>
                    <w:pStyle w:val="86"/>
                    <w:jc w:val="both"/>
                    <w:rPr>
                      <w:rFonts w:ascii="Times New Roman" w:hAnsi="Times New Roman"/>
                      <w:color w:val="auto"/>
                    </w:rPr>
                  </w:pPr>
                  <w:r>
                    <w:rPr>
                      <w:rFonts w:ascii="Times New Roman" w:hAnsi="Times New Roman"/>
                      <w:color w:val="auto"/>
                    </w:rPr>
                    <w:t>主要危险物质为</w:t>
                  </w:r>
                  <w:r>
                    <w:rPr>
                      <w:rFonts w:ascii="Times New Roman" w:hAnsi="Times New Roman"/>
                      <w:color w:val="auto"/>
                      <w:lang w:val="zh-CN"/>
                    </w:rPr>
                    <w:t>原油和柴油，主要分布在单井井场、单井集输管线沿线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4" w:type="pct"/>
                  <w:vAlign w:val="center"/>
                </w:tcPr>
                <w:p>
                  <w:pPr>
                    <w:pStyle w:val="86"/>
                    <w:jc w:val="both"/>
                    <w:rPr>
                      <w:rFonts w:ascii="Times New Roman" w:hAnsi="Times New Roman"/>
                      <w:color w:val="auto"/>
                    </w:rPr>
                  </w:pPr>
                  <w:r>
                    <w:rPr>
                      <w:rFonts w:ascii="Times New Roman" w:hAnsi="Times New Roman"/>
                      <w:color w:val="auto"/>
                    </w:rPr>
                    <w:t>环境影响途径及危害后果（大气、地表水、地下水等）</w:t>
                  </w:r>
                </w:p>
              </w:tc>
              <w:tc>
                <w:tcPr>
                  <w:tcW w:w="4075" w:type="pct"/>
                  <w:gridSpan w:val="4"/>
                  <w:vAlign w:val="center"/>
                </w:tcPr>
                <w:p>
                  <w:pPr>
                    <w:pStyle w:val="86"/>
                    <w:jc w:val="both"/>
                    <w:rPr>
                      <w:rFonts w:ascii="Times New Roman" w:hAnsi="Times New Roman"/>
                      <w:color w:val="auto"/>
                    </w:rPr>
                  </w:pPr>
                  <w:r>
                    <w:rPr>
                      <w:rFonts w:hint="eastAsia" w:cs="宋体"/>
                      <w:color w:val="auto"/>
                    </w:rPr>
                    <w:t>①</w:t>
                  </w:r>
                  <w:r>
                    <w:rPr>
                      <w:rFonts w:ascii="Times New Roman" w:hAnsi="Times New Roman"/>
                      <w:color w:val="auto"/>
                    </w:rPr>
                    <w:t>地下水</w:t>
                  </w:r>
                </w:p>
                <w:p>
                  <w:pPr>
                    <w:pStyle w:val="86"/>
                    <w:jc w:val="both"/>
                    <w:rPr>
                      <w:rFonts w:ascii="Times New Roman" w:hAnsi="Times New Roman"/>
                      <w:color w:val="auto"/>
                    </w:rPr>
                  </w:pPr>
                  <w:r>
                    <w:rPr>
                      <w:rFonts w:ascii="Times New Roman" w:hAnsi="Times New Roman"/>
                      <w:color w:val="auto"/>
                    </w:rPr>
                    <w:t>1）井漏：由于生产井固井质量不好，井下作业过程中可能引发油水窜层，污染地下水。</w:t>
                  </w:r>
                </w:p>
                <w:p>
                  <w:pPr>
                    <w:pStyle w:val="86"/>
                    <w:jc w:val="both"/>
                    <w:rPr>
                      <w:rFonts w:ascii="Times New Roman" w:hAnsi="Times New Roman"/>
                      <w:color w:val="auto"/>
                    </w:rPr>
                  </w:pPr>
                  <w:r>
                    <w:rPr>
                      <w:rFonts w:ascii="Times New Roman" w:hAnsi="Times New Roman"/>
                      <w:color w:val="auto"/>
                    </w:rPr>
                    <w:t>2）管线泄漏：管线泄漏的油品下渗而可能导致地下水污染风险的发生。</w:t>
                  </w:r>
                </w:p>
                <w:p>
                  <w:pPr>
                    <w:pStyle w:val="86"/>
                    <w:jc w:val="both"/>
                    <w:rPr>
                      <w:rFonts w:ascii="Times New Roman" w:hAnsi="Times New Roman"/>
                      <w:color w:val="auto"/>
                    </w:rPr>
                  </w:pPr>
                  <w:r>
                    <w:rPr>
                      <w:rFonts w:hint="eastAsia" w:cs="宋体"/>
                      <w:color w:val="auto"/>
                    </w:rPr>
                    <w:t>②</w:t>
                  </w:r>
                  <w:r>
                    <w:rPr>
                      <w:rFonts w:ascii="Times New Roman" w:hAnsi="Times New Roman"/>
                      <w:color w:val="auto"/>
                    </w:rPr>
                    <w:t>大气</w:t>
                  </w:r>
                </w:p>
                <w:p>
                  <w:pPr>
                    <w:pStyle w:val="86"/>
                    <w:jc w:val="both"/>
                    <w:rPr>
                      <w:rFonts w:ascii="Times New Roman" w:hAnsi="Times New Roman"/>
                      <w:color w:val="auto"/>
                    </w:rPr>
                  </w:pPr>
                  <w:r>
                    <w:rPr>
                      <w:rFonts w:ascii="Times New Roman" w:hAnsi="Times New Roman"/>
                      <w:color w:val="auto"/>
                    </w:rPr>
                    <w:t>原油泄漏后，原油中挥发的非甲烷总烃可能会对周围环境空气产生影响。</w:t>
                  </w:r>
                </w:p>
                <w:p>
                  <w:pPr>
                    <w:pStyle w:val="86"/>
                    <w:jc w:val="both"/>
                    <w:rPr>
                      <w:rFonts w:ascii="Times New Roman" w:hAnsi="Times New Roman"/>
                      <w:color w:val="auto"/>
                    </w:rPr>
                  </w:pPr>
                  <w:r>
                    <w:rPr>
                      <w:rFonts w:hint="eastAsia" w:cs="宋体"/>
                      <w:color w:val="auto"/>
                    </w:rPr>
                    <w:t>③</w:t>
                  </w:r>
                  <w:r>
                    <w:rPr>
                      <w:rFonts w:ascii="Times New Roman" w:hAnsi="Times New Roman"/>
                      <w:color w:val="auto"/>
                    </w:rPr>
                    <w:t>土壤</w:t>
                  </w:r>
                </w:p>
                <w:p>
                  <w:pPr>
                    <w:pStyle w:val="86"/>
                    <w:jc w:val="both"/>
                    <w:rPr>
                      <w:rFonts w:ascii="Times New Roman" w:hAnsi="Times New Roman"/>
                      <w:color w:val="auto"/>
                    </w:rPr>
                  </w:pPr>
                  <w:r>
                    <w:rPr>
                      <w:rFonts w:ascii="Times New Roman" w:hAnsi="Times New Roman"/>
                      <w:color w:val="auto"/>
                    </w:rPr>
                    <w:t>原油发生泄漏时，原油直接渗入土壤，使土壤透气性和呼吸作用减弱，影响土壤中的微生物生存，破坏土壤结构。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24" w:type="pct"/>
                  <w:vAlign w:val="center"/>
                </w:tcPr>
                <w:p>
                  <w:pPr>
                    <w:pStyle w:val="86"/>
                    <w:jc w:val="both"/>
                    <w:rPr>
                      <w:rFonts w:ascii="Times New Roman" w:hAnsi="Times New Roman"/>
                      <w:color w:val="auto"/>
                    </w:rPr>
                  </w:pPr>
                  <w:r>
                    <w:rPr>
                      <w:rFonts w:ascii="Times New Roman" w:hAnsi="Times New Roman"/>
                      <w:color w:val="auto"/>
                    </w:rPr>
                    <w:t xml:space="preserve">风险防范措施 </w:t>
                  </w:r>
                </w:p>
              </w:tc>
              <w:tc>
                <w:tcPr>
                  <w:tcW w:w="4075" w:type="pct"/>
                  <w:gridSpan w:val="4"/>
                  <w:vAlign w:val="center"/>
                </w:tcPr>
                <w:p>
                  <w:pPr>
                    <w:pStyle w:val="86"/>
                    <w:jc w:val="both"/>
                    <w:rPr>
                      <w:rFonts w:ascii="Times New Roman" w:hAnsi="Times New Roman"/>
                      <w:color w:val="auto"/>
                    </w:rPr>
                  </w:pPr>
                  <w:r>
                    <w:rPr>
                      <w:rFonts w:hint="eastAsia" w:cs="宋体"/>
                      <w:color w:val="auto"/>
                    </w:rPr>
                    <w:t>①</w:t>
                  </w:r>
                  <w:r>
                    <w:rPr>
                      <w:rFonts w:ascii="Times New Roman" w:hAnsi="Times New Roman"/>
                      <w:color w:val="auto"/>
                    </w:rPr>
                    <w:t>单井集输管线风险防范措施</w:t>
                  </w:r>
                </w:p>
                <w:p>
                  <w:pPr>
                    <w:pStyle w:val="86"/>
                    <w:jc w:val="both"/>
                    <w:rPr>
                      <w:rFonts w:ascii="Times New Roman" w:hAnsi="Times New Roman"/>
                      <w:color w:val="auto"/>
                    </w:rPr>
                  </w:pPr>
                  <w:r>
                    <w:rPr>
                      <w:rFonts w:ascii="Times New Roman" w:hAnsi="Times New Roman"/>
                      <w:color w:val="auto"/>
                    </w:rPr>
                    <w:t>1）管线敷设前，应加强对管材和焊接质量的检查，严禁使用不合格产品。对焊接质量严格检验。</w:t>
                  </w:r>
                </w:p>
                <w:p>
                  <w:pPr>
                    <w:pStyle w:val="86"/>
                    <w:jc w:val="both"/>
                    <w:rPr>
                      <w:rFonts w:ascii="Times New Roman" w:hAnsi="Times New Roman"/>
                      <w:color w:val="auto"/>
                    </w:rPr>
                  </w:pPr>
                  <w:r>
                    <w:rPr>
                      <w:rFonts w:ascii="Times New Roman" w:hAnsi="Times New Roman"/>
                      <w:color w:val="auto"/>
                    </w:rPr>
                    <w:t>2）定期对设备进行维修、保养，及时更换易损及老化部件。3）及时清除、处理各种污染物，保持安全设施的完好，杜绝火灾的发生。4）在运营期间，定期对管线进行超声波检查，对壁厚低于规定要求的管段应及时更换，消除爆管的隐患。定期对集输管线上的安全保护设施，如截断阀、安全阀、放空系统等进行检查，使管道在超压时能够得到安全处理，在管道破裂时能够及时截断上下游管段</w:t>
                  </w:r>
                  <w:r>
                    <w:rPr>
                      <w:rFonts w:hint="eastAsia" w:ascii="Times New Roman" w:hAnsi="Times New Roman"/>
                      <w:color w:val="auto"/>
                    </w:rPr>
                    <w:t>，</w:t>
                  </w:r>
                  <w:r>
                    <w:rPr>
                      <w:rFonts w:ascii="Times New Roman" w:hAnsi="Times New Roman"/>
                      <w:color w:val="auto"/>
                    </w:rPr>
                    <w:t>使危害影响范围减小到最低程度。5）严禁在管线两侧各5m范围内修筑工程，在管线上方及近旁严禁动土开挖和修建超过管道负荷的建筑物。</w:t>
                  </w:r>
                </w:p>
                <w:p>
                  <w:pPr>
                    <w:pStyle w:val="86"/>
                    <w:jc w:val="both"/>
                    <w:rPr>
                      <w:rFonts w:ascii="Times New Roman" w:hAnsi="Times New Roman"/>
                      <w:color w:val="auto"/>
                      <w:lang w:val="zh-CN"/>
                    </w:rPr>
                  </w:pPr>
                  <w:r>
                    <w:rPr>
                      <w:rFonts w:hint="eastAsia" w:cs="宋体"/>
                      <w:color w:val="auto"/>
                    </w:rPr>
                    <w:t>②</w:t>
                  </w:r>
                  <w:r>
                    <w:rPr>
                      <w:rFonts w:ascii="Times New Roman" w:hAnsi="Times New Roman"/>
                      <w:color w:val="auto"/>
                    </w:rPr>
                    <w:t>井下作业事故风险预防措施</w:t>
                  </w:r>
                </w:p>
                <w:p>
                  <w:pPr>
                    <w:pStyle w:val="86"/>
                    <w:numPr>
                      <w:ilvl w:val="0"/>
                      <w:numId w:val="11"/>
                    </w:numPr>
                    <w:jc w:val="both"/>
                    <w:rPr>
                      <w:rFonts w:ascii="Times New Roman" w:hAnsi="Times New Roman"/>
                      <w:color w:val="auto"/>
                    </w:rPr>
                  </w:pPr>
                  <w:r>
                    <w:rPr>
                      <w:rFonts w:ascii="Times New Roman" w:hAnsi="Times New Roman"/>
                      <w:color w:val="auto"/>
                    </w:rPr>
                    <w:t>设计、生产中采取有效预防措施，严格遵守井下作业的安全规定，在井口安装防喷器和控制装置，杜绝井喷的发生。</w:t>
                  </w:r>
                </w:p>
              </w:tc>
            </w:tr>
          </w:tbl>
          <w:tbl>
            <w:tblPr>
              <w:tblStyle w:val="38"/>
              <w:tblW w:w="8311"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680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7" w:type="pct"/>
                  <w:vAlign w:val="center"/>
                </w:tcPr>
                <w:p>
                  <w:pPr>
                    <w:pStyle w:val="3"/>
                    <w:jc w:val="center"/>
                    <w:rPr>
                      <w:rFonts w:ascii="Times New Roman" w:hAnsi="Times New Roman"/>
                      <w:color w:val="auto"/>
                      <w:sz w:val="24"/>
                      <w:szCs w:val="24"/>
                    </w:rPr>
                  </w:pPr>
                  <w:r>
                    <w:rPr>
                      <w:rFonts w:ascii="Times New Roman" w:hAnsi="Times New Roman"/>
                      <w:b w:val="0"/>
                      <w:bCs w:val="0"/>
                      <w:color w:val="auto"/>
                      <w:spacing w:val="-6"/>
                      <w:kern w:val="0"/>
                      <w:sz w:val="21"/>
                      <w:szCs w:val="21"/>
                    </w:rPr>
                    <w:t>风险防范措施</w:t>
                  </w:r>
                </w:p>
              </w:tc>
              <w:tc>
                <w:tcPr>
                  <w:tcW w:w="4092" w:type="pct"/>
                </w:tcPr>
                <w:p>
                  <w:pPr>
                    <w:pStyle w:val="86"/>
                    <w:jc w:val="both"/>
                    <w:rPr>
                      <w:rFonts w:ascii="Times New Roman" w:hAnsi="Times New Roman"/>
                      <w:color w:val="auto"/>
                    </w:rPr>
                  </w:pPr>
                  <w:r>
                    <w:rPr>
                      <w:rFonts w:ascii="Times New Roman" w:hAnsi="Times New Roman"/>
                      <w:color w:val="auto"/>
                    </w:rPr>
                    <w:t>2）固井作业时要求选用优质水泥浆固井，保证固井质量合格。固井质量检查以声幅和变密度测井曲线为主，声幅、变密度测井选择最佳时间测井，测深要达到要求。</w:t>
                  </w:r>
                </w:p>
                <w:p>
                  <w:pPr>
                    <w:pStyle w:val="86"/>
                    <w:jc w:val="both"/>
                    <w:rPr>
                      <w:rFonts w:ascii="Times New Roman" w:hAnsi="Times New Roman"/>
                      <w:color w:val="auto"/>
                      <w:spacing w:val="-6"/>
                    </w:rPr>
                  </w:pPr>
                  <w:r>
                    <w:rPr>
                      <w:rFonts w:ascii="Times New Roman" w:hAnsi="Times New Roman"/>
                      <w:color w:val="auto"/>
                      <w:spacing w:val="-6"/>
                    </w:rPr>
                    <w:t>3）井下作业时要求带罐操作，最大限度避免落地原油产生，原油落地浸染土壤产生的含油污泥交由具备相应危废处理资质的单位进行回收、处置。</w:t>
                  </w:r>
                </w:p>
                <w:p>
                  <w:pPr>
                    <w:pStyle w:val="86"/>
                    <w:jc w:val="both"/>
                    <w:rPr>
                      <w:rFonts w:ascii="Times New Roman" w:hAnsi="Times New Roman"/>
                      <w:color w:val="auto"/>
                    </w:rPr>
                  </w:pPr>
                  <w:r>
                    <w:rPr>
                      <w:rFonts w:hint="eastAsia" w:cs="宋体"/>
                      <w:color w:val="auto"/>
                    </w:rPr>
                    <w:t>③</w:t>
                  </w:r>
                  <w:r>
                    <w:rPr>
                      <w:rFonts w:ascii="Times New Roman" w:hAnsi="Times New Roman"/>
                      <w:color w:val="auto"/>
                    </w:rPr>
                    <w:t>井场</w:t>
                  </w:r>
                </w:p>
                <w:p>
                  <w:pPr>
                    <w:pStyle w:val="86"/>
                    <w:numPr>
                      <w:ilvl w:val="0"/>
                      <w:numId w:val="12"/>
                    </w:numPr>
                    <w:spacing w:line="240" w:lineRule="auto"/>
                    <w:jc w:val="both"/>
                    <w:rPr>
                      <w:rFonts w:ascii="Times New Roman" w:hAnsi="Times New Roman"/>
                      <w:color w:val="auto"/>
                    </w:rPr>
                  </w:pPr>
                  <w:r>
                    <w:rPr>
                      <w:rFonts w:ascii="Times New Roman" w:hAnsi="Times New Roman"/>
                      <w:color w:val="auto"/>
                    </w:rPr>
                    <w:t>在井口安装防喷器和控制装置，杜绝井喷的发生。2）定期检查固井质量发现固井质量不合格，及时采取措施，保证固井质量合格。3）井下作业时要求带罐操作，最大限度避免落地原油产生，原油落地浸染土壤产生的含油污泥交由具备相应危废处置资质的单位进行回收、处置。4）井场设置明显的禁止烟火标志。5）在井场路口等处设置风向标，以便发生事故时人员能迅速向上风向疏散。6）按消防规定配备泡沫灭火器、干粉灭火器、消防铁锹和其它消防器材。</w:t>
                  </w:r>
                </w:p>
                <w:p>
                  <w:pPr>
                    <w:pStyle w:val="86"/>
                    <w:spacing w:line="240" w:lineRule="auto"/>
                    <w:jc w:val="both"/>
                    <w:rPr>
                      <w:rFonts w:ascii="Times New Roman" w:hAnsi="Times New Roman"/>
                      <w:color w:val="auto"/>
                      <w:sz w:val="24"/>
                      <w:szCs w:val="24"/>
                    </w:rPr>
                  </w:pPr>
                  <w:r>
                    <w:rPr>
                      <w:rFonts w:ascii="Times New Roman" w:hAnsi="Times New Roman"/>
                      <w:color w:val="auto"/>
                    </w:rPr>
                    <w:t>事故状态下处理措施：事故状态下固体废物主要为管线泄漏产生的含油污泥。原油落地后，上层能收集的原油回收送春光联合站原油处理系统处理，无法收集的原油和受浸染的土壤等含油污泥属于《国家危险废物名录（2021本）》HW08废矿物油和含矿物油废物，交由具有相应危险废物处置资质的单位进行回收、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2"/>
                  <w:vAlign w:val="center"/>
                </w:tcPr>
                <w:p>
                  <w:pPr>
                    <w:pStyle w:val="3"/>
                    <w:spacing w:before="0" w:after="0" w:line="240" w:lineRule="auto"/>
                    <w:rPr>
                      <w:rFonts w:ascii="Times New Roman" w:hAnsi="Times New Roman"/>
                      <w:color w:val="auto"/>
                      <w:sz w:val="24"/>
                      <w:szCs w:val="24"/>
                    </w:rPr>
                  </w:pPr>
                  <w:r>
                    <w:rPr>
                      <w:rFonts w:ascii="Times New Roman" w:hAnsi="Times New Roman"/>
                      <w:b w:val="0"/>
                      <w:bCs w:val="0"/>
                      <w:color w:val="auto"/>
                      <w:kern w:val="0"/>
                      <w:sz w:val="21"/>
                      <w:szCs w:val="21"/>
                    </w:rPr>
                    <w:t>填表说明（列出项目相关信息及评价说明）：</w:t>
                  </w:r>
                </w:p>
              </w:tc>
            </w:tr>
          </w:tbl>
          <w:p>
            <w:pPr>
              <w:pStyle w:val="3"/>
              <w:tabs>
                <w:tab w:val="left" w:pos="1078"/>
              </w:tabs>
              <w:ind w:firstLine="263"/>
              <w:jc w:val="both"/>
              <w:rPr>
                <w:rFonts w:ascii="Times New Roman" w:hAnsi="Times New Roman"/>
                <w:color w:val="auto"/>
                <w:sz w:val="24"/>
                <w:szCs w:val="24"/>
              </w:rPr>
            </w:pPr>
          </w:p>
        </w:tc>
      </w:tr>
    </w:tbl>
    <w:p>
      <w:pPr>
        <w:pStyle w:val="48"/>
        <w:spacing w:line="240" w:lineRule="auto"/>
        <w:ind w:firstLine="0" w:firstLineChars="0"/>
        <w:rPr>
          <w:rFonts w:ascii="Times New Roman" w:hAnsi="Times New Roman"/>
        </w:rPr>
      </w:pP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8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TimesNewRomanPSMT">
    <w:altName w:val="Yu Gothic"/>
    <w:panose1 w:val="00000000000000000000"/>
    <w:charset w:val="80"/>
    <w:family w:val="auto"/>
    <w:pitch w:val="default"/>
    <w:sig w:usb0="00000000" w:usb1="00000000" w:usb2="00000010" w:usb3="00000000" w:csb0="00060000" w:csb1="00000000"/>
  </w:font>
  <w:font w:name="Helvetica">
    <w:altName w:val="Arial"/>
    <w:panose1 w:val="020B0604020202020204"/>
    <w:charset w:val="00"/>
    <w:family w:val="auto"/>
    <w:pitch w:val="default"/>
    <w:sig w:usb0="00000000" w:usb1="00000000" w:usb2="00000009" w:usb3="00000000" w:csb0="000001FF" w:csb1="00000000"/>
  </w:font>
  <w:font w:name="投产">
    <w:altName w:val="宋体"/>
    <w:panose1 w:val="00000000000000000000"/>
    <w:charset w:val="86"/>
    <w:family w:val="auto"/>
    <w:pitch w:val="default"/>
    <w:sig w:usb0="00000000" w:usb1="00000000" w:usb2="00000000" w:usb3="00000000" w:csb0="00040001" w:csb1="00000000"/>
  </w:font>
  <w:font w:name="TimesNewRomanPS-BoldMT">
    <w:altName w:val="宋体"/>
    <w:panose1 w:val="00000000000000000000"/>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14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40"/>
      </w:rPr>
    </w:pPr>
    <w:r>
      <w:fldChar w:fldCharType="begin"/>
    </w:r>
    <w:r>
      <w:rPr>
        <w:rStyle w:val="40"/>
      </w:rPr>
      <w:instrText xml:space="preserve">PAGE  </w:instrTex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48"/>
      <w:jc w:val="center"/>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4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4</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14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77</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B5505"/>
    <w:multiLevelType w:val="singleLevel"/>
    <w:tmpl w:val="876B5505"/>
    <w:lvl w:ilvl="0" w:tentative="0">
      <w:start w:val="2"/>
      <w:numFmt w:val="decimal"/>
      <w:suff w:val="space"/>
      <w:lvlText w:val="%1."/>
      <w:lvlJc w:val="left"/>
    </w:lvl>
  </w:abstractNum>
  <w:abstractNum w:abstractNumId="1">
    <w:nsid w:val="8AA3685C"/>
    <w:multiLevelType w:val="singleLevel"/>
    <w:tmpl w:val="8AA3685C"/>
    <w:lvl w:ilvl="0" w:tentative="0">
      <w:start w:val="4"/>
      <w:numFmt w:val="decimal"/>
      <w:lvlText w:val="%1."/>
      <w:lvlJc w:val="left"/>
      <w:pPr>
        <w:tabs>
          <w:tab w:val="left" w:pos="312"/>
        </w:tabs>
      </w:pPr>
    </w:lvl>
  </w:abstractNum>
  <w:abstractNum w:abstractNumId="2">
    <w:nsid w:val="A66AADA8"/>
    <w:multiLevelType w:val="singleLevel"/>
    <w:tmpl w:val="A66AADA8"/>
    <w:lvl w:ilvl="0" w:tentative="0">
      <w:start w:val="5"/>
      <w:numFmt w:val="decimal"/>
      <w:suff w:val="nothing"/>
      <w:lvlText w:val="（%1）"/>
      <w:lvlJc w:val="left"/>
    </w:lvl>
  </w:abstractNum>
  <w:abstractNum w:abstractNumId="3">
    <w:nsid w:val="C5978B2C"/>
    <w:multiLevelType w:val="singleLevel"/>
    <w:tmpl w:val="C5978B2C"/>
    <w:lvl w:ilvl="0" w:tentative="0">
      <w:start w:val="1"/>
      <w:numFmt w:val="decimal"/>
      <w:suff w:val="nothing"/>
      <w:lvlText w:val="（%1）"/>
      <w:lvlJc w:val="left"/>
    </w:lvl>
  </w:abstractNum>
  <w:abstractNum w:abstractNumId="4">
    <w:nsid w:val="0F3E1539"/>
    <w:multiLevelType w:val="singleLevel"/>
    <w:tmpl w:val="0F3E1539"/>
    <w:lvl w:ilvl="0" w:tentative="0">
      <w:start w:val="1"/>
      <w:numFmt w:val="decimal"/>
      <w:suff w:val="space"/>
      <w:lvlText w:val="%1."/>
      <w:lvlJc w:val="left"/>
    </w:lvl>
  </w:abstractNum>
  <w:abstractNum w:abstractNumId="5">
    <w:nsid w:val="1685F101"/>
    <w:multiLevelType w:val="singleLevel"/>
    <w:tmpl w:val="1685F101"/>
    <w:lvl w:ilvl="0" w:tentative="0">
      <w:start w:val="1"/>
      <w:numFmt w:val="decimal"/>
      <w:suff w:val="nothing"/>
      <w:lvlText w:val="%1）"/>
      <w:lvlJc w:val="left"/>
    </w:lvl>
  </w:abstractNum>
  <w:abstractNum w:abstractNumId="6">
    <w:nsid w:val="4A1DE79F"/>
    <w:multiLevelType w:val="singleLevel"/>
    <w:tmpl w:val="4A1DE79F"/>
    <w:lvl w:ilvl="0" w:tentative="0">
      <w:start w:val="1"/>
      <w:numFmt w:val="decimal"/>
      <w:suff w:val="nothing"/>
      <w:lvlText w:val="（%1）"/>
      <w:lvlJc w:val="left"/>
    </w:lvl>
  </w:abstractNum>
  <w:abstractNum w:abstractNumId="7">
    <w:nsid w:val="4B6E6059"/>
    <w:multiLevelType w:val="singleLevel"/>
    <w:tmpl w:val="4B6E6059"/>
    <w:lvl w:ilvl="0" w:tentative="0">
      <w:start w:val="1"/>
      <w:numFmt w:val="decimal"/>
      <w:suff w:val="nothing"/>
      <w:lvlText w:val="（%1）"/>
      <w:lvlJc w:val="left"/>
    </w:lvl>
  </w:abstractNum>
  <w:abstractNum w:abstractNumId="8">
    <w:nsid w:val="52E28ED8"/>
    <w:multiLevelType w:val="singleLevel"/>
    <w:tmpl w:val="52E28ED8"/>
    <w:lvl w:ilvl="0" w:tentative="0">
      <w:start w:val="4"/>
      <w:numFmt w:val="decimal"/>
      <w:lvlText w:val="%1."/>
      <w:lvlJc w:val="left"/>
      <w:pPr>
        <w:tabs>
          <w:tab w:val="left" w:pos="312"/>
        </w:tabs>
      </w:pPr>
    </w:lvl>
  </w:abstractNum>
  <w:abstractNum w:abstractNumId="9">
    <w:nsid w:val="5613D8CE"/>
    <w:multiLevelType w:val="singleLevel"/>
    <w:tmpl w:val="5613D8CE"/>
    <w:lvl w:ilvl="0" w:tentative="0">
      <w:start w:val="1"/>
      <w:numFmt w:val="decimal"/>
      <w:suff w:val="nothing"/>
      <w:lvlText w:val="%1）"/>
      <w:lvlJc w:val="left"/>
    </w:lvl>
  </w:abstractNum>
  <w:abstractNum w:abstractNumId="10">
    <w:nsid w:val="6D83910E"/>
    <w:multiLevelType w:val="singleLevel"/>
    <w:tmpl w:val="6D83910E"/>
    <w:lvl w:ilvl="0" w:tentative="0">
      <w:start w:val="3"/>
      <w:numFmt w:val="decimal"/>
      <w:lvlText w:val="%1."/>
      <w:lvlJc w:val="left"/>
      <w:pPr>
        <w:tabs>
          <w:tab w:val="left" w:pos="312"/>
        </w:tabs>
      </w:pPr>
    </w:lvl>
  </w:abstractNum>
  <w:abstractNum w:abstractNumId="11">
    <w:nsid w:val="791175FC"/>
    <w:multiLevelType w:val="singleLevel"/>
    <w:tmpl w:val="791175FC"/>
    <w:lvl w:ilvl="0" w:tentative="0">
      <w:start w:val="2"/>
      <w:numFmt w:val="decimal"/>
      <w:suff w:val="space"/>
      <w:lvlText w:val="%1."/>
      <w:lvlJc w:val="left"/>
    </w:lvl>
  </w:abstractNum>
  <w:num w:numId="1">
    <w:abstractNumId w:val="10"/>
  </w:num>
  <w:num w:numId="2">
    <w:abstractNumId w:val="8"/>
  </w:num>
  <w:num w:numId="3">
    <w:abstractNumId w:val="7"/>
  </w:num>
  <w:num w:numId="4">
    <w:abstractNumId w:val="1"/>
  </w:num>
  <w:num w:numId="5">
    <w:abstractNumId w:val="6"/>
  </w:num>
  <w:num w:numId="6">
    <w:abstractNumId w:val="11"/>
  </w:num>
  <w:num w:numId="7">
    <w:abstractNumId w:val="2"/>
  </w:num>
  <w:num w:numId="8">
    <w:abstractNumId w:val="3"/>
  </w:num>
  <w:num w:numId="9">
    <w:abstractNumId w:val="4"/>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41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NzkwOTQ5N2E3MGZkZjkxNThmOTdkMDk3ZWRlNTYifQ=="/>
  </w:docVars>
  <w:rsids>
    <w:rsidRoot w:val="00172A27"/>
    <w:rsid w:val="00000948"/>
    <w:rsid w:val="00000CBC"/>
    <w:rsid w:val="00000D60"/>
    <w:rsid w:val="00001181"/>
    <w:rsid w:val="00001CED"/>
    <w:rsid w:val="00001D46"/>
    <w:rsid w:val="00001E67"/>
    <w:rsid w:val="000038FA"/>
    <w:rsid w:val="00003CD8"/>
    <w:rsid w:val="0000453F"/>
    <w:rsid w:val="000048D5"/>
    <w:rsid w:val="000048D8"/>
    <w:rsid w:val="00004F63"/>
    <w:rsid w:val="00005D17"/>
    <w:rsid w:val="00007411"/>
    <w:rsid w:val="000074BA"/>
    <w:rsid w:val="00007B5D"/>
    <w:rsid w:val="00007D6D"/>
    <w:rsid w:val="00007FD4"/>
    <w:rsid w:val="00011083"/>
    <w:rsid w:val="000113D8"/>
    <w:rsid w:val="00012B50"/>
    <w:rsid w:val="00013326"/>
    <w:rsid w:val="0001356D"/>
    <w:rsid w:val="00013998"/>
    <w:rsid w:val="0001474C"/>
    <w:rsid w:val="00014965"/>
    <w:rsid w:val="00014B93"/>
    <w:rsid w:val="00014C14"/>
    <w:rsid w:val="00014C93"/>
    <w:rsid w:val="0001523A"/>
    <w:rsid w:val="00015487"/>
    <w:rsid w:val="0001568F"/>
    <w:rsid w:val="000156F1"/>
    <w:rsid w:val="0001645B"/>
    <w:rsid w:val="00016ADD"/>
    <w:rsid w:val="00016ECB"/>
    <w:rsid w:val="00016FC7"/>
    <w:rsid w:val="0001754C"/>
    <w:rsid w:val="000200BE"/>
    <w:rsid w:val="000200F4"/>
    <w:rsid w:val="00020709"/>
    <w:rsid w:val="000207A6"/>
    <w:rsid w:val="00021A95"/>
    <w:rsid w:val="0002276B"/>
    <w:rsid w:val="00023379"/>
    <w:rsid w:val="0002505B"/>
    <w:rsid w:val="00025301"/>
    <w:rsid w:val="000254CE"/>
    <w:rsid w:val="0002551C"/>
    <w:rsid w:val="00025B81"/>
    <w:rsid w:val="000269AB"/>
    <w:rsid w:val="000269F6"/>
    <w:rsid w:val="00026A37"/>
    <w:rsid w:val="00026CA8"/>
    <w:rsid w:val="00026ED9"/>
    <w:rsid w:val="00026FA3"/>
    <w:rsid w:val="0002720F"/>
    <w:rsid w:val="00027612"/>
    <w:rsid w:val="000278A9"/>
    <w:rsid w:val="00030990"/>
    <w:rsid w:val="00030E57"/>
    <w:rsid w:val="00031939"/>
    <w:rsid w:val="00031E0B"/>
    <w:rsid w:val="000324B1"/>
    <w:rsid w:val="00032D25"/>
    <w:rsid w:val="00033C7D"/>
    <w:rsid w:val="00033D1A"/>
    <w:rsid w:val="00033E80"/>
    <w:rsid w:val="00034FA0"/>
    <w:rsid w:val="000352B5"/>
    <w:rsid w:val="00035EE6"/>
    <w:rsid w:val="00036052"/>
    <w:rsid w:val="000366A6"/>
    <w:rsid w:val="00036733"/>
    <w:rsid w:val="00036A77"/>
    <w:rsid w:val="00037C7E"/>
    <w:rsid w:val="00037F11"/>
    <w:rsid w:val="00040087"/>
    <w:rsid w:val="0004051E"/>
    <w:rsid w:val="00040B2D"/>
    <w:rsid w:val="00041EF4"/>
    <w:rsid w:val="00042762"/>
    <w:rsid w:val="000427BF"/>
    <w:rsid w:val="00042BAD"/>
    <w:rsid w:val="00042CDB"/>
    <w:rsid w:val="00042D9D"/>
    <w:rsid w:val="0004365E"/>
    <w:rsid w:val="00043895"/>
    <w:rsid w:val="00043C0C"/>
    <w:rsid w:val="000440E7"/>
    <w:rsid w:val="000446F2"/>
    <w:rsid w:val="00044F2B"/>
    <w:rsid w:val="00045498"/>
    <w:rsid w:val="000454E8"/>
    <w:rsid w:val="0004602B"/>
    <w:rsid w:val="00046115"/>
    <w:rsid w:val="00046E04"/>
    <w:rsid w:val="00047052"/>
    <w:rsid w:val="00047087"/>
    <w:rsid w:val="00047396"/>
    <w:rsid w:val="00050101"/>
    <w:rsid w:val="00051186"/>
    <w:rsid w:val="00051F94"/>
    <w:rsid w:val="0005219D"/>
    <w:rsid w:val="00052458"/>
    <w:rsid w:val="00052801"/>
    <w:rsid w:val="00052850"/>
    <w:rsid w:val="000535A1"/>
    <w:rsid w:val="000535DA"/>
    <w:rsid w:val="0005370E"/>
    <w:rsid w:val="00054E5B"/>
    <w:rsid w:val="0005520B"/>
    <w:rsid w:val="0005568F"/>
    <w:rsid w:val="00055E33"/>
    <w:rsid w:val="00056140"/>
    <w:rsid w:val="00060C43"/>
    <w:rsid w:val="00060E29"/>
    <w:rsid w:val="0006153D"/>
    <w:rsid w:val="00061610"/>
    <w:rsid w:val="0006186A"/>
    <w:rsid w:val="00061B1F"/>
    <w:rsid w:val="000622B2"/>
    <w:rsid w:val="00062EA1"/>
    <w:rsid w:val="0006402E"/>
    <w:rsid w:val="00064C9C"/>
    <w:rsid w:val="00064D44"/>
    <w:rsid w:val="00065730"/>
    <w:rsid w:val="00065D1A"/>
    <w:rsid w:val="00065DE3"/>
    <w:rsid w:val="000664DB"/>
    <w:rsid w:val="00066CA8"/>
    <w:rsid w:val="000706B8"/>
    <w:rsid w:val="0007127D"/>
    <w:rsid w:val="00071AE5"/>
    <w:rsid w:val="00072106"/>
    <w:rsid w:val="00072218"/>
    <w:rsid w:val="000729A8"/>
    <w:rsid w:val="00072E52"/>
    <w:rsid w:val="000730A1"/>
    <w:rsid w:val="0007356F"/>
    <w:rsid w:val="000737A0"/>
    <w:rsid w:val="00074690"/>
    <w:rsid w:val="00074783"/>
    <w:rsid w:val="00075155"/>
    <w:rsid w:val="000753EA"/>
    <w:rsid w:val="000759C2"/>
    <w:rsid w:val="00075C18"/>
    <w:rsid w:val="0007677E"/>
    <w:rsid w:val="00076C8E"/>
    <w:rsid w:val="000773C0"/>
    <w:rsid w:val="00077919"/>
    <w:rsid w:val="000801E0"/>
    <w:rsid w:val="000806D5"/>
    <w:rsid w:val="00082011"/>
    <w:rsid w:val="00082305"/>
    <w:rsid w:val="00082A29"/>
    <w:rsid w:val="00082B11"/>
    <w:rsid w:val="00083274"/>
    <w:rsid w:val="0008331D"/>
    <w:rsid w:val="00083414"/>
    <w:rsid w:val="0008373E"/>
    <w:rsid w:val="0008376B"/>
    <w:rsid w:val="00083C18"/>
    <w:rsid w:val="00084270"/>
    <w:rsid w:val="00084CC9"/>
    <w:rsid w:val="00085239"/>
    <w:rsid w:val="000853A9"/>
    <w:rsid w:val="00085896"/>
    <w:rsid w:val="00085927"/>
    <w:rsid w:val="00087E6D"/>
    <w:rsid w:val="000901BF"/>
    <w:rsid w:val="000903AF"/>
    <w:rsid w:val="0009055F"/>
    <w:rsid w:val="00090B51"/>
    <w:rsid w:val="00090DB3"/>
    <w:rsid w:val="000910B9"/>
    <w:rsid w:val="00091542"/>
    <w:rsid w:val="00092899"/>
    <w:rsid w:val="00092ED5"/>
    <w:rsid w:val="00093068"/>
    <w:rsid w:val="000937D8"/>
    <w:rsid w:val="00093934"/>
    <w:rsid w:val="000941F8"/>
    <w:rsid w:val="000961C6"/>
    <w:rsid w:val="00096721"/>
    <w:rsid w:val="000972F6"/>
    <w:rsid w:val="00097D67"/>
    <w:rsid w:val="00097F32"/>
    <w:rsid w:val="000A0236"/>
    <w:rsid w:val="000A09F4"/>
    <w:rsid w:val="000A11AB"/>
    <w:rsid w:val="000A178E"/>
    <w:rsid w:val="000A2307"/>
    <w:rsid w:val="000A290A"/>
    <w:rsid w:val="000A3149"/>
    <w:rsid w:val="000A3403"/>
    <w:rsid w:val="000A4107"/>
    <w:rsid w:val="000A46DA"/>
    <w:rsid w:val="000A4D40"/>
    <w:rsid w:val="000A4D8E"/>
    <w:rsid w:val="000A557E"/>
    <w:rsid w:val="000A59B0"/>
    <w:rsid w:val="000A5E26"/>
    <w:rsid w:val="000A62A0"/>
    <w:rsid w:val="000A6817"/>
    <w:rsid w:val="000A6820"/>
    <w:rsid w:val="000A6D46"/>
    <w:rsid w:val="000A7A1D"/>
    <w:rsid w:val="000A7B3C"/>
    <w:rsid w:val="000A7F95"/>
    <w:rsid w:val="000B058F"/>
    <w:rsid w:val="000B08AC"/>
    <w:rsid w:val="000B1165"/>
    <w:rsid w:val="000B2206"/>
    <w:rsid w:val="000B2BFF"/>
    <w:rsid w:val="000B3279"/>
    <w:rsid w:val="000B3368"/>
    <w:rsid w:val="000B3A06"/>
    <w:rsid w:val="000B3F88"/>
    <w:rsid w:val="000B4C50"/>
    <w:rsid w:val="000B573C"/>
    <w:rsid w:val="000B5C8C"/>
    <w:rsid w:val="000B65BE"/>
    <w:rsid w:val="000B688A"/>
    <w:rsid w:val="000B693F"/>
    <w:rsid w:val="000B70D0"/>
    <w:rsid w:val="000B73C1"/>
    <w:rsid w:val="000C09AC"/>
    <w:rsid w:val="000C0A63"/>
    <w:rsid w:val="000C0D4D"/>
    <w:rsid w:val="000C1C07"/>
    <w:rsid w:val="000C2FEB"/>
    <w:rsid w:val="000C437E"/>
    <w:rsid w:val="000C6F3E"/>
    <w:rsid w:val="000C75BB"/>
    <w:rsid w:val="000C7CD2"/>
    <w:rsid w:val="000D130A"/>
    <w:rsid w:val="000D184E"/>
    <w:rsid w:val="000D247F"/>
    <w:rsid w:val="000D27E8"/>
    <w:rsid w:val="000D3326"/>
    <w:rsid w:val="000D3725"/>
    <w:rsid w:val="000D42B2"/>
    <w:rsid w:val="000D4AC7"/>
    <w:rsid w:val="000D4D3A"/>
    <w:rsid w:val="000D5CC0"/>
    <w:rsid w:val="000D6E2D"/>
    <w:rsid w:val="000D757E"/>
    <w:rsid w:val="000E01EB"/>
    <w:rsid w:val="000E1F96"/>
    <w:rsid w:val="000E33F4"/>
    <w:rsid w:val="000E40AD"/>
    <w:rsid w:val="000E465B"/>
    <w:rsid w:val="000E538F"/>
    <w:rsid w:val="000E542B"/>
    <w:rsid w:val="000E548D"/>
    <w:rsid w:val="000E54F5"/>
    <w:rsid w:val="000E5DC3"/>
    <w:rsid w:val="000E5F16"/>
    <w:rsid w:val="000E6689"/>
    <w:rsid w:val="000E6849"/>
    <w:rsid w:val="000E68C7"/>
    <w:rsid w:val="000E6DCE"/>
    <w:rsid w:val="000E6F01"/>
    <w:rsid w:val="000E7545"/>
    <w:rsid w:val="000E7A9B"/>
    <w:rsid w:val="000F08B3"/>
    <w:rsid w:val="000F0E6A"/>
    <w:rsid w:val="000F14B5"/>
    <w:rsid w:val="000F2578"/>
    <w:rsid w:val="000F27B4"/>
    <w:rsid w:val="000F2CAB"/>
    <w:rsid w:val="000F2CB1"/>
    <w:rsid w:val="000F4452"/>
    <w:rsid w:val="000F4DDC"/>
    <w:rsid w:val="000F51B5"/>
    <w:rsid w:val="000F527D"/>
    <w:rsid w:val="000F692E"/>
    <w:rsid w:val="000F69D1"/>
    <w:rsid w:val="000F6DA1"/>
    <w:rsid w:val="000F701B"/>
    <w:rsid w:val="000F7D98"/>
    <w:rsid w:val="0010089D"/>
    <w:rsid w:val="00101B4E"/>
    <w:rsid w:val="001026FB"/>
    <w:rsid w:val="001042B6"/>
    <w:rsid w:val="0010472A"/>
    <w:rsid w:val="00104A3C"/>
    <w:rsid w:val="00104CC2"/>
    <w:rsid w:val="0010519C"/>
    <w:rsid w:val="001056A0"/>
    <w:rsid w:val="001063BC"/>
    <w:rsid w:val="00106925"/>
    <w:rsid w:val="00106B09"/>
    <w:rsid w:val="00106DB9"/>
    <w:rsid w:val="001113E6"/>
    <w:rsid w:val="0011189B"/>
    <w:rsid w:val="0011198F"/>
    <w:rsid w:val="00111BB6"/>
    <w:rsid w:val="00111CD2"/>
    <w:rsid w:val="00112222"/>
    <w:rsid w:val="0011231D"/>
    <w:rsid w:val="00112957"/>
    <w:rsid w:val="00114EF0"/>
    <w:rsid w:val="00115279"/>
    <w:rsid w:val="00115564"/>
    <w:rsid w:val="0011585C"/>
    <w:rsid w:val="00115C6C"/>
    <w:rsid w:val="00116BB5"/>
    <w:rsid w:val="00117459"/>
    <w:rsid w:val="0011749A"/>
    <w:rsid w:val="00117C4A"/>
    <w:rsid w:val="001203B6"/>
    <w:rsid w:val="00121806"/>
    <w:rsid w:val="00121D4A"/>
    <w:rsid w:val="00121FA2"/>
    <w:rsid w:val="00122504"/>
    <w:rsid w:val="00123A64"/>
    <w:rsid w:val="001249A6"/>
    <w:rsid w:val="00124F74"/>
    <w:rsid w:val="001254B0"/>
    <w:rsid w:val="00125526"/>
    <w:rsid w:val="0012554F"/>
    <w:rsid w:val="001255F3"/>
    <w:rsid w:val="00125A5F"/>
    <w:rsid w:val="001265BC"/>
    <w:rsid w:val="00127603"/>
    <w:rsid w:val="00127A68"/>
    <w:rsid w:val="00127BB7"/>
    <w:rsid w:val="00127E97"/>
    <w:rsid w:val="001320CC"/>
    <w:rsid w:val="00132429"/>
    <w:rsid w:val="001324FC"/>
    <w:rsid w:val="00132AC5"/>
    <w:rsid w:val="00132E92"/>
    <w:rsid w:val="0013327F"/>
    <w:rsid w:val="001336C1"/>
    <w:rsid w:val="00133FCA"/>
    <w:rsid w:val="001340A2"/>
    <w:rsid w:val="001347F8"/>
    <w:rsid w:val="0013492A"/>
    <w:rsid w:val="00134DC3"/>
    <w:rsid w:val="0013532C"/>
    <w:rsid w:val="00136F51"/>
    <w:rsid w:val="001379CD"/>
    <w:rsid w:val="00137FF9"/>
    <w:rsid w:val="001403D9"/>
    <w:rsid w:val="001406DA"/>
    <w:rsid w:val="00140B13"/>
    <w:rsid w:val="00140D28"/>
    <w:rsid w:val="00140FD0"/>
    <w:rsid w:val="00141710"/>
    <w:rsid w:val="00141B68"/>
    <w:rsid w:val="00141E9C"/>
    <w:rsid w:val="0014236B"/>
    <w:rsid w:val="00142538"/>
    <w:rsid w:val="0014257C"/>
    <w:rsid w:val="00142E8E"/>
    <w:rsid w:val="00143087"/>
    <w:rsid w:val="001437CA"/>
    <w:rsid w:val="00143E11"/>
    <w:rsid w:val="001445B6"/>
    <w:rsid w:val="00144BF1"/>
    <w:rsid w:val="00145721"/>
    <w:rsid w:val="00145E2F"/>
    <w:rsid w:val="001466DA"/>
    <w:rsid w:val="0014746A"/>
    <w:rsid w:val="00147AD8"/>
    <w:rsid w:val="00147F93"/>
    <w:rsid w:val="00150003"/>
    <w:rsid w:val="0015003B"/>
    <w:rsid w:val="00150E51"/>
    <w:rsid w:val="0015139B"/>
    <w:rsid w:val="00151E3E"/>
    <w:rsid w:val="0015284E"/>
    <w:rsid w:val="00152A08"/>
    <w:rsid w:val="00153517"/>
    <w:rsid w:val="00153C67"/>
    <w:rsid w:val="00153EAF"/>
    <w:rsid w:val="00154A0F"/>
    <w:rsid w:val="00154DE1"/>
    <w:rsid w:val="00155022"/>
    <w:rsid w:val="00155A68"/>
    <w:rsid w:val="00155B40"/>
    <w:rsid w:val="00155DCB"/>
    <w:rsid w:val="00155F6E"/>
    <w:rsid w:val="00156547"/>
    <w:rsid w:val="001568E0"/>
    <w:rsid w:val="00156C74"/>
    <w:rsid w:val="00157435"/>
    <w:rsid w:val="00157500"/>
    <w:rsid w:val="00162110"/>
    <w:rsid w:val="00162AA9"/>
    <w:rsid w:val="00162B73"/>
    <w:rsid w:val="001637C5"/>
    <w:rsid w:val="00163C1B"/>
    <w:rsid w:val="00163EEA"/>
    <w:rsid w:val="0016584A"/>
    <w:rsid w:val="0016589E"/>
    <w:rsid w:val="00165CBB"/>
    <w:rsid w:val="00165F9F"/>
    <w:rsid w:val="00166B69"/>
    <w:rsid w:val="0016720B"/>
    <w:rsid w:val="00167875"/>
    <w:rsid w:val="00167A07"/>
    <w:rsid w:val="0017027C"/>
    <w:rsid w:val="0017046A"/>
    <w:rsid w:val="001704A3"/>
    <w:rsid w:val="001706F2"/>
    <w:rsid w:val="0017151D"/>
    <w:rsid w:val="00171DA5"/>
    <w:rsid w:val="001724BB"/>
    <w:rsid w:val="00172693"/>
    <w:rsid w:val="00172A27"/>
    <w:rsid w:val="00172B46"/>
    <w:rsid w:val="001736F1"/>
    <w:rsid w:val="0017383E"/>
    <w:rsid w:val="00173E4B"/>
    <w:rsid w:val="001749CF"/>
    <w:rsid w:val="00174A59"/>
    <w:rsid w:val="00174BD3"/>
    <w:rsid w:val="0017504D"/>
    <w:rsid w:val="0017565B"/>
    <w:rsid w:val="001772CB"/>
    <w:rsid w:val="00177422"/>
    <w:rsid w:val="00177C4A"/>
    <w:rsid w:val="0018059E"/>
    <w:rsid w:val="001807B0"/>
    <w:rsid w:val="00181160"/>
    <w:rsid w:val="001815E7"/>
    <w:rsid w:val="0018168A"/>
    <w:rsid w:val="00182241"/>
    <w:rsid w:val="001825B5"/>
    <w:rsid w:val="001827CB"/>
    <w:rsid w:val="00183D70"/>
    <w:rsid w:val="0018470D"/>
    <w:rsid w:val="00184B94"/>
    <w:rsid w:val="00184F10"/>
    <w:rsid w:val="00185546"/>
    <w:rsid w:val="001859BF"/>
    <w:rsid w:val="00185C56"/>
    <w:rsid w:val="001862F0"/>
    <w:rsid w:val="00186BF0"/>
    <w:rsid w:val="00186D17"/>
    <w:rsid w:val="00186E6C"/>
    <w:rsid w:val="00187FDB"/>
    <w:rsid w:val="001909A8"/>
    <w:rsid w:val="00190E8D"/>
    <w:rsid w:val="0019146B"/>
    <w:rsid w:val="00191EFA"/>
    <w:rsid w:val="00193162"/>
    <w:rsid w:val="0019373F"/>
    <w:rsid w:val="00194398"/>
    <w:rsid w:val="00194C33"/>
    <w:rsid w:val="00195741"/>
    <w:rsid w:val="001A0D15"/>
    <w:rsid w:val="001A0E57"/>
    <w:rsid w:val="001A178D"/>
    <w:rsid w:val="001A1881"/>
    <w:rsid w:val="001A19A7"/>
    <w:rsid w:val="001A202A"/>
    <w:rsid w:val="001A21A7"/>
    <w:rsid w:val="001A28B8"/>
    <w:rsid w:val="001A2E35"/>
    <w:rsid w:val="001A34E2"/>
    <w:rsid w:val="001A361B"/>
    <w:rsid w:val="001A3728"/>
    <w:rsid w:val="001A3CB0"/>
    <w:rsid w:val="001A43D6"/>
    <w:rsid w:val="001A585B"/>
    <w:rsid w:val="001A5E1B"/>
    <w:rsid w:val="001A67A8"/>
    <w:rsid w:val="001A6964"/>
    <w:rsid w:val="001A7D2A"/>
    <w:rsid w:val="001A7DB2"/>
    <w:rsid w:val="001B0863"/>
    <w:rsid w:val="001B174E"/>
    <w:rsid w:val="001B3601"/>
    <w:rsid w:val="001B3680"/>
    <w:rsid w:val="001B42C3"/>
    <w:rsid w:val="001B452C"/>
    <w:rsid w:val="001B49C0"/>
    <w:rsid w:val="001B5640"/>
    <w:rsid w:val="001B574C"/>
    <w:rsid w:val="001B6387"/>
    <w:rsid w:val="001B7A02"/>
    <w:rsid w:val="001B7DEE"/>
    <w:rsid w:val="001B7F49"/>
    <w:rsid w:val="001C02FC"/>
    <w:rsid w:val="001C0AF9"/>
    <w:rsid w:val="001C1345"/>
    <w:rsid w:val="001C155A"/>
    <w:rsid w:val="001C18A4"/>
    <w:rsid w:val="001C1BD6"/>
    <w:rsid w:val="001C1C27"/>
    <w:rsid w:val="001C2C3B"/>
    <w:rsid w:val="001C48C0"/>
    <w:rsid w:val="001C533B"/>
    <w:rsid w:val="001C5D36"/>
    <w:rsid w:val="001C60D2"/>
    <w:rsid w:val="001C7B59"/>
    <w:rsid w:val="001D0C76"/>
    <w:rsid w:val="001D0E87"/>
    <w:rsid w:val="001D1373"/>
    <w:rsid w:val="001D2BBC"/>
    <w:rsid w:val="001D3CA4"/>
    <w:rsid w:val="001D3CAB"/>
    <w:rsid w:val="001D5406"/>
    <w:rsid w:val="001D57A4"/>
    <w:rsid w:val="001D5DC5"/>
    <w:rsid w:val="001D5FE2"/>
    <w:rsid w:val="001D6726"/>
    <w:rsid w:val="001D68FE"/>
    <w:rsid w:val="001E2B37"/>
    <w:rsid w:val="001E2F80"/>
    <w:rsid w:val="001E332E"/>
    <w:rsid w:val="001E3662"/>
    <w:rsid w:val="001E4353"/>
    <w:rsid w:val="001E446D"/>
    <w:rsid w:val="001E4609"/>
    <w:rsid w:val="001E4E6C"/>
    <w:rsid w:val="001E59A5"/>
    <w:rsid w:val="001E7326"/>
    <w:rsid w:val="001E7D51"/>
    <w:rsid w:val="001F0EF1"/>
    <w:rsid w:val="001F149D"/>
    <w:rsid w:val="001F1868"/>
    <w:rsid w:val="001F19E4"/>
    <w:rsid w:val="001F1BB8"/>
    <w:rsid w:val="001F1C50"/>
    <w:rsid w:val="001F1E22"/>
    <w:rsid w:val="001F25D0"/>
    <w:rsid w:val="001F2731"/>
    <w:rsid w:val="001F2C24"/>
    <w:rsid w:val="001F3073"/>
    <w:rsid w:val="001F3193"/>
    <w:rsid w:val="001F3347"/>
    <w:rsid w:val="001F3B48"/>
    <w:rsid w:val="001F4440"/>
    <w:rsid w:val="001F4B1B"/>
    <w:rsid w:val="001F5882"/>
    <w:rsid w:val="001F5D37"/>
    <w:rsid w:val="001F616A"/>
    <w:rsid w:val="001F69E4"/>
    <w:rsid w:val="001F7C8C"/>
    <w:rsid w:val="001F7C98"/>
    <w:rsid w:val="001F7FDD"/>
    <w:rsid w:val="00200D54"/>
    <w:rsid w:val="002013B6"/>
    <w:rsid w:val="00201593"/>
    <w:rsid w:val="00202854"/>
    <w:rsid w:val="00204535"/>
    <w:rsid w:val="00205414"/>
    <w:rsid w:val="00205C3D"/>
    <w:rsid w:val="00206274"/>
    <w:rsid w:val="00206A65"/>
    <w:rsid w:val="00206D90"/>
    <w:rsid w:val="0020733D"/>
    <w:rsid w:val="00207A0A"/>
    <w:rsid w:val="00207C43"/>
    <w:rsid w:val="00210037"/>
    <w:rsid w:val="00211AD1"/>
    <w:rsid w:val="002122B3"/>
    <w:rsid w:val="00212D31"/>
    <w:rsid w:val="00212DD4"/>
    <w:rsid w:val="002130C7"/>
    <w:rsid w:val="00213BC7"/>
    <w:rsid w:val="002146AF"/>
    <w:rsid w:val="002148B1"/>
    <w:rsid w:val="002163CB"/>
    <w:rsid w:val="0021651D"/>
    <w:rsid w:val="0021662D"/>
    <w:rsid w:val="00216C53"/>
    <w:rsid w:val="00216F6B"/>
    <w:rsid w:val="002170F7"/>
    <w:rsid w:val="002171F5"/>
    <w:rsid w:val="0021770D"/>
    <w:rsid w:val="0022015F"/>
    <w:rsid w:val="00220AA8"/>
    <w:rsid w:val="00220BD5"/>
    <w:rsid w:val="002218A8"/>
    <w:rsid w:val="0022306D"/>
    <w:rsid w:val="002235CC"/>
    <w:rsid w:val="00223AFF"/>
    <w:rsid w:val="00223E1A"/>
    <w:rsid w:val="00223F7A"/>
    <w:rsid w:val="002241AD"/>
    <w:rsid w:val="002246B6"/>
    <w:rsid w:val="00224951"/>
    <w:rsid w:val="00224F59"/>
    <w:rsid w:val="00225314"/>
    <w:rsid w:val="00225451"/>
    <w:rsid w:val="00225948"/>
    <w:rsid w:val="0022635B"/>
    <w:rsid w:val="00226487"/>
    <w:rsid w:val="00226574"/>
    <w:rsid w:val="002278EC"/>
    <w:rsid w:val="00227C64"/>
    <w:rsid w:val="002309D8"/>
    <w:rsid w:val="0023107E"/>
    <w:rsid w:val="00231C4C"/>
    <w:rsid w:val="00231FAE"/>
    <w:rsid w:val="00232466"/>
    <w:rsid w:val="00232A22"/>
    <w:rsid w:val="00232EF5"/>
    <w:rsid w:val="00233C78"/>
    <w:rsid w:val="00234090"/>
    <w:rsid w:val="00235100"/>
    <w:rsid w:val="002357C7"/>
    <w:rsid w:val="00235FBF"/>
    <w:rsid w:val="002367C4"/>
    <w:rsid w:val="00237E95"/>
    <w:rsid w:val="002401CD"/>
    <w:rsid w:val="0024039C"/>
    <w:rsid w:val="00240821"/>
    <w:rsid w:val="0024111F"/>
    <w:rsid w:val="00242062"/>
    <w:rsid w:val="002422FC"/>
    <w:rsid w:val="002425C4"/>
    <w:rsid w:val="0024277D"/>
    <w:rsid w:val="0024284D"/>
    <w:rsid w:val="002434D0"/>
    <w:rsid w:val="00244188"/>
    <w:rsid w:val="00244AE8"/>
    <w:rsid w:val="00247349"/>
    <w:rsid w:val="00247511"/>
    <w:rsid w:val="00247AA3"/>
    <w:rsid w:val="00247C28"/>
    <w:rsid w:val="00247D49"/>
    <w:rsid w:val="00250341"/>
    <w:rsid w:val="00250376"/>
    <w:rsid w:val="002504D0"/>
    <w:rsid w:val="00250715"/>
    <w:rsid w:val="00250860"/>
    <w:rsid w:val="00250D7D"/>
    <w:rsid w:val="002518CD"/>
    <w:rsid w:val="0025267A"/>
    <w:rsid w:val="00252A51"/>
    <w:rsid w:val="002549C0"/>
    <w:rsid w:val="00254D55"/>
    <w:rsid w:val="00256460"/>
    <w:rsid w:val="002565F4"/>
    <w:rsid w:val="0025679E"/>
    <w:rsid w:val="00256BC8"/>
    <w:rsid w:val="0025748B"/>
    <w:rsid w:val="00257AD9"/>
    <w:rsid w:val="002600FE"/>
    <w:rsid w:val="002603CD"/>
    <w:rsid w:val="00260B22"/>
    <w:rsid w:val="00260C68"/>
    <w:rsid w:val="00261377"/>
    <w:rsid w:val="00262422"/>
    <w:rsid w:val="00262942"/>
    <w:rsid w:val="00262D07"/>
    <w:rsid w:val="002631E9"/>
    <w:rsid w:val="00263322"/>
    <w:rsid w:val="00263F4A"/>
    <w:rsid w:val="00264221"/>
    <w:rsid w:val="00264702"/>
    <w:rsid w:val="002648B0"/>
    <w:rsid w:val="00267DCA"/>
    <w:rsid w:val="00270813"/>
    <w:rsid w:val="00270A14"/>
    <w:rsid w:val="00270D9B"/>
    <w:rsid w:val="0027160D"/>
    <w:rsid w:val="00271C62"/>
    <w:rsid w:val="00271CFD"/>
    <w:rsid w:val="002735A4"/>
    <w:rsid w:val="002739E1"/>
    <w:rsid w:val="00274227"/>
    <w:rsid w:val="002742AE"/>
    <w:rsid w:val="00275271"/>
    <w:rsid w:val="0027535E"/>
    <w:rsid w:val="00275A38"/>
    <w:rsid w:val="00275AA6"/>
    <w:rsid w:val="00275C25"/>
    <w:rsid w:val="00276738"/>
    <w:rsid w:val="00277DD7"/>
    <w:rsid w:val="002802A6"/>
    <w:rsid w:val="00280787"/>
    <w:rsid w:val="002807D5"/>
    <w:rsid w:val="0028085C"/>
    <w:rsid w:val="00280C07"/>
    <w:rsid w:val="00281B24"/>
    <w:rsid w:val="00281C66"/>
    <w:rsid w:val="00281F59"/>
    <w:rsid w:val="00282C12"/>
    <w:rsid w:val="00282CCD"/>
    <w:rsid w:val="00282E9E"/>
    <w:rsid w:val="00283250"/>
    <w:rsid w:val="002833C0"/>
    <w:rsid w:val="0028376A"/>
    <w:rsid w:val="00283845"/>
    <w:rsid w:val="0028407A"/>
    <w:rsid w:val="002845C3"/>
    <w:rsid w:val="002849E8"/>
    <w:rsid w:val="002849F3"/>
    <w:rsid w:val="0028561C"/>
    <w:rsid w:val="00285FE4"/>
    <w:rsid w:val="00286849"/>
    <w:rsid w:val="0028689B"/>
    <w:rsid w:val="0028697D"/>
    <w:rsid w:val="00286D59"/>
    <w:rsid w:val="0028716A"/>
    <w:rsid w:val="00287837"/>
    <w:rsid w:val="00287872"/>
    <w:rsid w:val="0029082C"/>
    <w:rsid w:val="00291F4B"/>
    <w:rsid w:val="0029309B"/>
    <w:rsid w:val="002937D8"/>
    <w:rsid w:val="00293A47"/>
    <w:rsid w:val="00294752"/>
    <w:rsid w:val="00294D31"/>
    <w:rsid w:val="002956E5"/>
    <w:rsid w:val="0029745E"/>
    <w:rsid w:val="0029778D"/>
    <w:rsid w:val="00297924"/>
    <w:rsid w:val="002A0153"/>
    <w:rsid w:val="002A0471"/>
    <w:rsid w:val="002A09CA"/>
    <w:rsid w:val="002A10AA"/>
    <w:rsid w:val="002A11DB"/>
    <w:rsid w:val="002A168C"/>
    <w:rsid w:val="002A283E"/>
    <w:rsid w:val="002A2C48"/>
    <w:rsid w:val="002A348C"/>
    <w:rsid w:val="002A3BD3"/>
    <w:rsid w:val="002A3EED"/>
    <w:rsid w:val="002A4135"/>
    <w:rsid w:val="002A41B2"/>
    <w:rsid w:val="002A44D2"/>
    <w:rsid w:val="002A4A39"/>
    <w:rsid w:val="002A4B10"/>
    <w:rsid w:val="002A4C51"/>
    <w:rsid w:val="002A5A17"/>
    <w:rsid w:val="002A5B0A"/>
    <w:rsid w:val="002A6425"/>
    <w:rsid w:val="002A6534"/>
    <w:rsid w:val="002A6A54"/>
    <w:rsid w:val="002A74E1"/>
    <w:rsid w:val="002B05F4"/>
    <w:rsid w:val="002B09AD"/>
    <w:rsid w:val="002B0A42"/>
    <w:rsid w:val="002B1EB7"/>
    <w:rsid w:val="002B2EB9"/>
    <w:rsid w:val="002B38F7"/>
    <w:rsid w:val="002B4563"/>
    <w:rsid w:val="002B49E2"/>
    <w:rsid w:val="002B5420"/>
    <w:rsid w:val="002B5A5C"/>
    <w:rsid w:val="002B5B08"/>
    <w:rsid w:val="002B7439"/>
    <w:rsid w:val="002B7B00"/>
    <w:rsid w:val="002B7C44"/>
    <w:rsid w:val="002C0457"/>
    <w:rsid w:val="002C1388"/>
    <w:rsid w:val="002C274E"/>
    <w:rsid w:val="002C29D4"/>
    <w:rsid w:val="002C2FC7"/>
    <w:rsid w:val="002C3412"/>
    <w:rsid w:val="002C38E9"/>
    <w:rsid w:val="002C3C6A"/>
    <w:rsid w:val="002C4260"/>
    <w:rsid w:val="002C514E"/>
    <w:rsid w:val="002C553D"/>
    <w:rsid w:val="002C57D0"/>
    <w:rsid w:val="002C6B11"/>
    <w:rsid w:val="002C6D30"/>
    <w:rsid w:val="002C6E47"/>
    <w:rsid w:val="002C7D4F"/>
    <w:rsid w:val="002D0355"/>
    <w:rsid w:val="002D0BF5"/>
    <w:rsid w:val="002D145E"/>
    <w:rsid w:val="002D20AE"/>
    <w:rsid w:val="002D2402"/>
    <w:rsid w:val="002D2D7C"/>
    <w:rsid w:val="002D31E2"/>
    <w:rsid w:val="002D38A5"/>
    <w:rsid w:val="002D42DB"/>
    <w:rsid w:val="002D4B76"/>
    <w:rsid w:val="002D51AC"/>
    <w:rsid w:val="002D52E9"/>
    <w:rsid w:val="002D53D7"/>
    <w:rsid w:val="002D6234"/>
    <w:rsid w:val="002D7692"/>
    <w:rsid w:val="002E00B0"/>
    <w:rsid w:val="002E16D6"/>
    <w:rsid w:val="002E1F3A"/>
    <w:rsid w:val="002E2037"/>
    <w:rsid w:val="002E298A"/>
    <w:rsid w:val="002E3532"/>
    <w:rsid w:val="002E65DE"/>
    <w:rsid w:val="002E6C22"/>
    <w:rsid w:val="002E7B0B"/>
    <w:rsid w:val="002E7BB5"/>
    <w:rsid w:val="002F0284"/>
    <w:rsid w:val="002F02A4"/>
    <w:rsid w:val="002F04F1"/>
    <w:rsid w:val="002F0579"/>
    <w:rsid w:val="002F10DC"/>
    <w:rsid w:val="002F1474"/>
    <w:rsid w:val="002F1C59"/>
    <w:rsid w:val="002F2109"/>
    <w:rsid w:val="002F272B"/>
    <w:rsid w:val="002F28C5"/>
    <w:rsid w:val="002F2A78"/>
    <w:rsid w:val="002F36D4"/>
    <w:rsid w:val="002F40C2"/>
    <w:rsid w:val="002F5257"/>
    <w:rsid w:val="002F5341"/>
    <w:rsid w:val="002F5449"/>
    <w:rsid w:val="002F56AE"/>
    <w:rsid w:val="002F5972"/>
    <w:rsid w:val="002F600D"/>
    <w:rsid w:val="002F6723"/>
    <w:rsid w:val="002F6B4B"/>
    <w:rsid w:val="002F6C1F"/>
    <w:rsid w:val="002F6DB7"/>
    <w:rsid w:val="002F7C6D"/>
    <w:rsid w:val="002F7D83"/>
    <w:rsid w:val="003001D1"/>
    <w:rsid w:val="00300F1F"/>
    <w:rsid w:val="00301013"/>
    <w:rsid w:val="0030209C"/>
    <w:rsid w:val="003027E4"/>
    <w:rsid w:val="00302DBE"/>
    <w:rsid w:val="003032A3"/>
    <w:rsid w:val="0030332C"/>
    <w:rsid w:val="00303934"/>
    <w:rsid w:val="00304192"/>
    <w:rsid w:val="00304194"/>
    <w:rsid w:val="00304F62"/>
    <w:rsid w:val="00305275"/>
    <w:rsid w:val="00305FC8"/>
    <w:rsid w:val="00306A37"/>
    <w:rsid w:val="0030733D"/>
    <w:rsid w:val="00307D5B"/>
    <w:rsid w:val="00310F61"/>
    <w:rsid w:val="0031153F"/>
    <w:rsid w:val="00312017"/>
    <w:rsid w:val="003121A3"/>
    <w:rsid w:val="00312296"/>
    <w:rsid w:val="00312535"/>
    <w:rsid w:val="003129BD"/>
    <w:rsid w:val="00312A23"/>
    <w:rsid w:val="0031340E"/>
    <w:rsid w:val="00314896"/>
    <w:rsid w:val="00314EB6"/>
    <w:rsid w:val="00315340"/>
    <w:rsid w:val="00315A63"/>
    <w:rsid w:val="00315BB4"/>
    <w:rsid w:val="00316464"/>
    <w:rsid w:val="00316790"/>
    <w:rsid w:val="00317D6D"/>
    <w:rsid w:val="00320277"/>
    <w:rsid w:val="003205C5"/>
    <w:rsid w:val="0032073A"/>
    <w:rsid w:val="003207B7"/>
    <w:rsid w:val="00320FB3"/>
    <w:rsid w:val="0032160A"/>
    <w:rsid w:val="00321BCB"/>
    <w:rsid w:val="00321D7E"/>
    <w:rsid w:val="00321D8E"/>
    <w:rsid w:val="0032208F"/>
    <w:rsid w:val="0032309E"/>
    <w:rsid w:val="0032311A"/>
    <w:rsid w:val="003234AE"/>
    <w:rsid w:val="00323F01"/>
    <w:rsid w:val="0032449A"/>
    <w:rsid w:val="003258AE"/>
    <w:rsid w:val="00325CA1"/>
    <w:rsid w:val="003260B7"/>
    <w:rsid w:val="00326250"/>
    <w:rsid w:val="0033010A"/>
    <w:rsid w:val="0033041B"/>
    <w:rsid w:val="00332EB4"/>
    <w:rsid w:val="00333E41"/>
    <w:rsid w:val="00334996"/>
    <w:rsid w:val="00336969"/>
    <w:rsid w:val="00336C52"/>
    <w:rsid w:val="00340FBA"/>
    <w:rsid w:val="00341528"/>
    <w:rsid w:val="00341AD3"/>
    <w:rsid w:val="00341B3E"/>
    <w:rsid w:val="00341B42"/>
    <w:rsid w:val="00341CA9"/>
    <w:rsid w:val="0034230E"/>
    <w:rsid w:val="00342500"/>
    <w:rsid w:val="00343C26"/>
    <w:rsid w:val="00345154"/>
    <w:rsid w:val="0034560E"/>
    <w:rsid w:val="00345A66"/>
    <w:rsid w:val="003460C7"/>
    <w:rsid w:val="003469C9"/>
    <w:rsid w:val="00347170"/>
    <w:rsid w:val="00347A74"/>
    <w:rsid w:val="00350523"/>
    <w:rsid w:val="003521E5"/>
    <w:rsid w:val="00352274"/>
    <w:rsid w:val="0035267A"/>
    <w:rsid w:val="00352920"/>
    <w:rsid w:val="00352975"/>
    <w:rsid w:val="00354EE4"/>
    <w:rsid w:val="00355671"/>
    <w:rsid w:val="00356571"/>
    <w:rsid w:val="0035682D"/>
    <w:rsid w:val="00356868"/>
    <w:rsid w:val="003569AB"/>
    <w:rsid w:val="00356AA2"/>
    <w:rsid w:val="00356C54"/>
    <w:rsid w:val="00357402"/>
    <w:rsid w:val="003575FC"/>
    <w:rsid w:val="003579B0"/>
    <w:rsid w:val="003605D7"/>
    <w:rsid w:val="00360AEB"/>
    <w:rsid w:val="003615CB"/>
    <w:rsid w:val="00361D90"/>
    <w:rsid w:val="003629BF"/>
    <w:rsid w:val="00363CE9"/>
    <w:rsid w:val="00363D65"/>
    <w:rsid w:val="00363FEE"/>
    <w:rsid w:val="003641E2"/>
    <w:rsid w:val="0036485B"/>
    <w:rsid w:val="003648FA"/>
    <w:rsid w:val="00364A5A"/>
    <w:rsid w:val="003651D1"/>
    <w:rsid w:val="0036644C"/>
    <w:rsid w:val="0036665B"/>
    <w:rsid w:val="003678F9"/>
    <w:rsid w:val="00367E6B"/>
    <w:rsid w:val="00367ED2"/>
    <w:rsid w:val="0037038E"/>
    <w:rsid w:val="00370626"/>
    <w:rsid w:val="00370B41"/>
    <w:rsid w:val="0037114C"/>
    <w:rsid w:val="003713EE"/>
    <w:rsid w:val="00371DE6"/>
    <w:rsid w:val="0037227A"/>
    <w:rsid w:val="003733F9"/>
    <w:rsid w:val="00373B0D"/>
    <w:rsid w:val="00373B8D"/>
    <w:rsid w:val="003744ED"/>
    <w:rsid w:val="0037573E"/>
    <w:rsid w:val="00376792"/>
    <w:rsid w:val="00376988"/>
    <w:rsid w:val="0037786E"/>
    <w:rsid w:val="003810A4"/>
    <w:rsid w:val="00381A72"/>
    <w:rsid w:val="00383C70"/>
    <w:rsid w:val="0038475F"/>
    <w:rsid w:val="00384B02"/>
    <w:rsid w:val="00384C07"/>
    <w:rsid w:val="003858B6"/>
    <w:rsid w:val="00385AF2"/>
    <w:rsid w:val="00386416"/>
    <w:rsid w:val="003865E7"/>
    <w:rsid w:val="00386643"/>
    <w:rsid w:val="00386693"/>
    <w:rsid w:val="00387445"/>
    <w:rsid w:val="00387ABC"/>
    <w:rsid w:val="003903A5"/>
    <w:rsid w:val="00390486"/>
    <w:rsid w:val="00390E0D"/>
    <w:rsid w:val="0039122B"/>
    <w:rsid w:val="003921AD"/>
    <w:rsid w:val="00392C1B"/>
    <w:rsid w:val="00392C74"/>
    <w:rsid w:val="00393394"/>
    <w:rsid w:val="00393A1D"/>
    <w:rsid w:val="00394461"/>
    <w:rsid w:val="00395C7D"/>
    <w:rsid w:val="003962CF"/>
    <w:rsid w:val="00396B07"/>
    <w:rsid w:val="00397E14"/>
    <w:rsid w:val="003A0291"/>
    <w:rsid w:val="003A09EA"/>
    <w:rsid w:val="003A1860"/>
    <w:rsid w:val="003A1948"/>
    <w:rsid w:val="003A194C"/>
    <w:rsid w:val="003A3223"/>
    <w:rsid w:val="003A3271"/>
    <w:rsid w:val="003A3AAC"/>
    <w:rsid w:val="003A41BD"/>
    <w:rsid w:val="003A4542"/>
    <w:rsid w:val="003A49F9"/>
    <w:rsid w:val="003A4B51"/>
    <w:rsid w:val="003A4C41"/>
    <w:rsid w:val="003A4F08"/>
    <w:rsid w:val="003A5195"/>
    <w:rsid w:val="003A6672"/>
    <w:rsid w:val="003A6854"/>
    <w:rsid w:val="003A7E04"/>
    <w:rsid w:val="003B054A"/>
    <w:rsid w:val="003B060C"/>
    <w:rsid w:val="003B152A"/>
    <w:rsid w:val="003B15BF"/>
    <w:rsid w:val="003B2323"/>
    <w:rsid w:val="003B25E6"/>
    <w:rsid w:val="003B26C3"/>
    <w:rsid w:val="003B26EB"/>
    <w:rsid w:val="003B2736"/>
    <w:rsid w:val="003B4D6A"/>
    <w:rsid w:val="003B545B"/>
    <w:rsid w:val="003B5D4A"/>
    <w:rsid w:val="003B6608"/>
    <w:rsid w:val="003B6D98"/>
    <w:rsid w:val="003B7171"/>
    <w:rsid w:val="003B7E81"/>
    <w:rsid w:val="003C1B1F"/>
    <w:rsid w:val="003C205B"/>
    <w:rsid w:val="003C3AF1"/>
    <w:rsid w:val="003C3DD9"/>
    <w:rsid w:val="003C45F5"/>
    <w:rsid w:val="003C463F"/>
    <w:rsid w:val="003C52C5"/>
    <w:rsid w:val="003C5DB9"/>
    <w:rsid w:val="003C5F78"/>
    <w:rsid w:val="003C6B2B"/>
    <w:rsid w:val="003C6CA9"/>
    <w:rsid w:val="003C7030"/>
    <w:rsid w:val="003C706E"/>
    <w:rsid w:val="003C76ED"/>
    <w:rsid w:val="003C7A19"/>
    <w:rsid w:val="003C7A25"/>
    <w:rsid w:val="003C7A5F"/>
    <w:rsid w:val="003C7A7D"/>
    <w:rsid w:val="003C7FF7"/>
    <w:rsid w:val="003D0087"/>
    <w:rsid w:val="003D0BF4"/>
    <w:rsid w:val="003D0EF6"/>
    <w:rsid w:val="003D1AEE"/>
    <w:rsid w:val="003D253E"/>
    <w:rsid w:val="003D3C88"/>
    <w:rsid w:val="003D3EE9"/>
    <w:rsid w:val="003D530B"/>
    <w:rsid w:val="003D6459"/>
    <w:rsid w:val="003D6EA1"/>
    <w:rsid w:val="003D7B71"/>
    <w:rsid w:val="003D7E94"/>
    <w:rsid w:val="003E08C4"/>
    <w:rsid w:val="003E0BDC"/>
    <w:rsid w:val="003E15A9"/>
    <w:rsid w:val="003E1683"/>
    <w:rsid w:val="003E2677"/>
    <w:rsid w:val="003E30F1"/>
    <w:rsid w:val="003E3B86"/>
    <w:rsid w:val="003E3C72"/>
    <w:rsid w:val="003E57C0"/>
    <w:rsid w:val="003E70CB"/>
    <w:rsid w:val="003E7214"/>
    <w:rsid w:val="003E7681"/>
    <w:rsid w:val="003F0809"/>
    <w:rsid w:val="003F16FB"/>
    <w:rsid w:val="003F1712"/>
    <w:rsid w:val="003F1961"/>
    <w:rsid w:val="003F44ED"/>
    <w:rsid w:val="003F55E1"/>
    <w:rsid w:val="003F5A61"/>
    <w:rsid w:val="003F5AAD"/>
    <w:rsid w:val="003F611C"/>
    <w:rsid w:val="003F6896"/>
    <w:rsid w:val="003F694E"/>
    <w:rsid w:val="003F755C"/>
    <w:rsid w:val="00401008"/>
    <w:rsid w:val="004010F4"/>
    <w:rsid w:val="00402E3E"/>
    <w:rsid w:val="00404300"/>
    <w:rsid w:val="00404530"/>
    <w:rsid w:val="00404AC7"/>
    <w:rsid w:val="00406C3E"/>
    <w:rsid w:val="00406E9C"/>
    <w:rsid w:val="00406F01"/>
    <w:rsid w:val="00407A39"/>
    <w:rsid w:val="00410273"/>
    <w:rsid w:val="00410370"/>
    <w:rsid w:val="00410596"/>
    <w:rsid w:val="004107D6"/>
    <w:rsid w:val="00410B6E"/>
    <w:rsid w:val="00410CBA"/>
    <w:rsid w:val="00411464"/>
    <w:rsid w:val="00411930"/>
    <w:rsid w:val="00411B36"/>
    <w:rsid w:val="004121D7"/>
    <w:rsid w:val="004124D0"/>
    <w:rsid w:val="00412E2F"/>
    <w:rsid w:val="004130FE"/>
    <w:rsid w:val="00413838"/>
    <w:rsid w:val="0041396A"/>
    <w:rsid w:val="00414428"/>
    <w:rsid w:val="00414C07"/>
    <w:rsid w:val="00416A1D"/>
    <w:rsid w:val="00416B39"/>
    <w:rsid w:val="00416D50"/>
    <w:rsid w:val="00417772"/>
    <w:rsid w:val="0041797B"/>
    <w:rsid w:val="00417DDE"/>
    <w:rsid w:val="0042018F"/>
    <w:rsid w:val="004207A3"/>
    <w:rsid w:val="00420976"/>
    <w:rsid w:val="00420D4A"/>
    <w:rsid w:val="00420E6A"/>
    <w:rsid w:val="00420F5A"/>
    <w:rsid w:val="0042102C"/>
    <w:rsid w:val="00421EAF"/>
    <w:rsid w:val="00421F64"/>
    <w:rsid w:val="00422481"/>
    <w:rsid w:val="00422BC2"/>
    <w:rsid w:val="00422CEF"/>
    <w:rsid w:val="0042337E"/>
    <w:rsid w:val="00423735"/>
    <w:rsid w:val="00423C8C"/>
    <w:rsid w:val="00424A9C"/>
    <w:rsid w:val="00424D85"/>
    <w:rsid w:val="00424DE8"/>
    <w:rsid w:val="00424EC7"/>
    <w:rsid w:val="00424F94"/>
    <w:rsid w:val="004254E8"/>
    <w:rsid w:val="00425DFA"/>
    <w:rsid w:val="0042760A"/>
    <w:rsid w:val="00430366"/>
    <w:rsid w:val="00430539"/>
    <w:rsid w:val="00430F64"/>
    <w:rsid w:val="00431DE4"/>
    <w:rsid w:val="0043210C"/>
    <w:rsid w:val="00432245"/>
    <w:rsid w:val="00432A7C"/>
    <w:rsid w:val="0043329C"/>
    <w:rsid w:val="00433380"/>
    <w:rsid w:val="0043341A"/>
    <w:rsid w:val="004334AD"/>
    <w:rsid w:val="004338F0"/>
    <w:rsid w:val="00433CA9"/>
    <w:rsid w:val="00433E36"/>
    <w:rsid w:val="00433F0F"/>
    <w:rsid w:val="00434841"/>
    <w:rsid w:val="0043485E"/>
    <w:rsid w:val="0043521D"/>
    <w:rsid w:val="00435D2E"/>
    <w:rsid w:val="004360CB"/>
    <w:rsid w:val="00436212"/>
    <w:rsid w:val="004363C6"/>
    <w:rsid w:val="00437A1E"/>
    <w:rsid w:val="00437E44"/>
    <w:rsid w:val="00441D1A"/>
    <w:rsid w:val="00441D40"/>
    <w:rsid w:val="00442024"/>
    <w:rsid w:val="0044254C"/>
    <w:rsid w:val="00443F6A"/>
    <w:rsid w:val="0044430B"/>
    <w:rsid w:val="00444EC4"/>
    <w:rsid w:val="00446017"/>
    <w:rsid w:val="004463F6"/>
    <w:rsid w:val="0044673A"/>
    <w:rsid w:val="00447338"/>
    <w:rsid w:val="00447C0A"/>
    <w:rsid w:val="00447F25"/>
    <w:rsid w:val="004500BA"/>
    <w:rsid w:val="00450396"/>
    <w:rsid w:val="00450A17"/>
    <w:rsid w:val="00450C8A"/>
    <w:rsid w:val="00451395"/>
    <w:rsid w:val="004514F2"/>
    <w:rsid w:val="00451E27"/>
    <w:rsid w:val="004528F5"/>
    <w:rsid w:val="00453F1E"/>
    <w:rsid w:val="004542B6"/>
    <w:rsid w:val="004542BD"/>
    <w:rsid w:val="00454E27"/>
    <w:rsid w:val="00455060"/>
    <w:rsid w:val="00455A78"/>
    <w:rsid w:val="00455B4A"/>
    <w:rsid w:val="00455BB9"/>
    <w:rsid w:val="00456C3A"/>
    <w:rsid w:val="00456FE0"/>
    <w:rsid w:val="0045765B"/>
    <w:rsid w:val="00457B32"/>
    <w:rsid w:val="00457DDD"/>
    <w:rsid w:val="00460649"/>
    <w:rsid w:val="00462759"/>
    <w:rsid w:val="004643FA"/>
    <w:rsid w:val="00464E47"/>
    <w:rsid w:val="00465646"/>
    <w:rsid w:val="00466321"/>
    <w:rsid w:val="004672AF"/>
    <w:rsid w:val="004673D1"/>
    <w:rsid w:val="00470B46"/>
    <w:rsid w:val="00470D04"/>
    <w:rsid w:val="00470E36"/>
    <w:rsid w:val="0047135E"/>
    <w:rsid w:val="00471DAD"/>
    <w:rsid w:val="004727B0"/>
    <w:rsid w:val="00472A8B"/>
    <w:rsid w:val="00472BB7"/>
    <w:rsid w:val="00472F6B"/>
    <w:rsid w:val="00473E29"/>
    <w:rsid w:val="00474249"/>
    <w:rsid w:val="00475C11"/>
    <w:rsid w:val="00475D03"/>
    <w:rsid w:val="004762DE"/>
    <w:rsid w:val="00476E54"/>
    <w:rsid w:val="004777DD"/>
    <w:rsid w:val="00480247"/>
    <w:rsid w:val="004803A2"/>
    <w:rsid w:val="0048060E"/>
    <w:rsid w:val="0048081D"/>
    <w:rsid w:val="00480B07"/>
    <w:rsid w:val="0048117E"/>
    <w:rsid w:val="004838A1"/>
    <w:rsid w:val="004855F6"/>
    <w:rsid w:val="00485A3F"/>
    <w:rsid w:val="004869C5"/>
    <w:rsid w:val="00486F0C"/>
    <w:rsid w:val="0048777B"/>
    <w:rsid w:val="0048782B"/>
    <w:rsid w:val="00490031"/>
    <w:rsid w:val="00490259"/>
    <w:rsid w:val="00490AAE"/>
    <w:rsid w:val="00491743"/>
    <w:rsid w:val="00491767"/>
    <w:rsid w:val="00492161"/>
    <w:rsid w:val="00492489"/>
    <w:rsid w:val="004926E4"/>
    <w:rsid w:val="00492EAD"/>
    <w:rsid w:val="004934EB"/>
    <w:rsid w:val="004935CF"/>
    <w:rsid w:val="00493968"/>
    <w:rsid w:val="00493E8C"/>
    <w:rsid w:val="004943D6"/>
    <w:rsid w:val="00494670"/>
    <w:rsid w:val="0049495F"/>
    <w:rsid w:val="0049541B"/>
    <w:rsid w:val="00495E4E"/>
    <w:rsid w:val="00496DCF"/>
    <w:rsid w:val="00497422"/>
    <w:rsid w:val="004979F1"/>
    <w:rsid w:val="00497DB7"/>
    <w:rsid w:val="004A0517"/>
    <w:rsid w:val="004A0572"/>
    <w:rsid w:val="004A0EB4"/>
    <w:rsid w:val="004A1189"/>
    <w:rsid w:val="004A1559"/>
    <w:rsid w:val="004A1638"/>
    <w:rsid w:val="004A183A"/>
    <w:rsid w:val="004A3823"/>
    <w:rsid w:val="004A3B5E"/>
    <w:rsid w:val="004A405E"/>
    <w:rsid w:val="004A5019"/>
    <w:rsid w:val="004A5039"/>
    <w:rsid w:val="004A59BB"/>
    <w:rsid w:val="004A654F"/>
    <w:rsid w:val="004A678C"/>
    <w:rsid w:val="004A6A8F"/>
    <w:rsid w:val="004A6AF3"/>
    <w:rsid w:val="004A6E11"/>
    <w:rsid w:val="004A7290"/>
    <w:rsid w:val="004A7894"/>
    <w:rsid w:val="004A79A6"/>
    <w:rsid w:val="004A7FC7"/>
    <w:rsid w:val="004B075B"/>
    <w:rsid w:val="004B0AB7"/>
    <w:rsid w:val="004B1308"/>
    <w:rsid w:val="004B14B8"/>
    <w:rsid w:val="004B1A7E"/>
    <w:rsid w:val="004B2B21"/>
    <w:rsid w:val="004B30DC"/>
    <w:rsid w:val="004B32CF"/>
    <w:rsid w:val="004B33B8"/>
    <w:rsid w:val="004B421B"/>
    <w:rsid w:val="004B43A3"/>
    <w:rsid w:val="004B44DE"/>
    <w:rsid w:val="004B4BF9"/>
    <w:rsid w:val="004B4C49"/>
    <w:rsid w:val="004B58A5"/>
    <w:rsid w:val="004B63D9"/>
    <w:rsid w:val="004C07A4"/>
    <w:rsid w:val="004C0882"/>
    <w:rsid w:val="004C0F0C"/>
    <w:rsid w:val="004C1CBB"/>
    <w:rsid w:val="004C24B4"/>
    <w:rsid w:val="004C2A0D"/>
    <w:rsid w:val="004C2BCB"/>
    <w:rsid w:val="004C2C9E"/>
    <w:rsid w:val="004C2D90"/>
    <w:rsid w:val="004C36CD"/>
    <w:rsid w:val="004C483F"/>
    <w:rsid w:val="004C4BA4"/>
    <w:rsid w:val="004C4FA6"/>
    <w:rsid w:val="004C523F"/>
    <w:rsid w:val="004C55BE"/>
    <w:rsid w:val="004C6A22"/>
    <w:rsid w:val="004C6B22"/>
    <w:rsid w:val="004C70C2"/>
    <w:rsid w:val="004C741D"/>
    <w:rsid w:val="004D02AF"/>
    <w:rsid w:val="004D05B6"/>
    <w:rsid w:val="004D0A8F"/>
    <w:rsid w:val="004D1FEF"/>
    <w:rsid w:val="004D2D0E"/>
    <w:rsid w:val="004D3C78"/>
    <w:rsid w:val="004D3DB5"/>
    <w:rsid w:val="004D3FB9"/>
    <w:rsid w:val="004D59F1"/>
    <w:rsid w:val="004D5EF4"/>
    <w:rsid w:val="004D717B"/>
    <w:rsid w:val="004E19EC"/>
    <w:rsid w:val="004E27C0"/>
    <w:rsid w:val="004E3585"/>
    <w:rsid w:val="004E3BAC"/>
    <w:rsid w:val="004E5B30"/>
    <w:rsid w:val="004E5C63"/>
    <w:rsid w:val="004E622C"/>
    <w:rsid w:val="004E734A"/>
    <w:rsid w:val="004F055F"/>
    <w:rsid w:val="004F0779"/>
    <w:rsid w:val="004F0DA8"/>
    <w:rsid w:val="004F1230"/>
    <w:rsid w:val="004F1436"/>
    <w:rsid w:val="004F173F"/>
    <w:rsid w:val="004F177C"/>
    <w:rsid w:val="004F1A42"/>
    <w:rsid w:val="004F27B9"/>
    <w:rsid w:val="004F2DCE"/>
    <w:rsid w:val="004F322F"/>
    <w:rsid w:val="004F3787"/>
    <w:rsid w:val="004F3A10"/>
    <w:rsid w:val="004F3B49"/>
    <w:rsid w:val="004F454C"/>
    <w:rsid w:val="004F559E"/>
    <w:rsid w:val="004F5A4A"/>
    <w:rsid w:val="004F5CC3"/>
    <w:rsid w:val="004F5DBE"/>
    <w:rsid w:val="004F6437"/>
    <w:rsid w:val="004F6F8D"/>
    <w:rsid w:val="004F738F"/>
    <w:rsid w:val="004F7CB0"/>
    <w:rsid w:val="00500063"/>
    <w:rsid w:val="0050083F"/>
    <w:rsid w:val="00501519"/>
    <w:rsid w:val="005019FD"/>
    <w:rsid w:val="00501BA8"/>
    <w:rsid w:val="00501C76"/>
    <w:rsid w:val="0050240B"/>
    <w:rsid w:val="005026E3"/>
    <w:rsid w:val="00502DA5"/>
    <w:rsid w:val="005031C1"/>
    <w:rsid w:val="005039CB"/>
    <w:rsid w:val="00503BAC"/>
    <w:rsid w:val="005045ED"/>
    <w:rsid w:val="00504677"/>
    <w:rsid w:val="00504A39"/>
    <w:rsid w:val="00504E15"/>
    <w:rsid w:val="005054C8"/>
    <w:rsid w:val="0050558F"/>
    <w:rsid w:val="005057E0"/>
    <w:rsid w:val="00505A91"/>
    <w:rsid w:val="00505E29"/>
    <w:rsid w:val="005060C6"/>
    <w:rsid w:val="00506286"/>
    <w:rsid w:val="005068DA"/>
    <w:rsid w:val="00506947"/>
    <w:rsid w:val="00507CF6"/>
    <w:rsid w:val="0051032F"/>
    <w:rsid w:val="00510813"/>
    <w:rsid w:val="005110B5"/>
    <w:rsid w:val="00511354"/>
    <w:rsid w:val="005117AE"/>
    <w:rsid w:val="00511DE0"/>
    <w:rsid w:val="00514223"/>
    <w:rsid w:val="00514248"/>
    <w:rsid w:val="00515897"/>
    <w:rsid w:val="005159AC"/>
    <w:rsid w:val="00515DAA"/>
    <w:rsid w:val="00516D99"/>
    <w:rsid w:val="00517F02"/>
    <w:rsid w:val="00521552"/>
    <w:rsid w:val="00521638"/>
    <w:rsid w:val="005219A1"/>
    <w:rsid w:val="0052237A"/>
    <w:rsid w:val="00524547"/>
    <w:rsid w:val="005248F7"/>
    <w:rsid w:val="00524CF6"/>
    <w:rsid w:val="0052517D"/>
    <w:rsid w:val="005258A2"/>
    <w:rsid w:val="0052590F"/>
    <w:rsid w:val="005262E5"/>
    <w:rsid w:val="00526455"/>
    <w:rsid w:val="005269E2"/>
    <w:rsid w:val="00527312"/>
    <w:rsid w:val="0053048E"/>
    <w:rsid w:val="005307F4"/>
    <w:rsid w:val="00530F7C"/>
    <w:rsid w:val="00531412"/>
    <w:rsid w:val="0053173D"/>
    <w:rsid w:val="00532A03"/>
    <w:rsid w:val="00532D13"/>
    <w:rsid w:val="005335F2"/>
    <w:rsid w:val="00533B9D"/>
    <w:rsid w:val="00534567"/>
    <w:rsid w:val="00534F43"/>
    <w:rsid w:val="00535A84"/>
    <w:rsid w:val="00535EAC"/>
    <w:rsid w:val="00536889"/>
    <w:rsid w:val="00536F0C"/>
    <w:rsid w:val="00536FB4"/>
    <w:rsid w:val="00537C1F"/>
    <w:rsid w:val="00540C9D"/>
    <w:rsid w:val="0054256F"/>
    <w:rsid w:val="00542E07"/>
    <w:rsid w:val="00542E44"/>
    <w:rsid w:val="00543076"/>
    <w:rsid w:val="005437F5"/>
    <w:rsid w:val="0054428A"/>
    <w:rsid w:val="00544EFC"/>
    <w:rsid w:val="00545E7D"/>
    <w:rsid w:val="005464A3"/>
    <w:rsid w:val="00546AD2"/>
    <w:rsid w:val="00546AFC"/>
    <w:rsid w:val="005470C3"/>
    <w:rsid w:val="005471EE"/>
    <w:rsid w:val="00547C07"/>
    <w:rsid w:val="00550787"/>
    <w:rsid w:val="005509A0"/>
    <w:rsid w:val="005515BF"/>
    <w:rsid w:val="0055209A"/>
    <w:rsid w:val="005525BC"/>
    <w:rsid w:val="00552A02"/>
    <w:rsid w:val="00553963"/>
    <w:rsid w:val="00554A76"/>
    <w:rsid w:val="00554A7B"/>
    <w:rsid w:val="00555632"/>
    <w:rsid w:val="0055572C"/>
    <w:rsid w:val="005567CE"/>
    <w:rsid w:val="00556D1B"/>
    <w:rsid w:val="005571A0"/>
    <w:rsid w:val="005574E0"/>
    <w:rsid w:val="00557705"/>
    <w:rsid w:val="0055779B"/>
    <w:rsid w:val="0056064F"/>
    <w:rsid w:val="00560951"/>
    <w:rsid w:val="0056119E"/>
    <w:rsid w:val="00561B84"/>
    <w:rsid w:val="00561CF0"/>
    <w:rsid w:val="00561D53"/>
    <w:rsid w:val="0056208A"/>
    <w:rsid w:val="00562780"/>
    <w:rsid w:val="00563694"/>
    <w:rsid w:val="005639ED"/>
    <w:rsid w:val="0056402E"/>
    <w:rsid w:val="00564880"/>
    <w:rsid w:val="00565502"/>
    <w:rsid w:val="005661D9"/>
    <w:rsid w:val="0056648F"/>
    <w:rsid w:val="0056712C"/>
    <w:rsid w:val="0056769D"/>
    <w:rsid w:val="00567D63"/>
    <w:rsid w:val="00567D7C"/>
    <w:rsid w:val="00567E79"/>
    <w:rsid w:val="00570A02"/>
    <w:rsid w:val="0057156C"/>
    <w:rsid w:val="005716BE"/>
    <w:rsid w:val="00571C7E"/>
    <w:rsid w:val="00571D98"/>
    <w:rsid w:val="005720AE"/>
    <w:rsid w:val="0057400A"/>
    <w:rsid w:val="005740C4"/>
    <w:rsid w:val="00574441"/>
    <w:rsid w:val="00574465"/>
    <w:rsid w:val="005753CE"/>
    <w:rsid w:val="0057636E"/>
    <w:rsid w:val="00576673"/>
    <w:rsid w:val="00576D9F"/>
    <w:rsid w:val="00577F8C"/>
    <w:rsid w:val="005802CF"/>
    <w:rsid w:val="0058030D"/>
    <w:rsid w:val="00580343"/>
    <w:rsid w:val="0058147D"/>
    <w:rsid w:val="00581CA2"/>
    <w:rsid w:val="00582045"/>
    <w:rsid w:val="005827F4"/>
    <w:rsid w:val="0058298C"/>
    <w:rsid w:val="00582B56"/>
    <w:rsid w:val="00582B72"/>
    <w:rsid w:val="005831E4"/>
    <w:rsid w:val="0058333C"/>
    <w:rsid w:val="0058375C"/>
    <w:rsid w:val="00583B86"/>
    <w:rsid w:val="00583E2A"/>
    <w:rsid w:val="00584155"/>
    <w:rsid w:val="00584600"/>
    <w:rsid w:val="0058580C"/>
    <w:rsid w:val="00585B0A"/>
    <w:rsid w:val="00586734"/>
    <w:rsid w:val="005872D2"/>
    <w:rsid w:val="0058741F"/>
    <w:rsid w:val="005877C2"/>
    <w:rsid w:val="00587D2E"/>
    <w:rsid w:val="00590142"/>
    <w:rsid w:val="005901E6"/>
    <w:rsid w:val="00590740"/>
    <w:rsid w:val="00590AE3"/>
    <w:rsid w:val="005918F1"/>
    <w:rsid w:val="00591904"/>
    <w:rsid w:val="00592192"/>
    <w:rsid w:val="005921C3"/>
    <w:rsid w:val="0059275B"/>
    <w:rsid w:val="00592962"/>
    <w:rsid w:val="00592DAD"/>
    <w:rsid w:val="0059347F"/>
    <w:rsid w:val="00593C89"/>
    <w:rsid w:val="005942B9"/>
    <w:rsid w:val="00594372"/>
    <w:rsid w:val="005950F6"/>
    <w:rsid w:val="0059559C"/>
    <w:rsid w:val="0059563F"/>
    <w:rsid w:val="005960EB"/>
    <w:rsid w:val="0059687C"/>
    <w:rsid w:val="0059690F"/>
    <w:rsid w:val="00597544"/>
    <w:rsid w:val="00597C8A"/>
    <w:rsid w:val="005A06B7"/>
    <w:rsid w:val="005A1759"/>
    <w:rsid w:val="005A1CCD"/>
    <w:rsid w:val="005A240A"/>
    <w:rsid w:val="005A260C"/>
    <w:rsid w:val="005A2A9E"/>
    <w:rsid w:val="005A30DB"/>
    <w:rsid w:val="005A3194"/>
    <w:rsid w:val="005A3298"/>
    <w:rsid w:val="005A35C8"/>
    <w:rsid w:val="005A546E"/>
    <w:rsid w:val="005A5491"/>
    <w:rsid w:val="005A5F21"/>
    <w:rsid w:val="005A6AC6"/>
    <w:rsid w:val="005A6DAD"/>
    <w:rsid w:val="005B061E"/>
    <w:rsid w:val="005B0B7F"/>
    <w:rsid w:val="005B36CD"/>
    <w:rsid w:val="005B41EB"/>
    <w:rsid w:val="005B5D46"/>
    <w:rsid w:val="005B5F36"/>
    <w:rsid w:val="005B5FC6"/>
    <w:rsid w:val="005B6C84"/>
    <w:rsid w:val="005B6D3B"/>
    <w:rsid w:val="005B7926"/>
    <w:rsid w:val="005B7AC2"/>
    <w:rsid w:val="005C02AE"/>
    <w:rsid w:val="005C0840"/>
    <w:rsid w:val="005C0D2B"/>
    <w:rsid w:val="005C11A8"/>
    <w:rsid w:val="005C1742"/>
    <w:rsid w:val="005C3471"/>
    <w:rsid w:val="005C4A50"/>
    <w:rsid w:val="005C4DBA"/>
    <w:rsid w:val="005C57DB"/>
    <w:rsid w:val="005C5EFE"/>
    <w:rsid w:val="005C630C"/>
    <w:rsid w:val="005C67AA"/>
    <w:rsid w:val="005C748B"/>
    <w:rsid w:val="005D0369"/>
    <w:rsid w:val="005D048B"/>
    <w:rsid w:val="005D1BC4"/>
    <w:rsid w:val="005D1F6D"/>
    <w:rsid w:val="005D254A"/>
    <w:rsid w:val="005D3078"/>
    <w:rsid w:val="005D3314"/>
    <w:rsid w:val="005D3E16"/>
    <w:rsid w:val="005D3EE0"/>
    <w:rsid w:val="005D404A"/>
    <w:rsid w:val="005D43DE"/>
    <w:rsid w:val="005D4D27"/>
    <w:rsid w:val="005D4DE3"/>
    <w:rsid w:val="005D527E"/>
    <w:rsid w:val="005D53FE"/>
    <w:rsid w:val="005D5649"/>
    <w:rsid w:val="005D58AF"/>
    <w:rsid w:val="005D5A74"/>
    <w:rsid w:val="005D5E68"/>
    <w:rsid w:val="005D6055"/>
    <w:rsid w:val="005D6C18"/>
    <w:rsid w:val="005D6DAF"/>
    <w:rsid w:val="005D774F"/>
    <w:rsid w:val="005D7A0F"/>
    <w:rsid w:val="005D7F37"/>
    <w:rsid w:val="005E0438"/>
    <w:rsid w:val="005E0C25"/>
    <w:rsid w:val="005E0D79"/>
    <w:rsid w:val="005E1080"/>
    <w:rsid w:val="005E16DB"/>
    <w:rsid w:val="005E1791"/>
    <w:rsid w:val="005E19B6"/>
    <w:rsid w:val="005E1E77"/>
    <w:rsid w:val="005E2CE6"/>
    <w:rsid w:val="005E32F0"/>
    <w:rsid w:val="005E32FA"/>
    <w:rsid w:val="005E378B"/>
    <w:rsid w:val="005E4574"/>
    <w:rsid w:val="005E47DD"/>
    <w:rsid w:val="005E5159"/>
    <w:rsid w:val="005E585B"/>
    <w:rsid w:val="005E58AE"/>
    <w:rsid w:val="005E5B57"/>
    <w:rsid w:val="005E6324"/>
    <w:rsid w:val="005E6795"/>
    <w:rsid w:val="005E717B"/>
    <w:rsid w:val="005E779C"/>
    <w:rsid w:val="005E77B5"/>
    <w:rsid w:val="005F0448"/>
    <w:rsid w:val="005F0B3B"/>
    <w:rsid w:val="005F1779"/>
    <w:rsid w:val="005F1A13"/>
    <w:rsid w:val="005F1CC6"/>
    <w:rsid w:val="005F1F48"/>
    <w:rsid w:val="005F228B"/>
    <w:rsid w:val="005F254D"/>
    <w:rsid w:val="005F29CD"/>
    <w:rsid w:val="005F2B51"/>
    <w:rsid w:val="005F32CE"/>
    <w:rsid w:val="005F35F3"/>
    <w:rsid w:val="005F3A63"/>
    <w:rsid w:val="005F3F46"/>
    <w:rsid w:val="005F445F"/>
    <w:rsid w:val="005F4D41"/>
    <w:rsid w:val="005F4DA3"/>
    <w:rsid w:val="005F4DFB"/>
    <w:rsid w:val="005F54D0"/>
    <w:rsid w:val="005F572C"/>
    <w:rsid w:val="005F6124"/>
    <w:rsid w:val="005F651B"/>
    <w:rsid w:val="005F6BC1"/>
    <w:rsid w:val="005F6CC0"/>
    <w:rsid w:val="005F7DAE"/>
    <w:rsid w:val="0060023B"/>
    <w:rsid w:val="00600778"/>
    <w:rsid w:val="006012B8"/>
    <w:rsid w:val="00602B78"/>
    <w:rsid w:val="00603E5B"/>
    <w:rsid w:val="00603FAE"/>
    <w:rsid w:val="006048BD"/>
    <w:rsid w:val="00604BC8"/>
    <w:rsid w:val="0060545E"/>
    <w:rsid w:val="006056B3"/>
    <w:rsid w:val="00605DF0"/>
    <w:rsid w:val="00607E26"/>
    <w:rsid w:val="00610FDE"/>
    <w:rsid w:val="00612207"/>
    <w:rsid w:val="0061278A"/>
    <w:rsid w:val="00612CC2"/>
    <w:rsid w:val="00613764"/>
    <w:rsid w:val="00613881"/>
    <w:rsid w:val="006138BB"/>
    <w:rsid w:val="0061408C"/>
    <w:rsid w:val="006142E0"/>
    <w:rsid w:val="006145BB"/>
    <w:rsid w:val="00615536"/>
    <w:rsid w:val="00615B4C"/>
    <w:rsid w:val="00615B5D"/>
    <w:rsid w:val="00615D4C"/>
    <w:rsid w:val="006160D6"/>
    <w:rsid w:val="0061630C"/>
    <w:rsid w:val="00616EA2"/>
    <w:rsid w:val="00617829"/>
    <w:rsid w:val="00617CE8"/>
    <w:rsid w:val="0062124B"/>
    <w:rsid w:val="00621250"/>
    <w:rsid w:val="006213C0"/>
    <w:rsid w:val="0062146F"/>
    <w:rsid w:val="006215FF"/>
    <w:rsid w:val="006224AC"/>
    <w:rsid w:val="0062342D"/>
    <w:rsid w:val="006237BE"/>
    <w:rsid w:val="00623A67"/>
    <w:rsid w:val="00624667"/>
    <w:rsid w:val="00624F9D"/>
    <w:rsid w:val="006258EF"/>
    <w:rsid w:val="0062667C"/>
    <w:rsid w:val="006269EB"/>
    <w:rsid w:val="00627050"/>
    <w:rsid w:val="00627A20"/>
    <w:rsid w:val="006306E0"/>
    <w:rsid w:val="00633BF4"/>
    <w:rsid w:val="006340CB"/>
    <w:rsid w:val="00634297"/>
    <w:rsid w:val="006343AF"/>
    <w:rsid w:val="00634D36"/>
    <w:rsid w:val="00634E03"/>
    <w:rsid w:val="006355CE"/>
    <w:rsid w:val="0063582E"/>
    <w:rsid w:val="00636331"/>
    <w:rsid w:val="0063634A"/>
    <w:rsid w:val="00636410"/>
    <w:rsid w:val="00637A51"/>
    <w:rsid w:val="00637EB5"/>
    <w:rsid w:val="006402E4"/>
    <w:rsid w:val="00642329"/>
    <w:rsid w:val="0064232D"/>
    <w:rsid w:val="0064250D"/>
    <w:rsid w:val="00642801"/>
    <w:rsid w:val="006428A6"/>
    <w:rsid w:val="006456FE"/>
    <w:rsid w:val="00645A0C"/>
    <w:rsid w:val="00645FF4"/>
    <w:rsid w:val="0064708F"/>
    <w:rsid w:val="006472B3"/>
    <w:rsid w:val="006476FC"/>
    <w:rsid w:val="00647C2E"/>
    <w:rsid w:val="00650990"/>
    <w:rsid w:val="00650CA9"/>
    <w:rsid w:val="00650E7B"/>
    <w:rsid w:val="00651768"/>
    <w:rsid w:val="00651BBF"/>
    <w:rsid w:val="00651CA6"/>
    <w:rsid w:val="006523E1"/>
    <w:rsid w:val="00652945"/>
    <w:rsid w:val="006535EB"/>
    <w:rsid w:val="00654EDB"/>
    <w:rsid w:val="006561A1"/>
    <w:rsid w:val="0065714D"/>
    <w:rsid w:val="00657AA4"/>
    <w:rsid w:val="006602A4"/>
    <w:rsid w:val="00660350"/>
    <w:rsid w:val="0066057F"/>
    <w:rsid w:val="00660F2E"/>
    <w:rsid w:val="0066227C"/>
    <w:rsid w:val="006622FA"/>
    <w:rsid w:val="00663016"/>
    <w:rsid w:val="00663EE1"/>
    <w:rsid w:val="00664557"/>
    <w:rsid w:val="00664569"/>
    <w:rsid w:val="00664A3C"/>
    <w:rsid w:val="00664A75"/>
    <w:rsid w:val="0066520D"/>
    <w:rsid w:val="0066539F"/>
    <w:rsid w:val="006659E2"/>
    <w:rsid w:val="00665B56"/>
    <w:rsid w:val="00665B6F"/>
    <w:rsid w:val="00665B8B"/>
    <w:rsid w:val="0066618A"/>
    <w:rsid w:val="006662F2"/>
    <w:rsid w:val="00666725"/>
    <w:rsid w:val="00666C28"/>
    <w:rsid w:val="006678CD"/>
    <w:rsid w:val="006714DF"/>
    <w:rsid w:val="006714F1"/>
    <w:rsid w:val="00671BF5"/>
    <w:rsid w:val="00672470"/>
    <w:rsid w:val="00672D8A"/>
    <w:rsid w:val="0067316B"/>
    <w:rsid w:val="00673306"/>
    <w:rsid w:val="00673603"/>
    <w:rsid w:val="00673A57"/>
    <w:rsid w:val="00673C88"/>
    <w:rsid w:val="00673D95"/>
    <w:rsid w:val="00673DF9"/>
    <w:rsid w:val="00674605"/>
    <w:rsid w:val="006748B8"/>
    <w:rsid w:val="00675781"/>
    <w:rsid w:val="0067609D"/>
    <w:rsid w:val="00676C2A"/>
    <w:rsid w:val="006771A9"/>
    <w:rsid w:val="00677569"/>
    <w:rsid w:val="00680777"/>
    <w:rsid w:val="00680947"/>
    <w:rsid w:val="00681AD9"/>
    <w:rsid w:val="00681CE3"/>
    <w:rsid w:val="00682046"/>
    <w:rsid w:val="00682839"/>
    <w:rsid w:val="006834C8"/>
    <w:rsid w:val="00683D81"/>
    <w:rsid w:val="006848E8"/>
    <w:rsid w:val="0068535B"/>
    <w:rsid w:val="00686522"/>
    <w:rsid w:val="0068736E"/>
    <w:rsid w:val="0068742F"/>
    <w:rsid w:val="006906D5"/>
    <w:rsid w:val="00690F52"/>
    <w:rsid w:val="00691060"/>
    <w:rsid w:val="00691EB6"/>
    <w:rsid w:val="0069290A"/>
    <w:rsid w:val="00692A70"/>
    <w:rsid w:val="00693D5C"/>
    <w:rsid w:val="00693F5C"/>
    <w:rsid w:val="00694AF2"/>
    <w:rsid w:val="00695871"/>
    <w:rsid w:val="00695BCF"/>
    <w:rsid w:val="006965F6"/>
    <w:rsid w:val="0069663F"/>
    <w:rsid w:val="00696785"/>
    <w:rsid w:val="00697032"/>
    <w:rsid w:val="006975AC"/>
    <w:rsid w:val="006A0249"/>
    <w:rsid w:val="006A0CB8"/>
    <w:rsid w:val="006A1189"/>
    <w:rsid w:val="006A15FB"/>
    <w:rsid w:val="006A16BE"/>
    <w:rsid w:val="006A1C70"/>
    <w:rsid w:val="006A1CC8"/>
    <w:rsid w:val="006A1E6A"/>
    <w:rsid w:val="006A3A79"/>
    <w:rsid w:val="006A505C"/>
    <w:rsid w:val="006A5279"/>
    <w:rsid w:val="006A557E"/>
    <w:rsid w:val="006A5E0C"/>
    <w:rsid w:val="006A60F7"/>
    <w:rsid w:val="006A6443"/>
    <w:rsid w:val="006A6BCA"/>
    <w:rsid w:val="006A6F0B"/>
    <w:rsid w:val="006A72BF"/>
    <w:rsid w:val="006A77F4"/>
    <w:rsid w:val="006A7A40"/>
    <w:rsid w:val="006A7EDE"/>
    <w:rsid w:val="006A7EEC"/>
    <w:rsid w:val="006B08C3"/>
    <w:rsid w:val="006B10A0"/>
    <w:rsid w:val="006B1503"/>
    <w:rsid w:val="006B2771"/>
    <w:rsid w:val="006B2E19"/>
    <w:rsid w:val="006B332A"/>
    <w:rsid w:val="006B33BD"/>
    <w:rsid w:val="006B41D1"/>
    <w:rsid w:val="006B44E2"/>
    <w:rsid w:val="006B60F6"/>
    <w:rsid w:val="006B6AE7"/>
    <w:rsid w:val="006B7337"/>
    <w:rsid w:val="006B7975"/>
    <w:rsid w:val="006B7A4D"/>
    <w:rsid w:val="006B7CD9"/>
    <w:rsid w:val="006C10C2"/>
    <w:rsid w:val="006C113C"/>
    <w:rsid w:val="006C1256"/>
    <w:rsid w:val="006C1529"/>
    <w:rsid w:val="006C25EE"/>
    <w:rsid w:val="006C376E"/>
    <w:rsid w:val="006C3884"/>
    <w:rsid w:val="006C3F75"/>
    <w:rsid w:val="006C471A"/>
    <w:rsid w:val="006C4ADD"/>
    <w:rsid w:val="006C4E52"/>
    <w:rsid w:val="006C518C"/>
    <w:rsid w:val="006C698D"/>
    <w:rsid w:val="006C6CFB"/>
    <w:rsid w:val="006C6E2F"/>
    <w:rsid w:val="006C72B2"/>
    <w:rsid w:val="006C782B"/>
    <w:rsid w:val="006C7C20"/>
    <w:rsid w:val="006D170E"/>
    <w:rsid w:val="006D19B7"/>
    <w:rsid w:val="006D19FA"/>
    <w:rsid w:val="006D23AE"/>
    <w:rsid w:val="006D3E30"/>
    <w:rsid w:val="006D4FCC"/>
    <w:rsid w:val="006D56CB"/>
    <w:rsid w:val="006D5870"/>
    <w:rsid w:val="006D592C"/>
    <w:rsid w:val="006D5F05"/>
    <w:rsid w:val="006D7D41"/>
    <w:rsid w:val="006E06AF"/>
    <w:rsid w:val="006E09A1"/>
    <w:rsid w:val="006E0D39"/>
    <w:rsid w:val="006E1851"/>
    <w:rsid w:val="006E1E83"/>
    <w:rsid w:val="006E1EF8"/>
    <w:rsid w:val="006E255E"/>
    <w:rsid w:val="006E302E"/>
    <w:rsid w:val="006E3262"/>
    <w:rsid w:val="006E3402"/>
    <w:rsid w:val="006E37CB"/>
    <w:rsid w:val="006E39AC"/>
    <w:rsid w:val="006E4ADD"/>
    <w:rsid w:val="006E4EB1"/>
    <w:rsid w:val="006E5A45"/>
    <w:rsid w:val="006E60A5"/>
    <w:rsid w:val="006E6C55"/>
    <w:rsid w:val="006E7565"/>
    <w:rsid w:val="006F158A"/>
    <w:rsid w:val="006F1789"/>
    <w:rsid w:val="006F1B43"/>
    <w:rsid w:val="006F1CA1"/>
    <w:rsid w:val="006F29A5"/>
    <w:rsid w:val="006F4650"/>
    <w:rsid w:val="006F587C"/>
    <w:rsid w:val="006F5AEA"/>
    <w:rsid w:val="006F6255"/>
    <w:rsid w:val="006F6BA8"/>
    <w:rsid w:val="006F6E6E"/>
    <w:rsid w:val="006F7A53"/>
    <w:rsid w:val="00700A45"/>
    <w:rsid w:val="0070139E"/>
    <w:rsid w:val="00702039"/>
    <w:rsid w:val="0070246D"/>
    <w:rsid w:val="00702839"/>
    <w:rsid w:val="00703224"/>
    <w:rsid w:val="00703F89"/>
    <w:rsid w:val="007042CC"/>
    <w:rsid w:val="00704406"/>
    <w:rsid w:val="00704DF1"/>
    <w:rsid w:val="00705BDA"/>
    <w:rsid w:val="00706299"/>
    <w:rsid w:val="00706C5D"/>
    <w:rsid w:val="0070714B"/>
    <w:rsid w:val="00710B2D"/>
    <w:rsid w:val="007118E6"/>
    <w:rsid w:val="00711C28"/>
    <w:rsid w:val="00711EE9"/>
    <w:rsid w:val="00711FC3"/>
    <w:rsid w:val="00712350"/>
    <w:rsid w:val="00712390"/>
    <w:rsid w:val="007127A9"/>
    <w:rsid w:val="00713FDA"/>
    <w:rsid w:val="0071517A"/>
    <w:rsid w:val="00715AC1"/>
    <w:rsid w:val="00715FBB"/>
    <w:rsid w:val="00716831"/>
    <w:rsid w:val="007172E7"/>
    <w:rsid w:val="007200A8"/>
    <w:rsid w:val="0072026D"/>
    <w:rsid w:val="007202F2"/>
    <w:rsid w:val="00720909"/>
    <w:rsid w:val="00720C81"/>
    <w:rsid w:val="0072103A"/>
    <w:rsid w:val="007221E9"/>
    <w:rsid w:val="007225C9"/>
    <w:rsid w:val="00722668"/>
    <w:rsid w:val="007248A0"/>
    <w:rsid w:val="007257D8"/>
    <w:rsid w:val="00725B06"/>
    <w:rsid w:val="00725E79"/>
    <w:rsid w:val="00725EC5"/>
    <w:rsid w:val="0072692C"/>
    <w:rsid w:val="0073297B"/>
    <w:rsid w:val="00732A72"/>
    <w:rsid w:val="0073317E"/>
    <w:rsid w:val="00733219"/>
    <w:rsid w:val="00734AEE"/>
    <w:rsid w:val="00734B48"/>
    <w:rsid w:val="0073507F"/>
    <w:rsid w:val="0073515D"/>
    <w:rsid w:val="0073519E"/>
    <w:rsid w:val="00735CD7"/>
    <w:rsid w:val="007361C7"/>
    <w:rsid w:val="00736AF9"/>
    <w:rsid w:val="00736D9B"/>
    <w:rsid w:val="007372C3"/>
    <w:rsid w:val="0074068C"/>
    <w:rsid w:val="00740938"/>
    <w:rsid w:val="00740E3B"/>
    <w:rsid w:val="00740E8B"/>
    <w:rsid w:val="00741D5E"/>
    <w:rsid w:val="00741F53"/>
    <w:rsid w:val="007429A3"/>
    <w:rsid w:val="00745423"/>
    <w:rsid w:val="00746867"/>
    <w:rsid w:val="007471AB"/>
    <w:rsid w:val="0074752A"/>
    <w:rsid w:val="00747E18"/>
    <w:rsid w:val="00747FB2"/>
    <w:rsid w:val="00750652"/>
    <w:rsid w:val="0075092A"/>
    <w:rsid w:val="0075188F"/>
    <w:rsid w:val="007526F0"/>
    <w:rsid w:val="007532C1"/>
    <w:rsid w:val="00753765"/>
    <w:rsid w:val="00754034"/>
    <w:rsid w:val="007543A6"/>
    <w:rsid w:val="00754BF1"/>
    <w:rsid w:val="00755A30"/>
    <w:rsid w:val="00755E1C"/>
    <w:rsid w:val="0075604F"/>
    <w:rsid w:val="00756167"/>
    <w:rsid w:val="0075622F"/>
    <w:rsid w:val="00756556"/>
    <w:rsid w:val="00757986"/>
    <w:rsid w:val="0076054F"/>
    <w:rsid w:val="0076061B"/>
    <w:rsid w:val="007607B1"/>
    <w:rsid w:val="0076125C"/>
    <w:rsid w:val="0076132B"/>
    <w:rsid w:val="00761E73"/>
    <w:rsid w:val="007623AE"/>
    <w:rsid w:val="00762ABA"/>
    <w:rsid w:val="007638F2"/>
    <w:rsid w:val="0076437B"/>
    <w:rsid w:val="00764E8E"/>
    <w:rsid w:val="007651BC"/>
    <w:rsid w:val="00765462"/>
    <w:rsid w:val="0076576A"/>
    <w:rsid w:val="00765E2E"/>
    <w:rsid w:val="007667B5"/>
    <w:rsid w:val="00766807"/>
    <w:rsid w:val="00766F08"/>
    <w:rsid w:val="007675C2"/>
    <w:rsid w:val="007679CA"/>
    <w:rsid w:val="00770B19"/>
    <w:rsid w:val="00771235"/>
    <w:rsid w:val="0077161E"/>
    <w:rsid w:val="0077185E"/>
    <w:rsid w:val="0077187B"/>
    <w:rsid w:val="00771A5B"/>
    <w:rsid w:val="00772548"/>
    <w:rsid w:val="007727DB"/>
    <w:rsid w:val="007729E6"/>
    <w:rsid w:val="007733F7"/>
    <w:rsid w:val="007742FA"/>
    <w:rsid w:val="00774FA0"/>
    <w:rsid w:val="00775236"/>
    <w:rsid w:val="007752E4"/>
    <w:rsid w:val="00775528"/>
    <w:rsid w:val="00776620"/>
    <w:rsid w:val="00776CD3"/>
    <w:rsid w:val="00777258"/>
    <w:rsid w:val="00777B6D"/>
    <w:rsid w:val="00777C4E"/>
    <w:rsid w:val="00780102"/>
    <w:rsid w:val="0078039C"/>
    <w:rsid w:val="007807A2"/>
    <w:rsid w:val="00780933"/>
    <w:rsid w:val="00780AAC"/>
    <w:rsid w:val="00780F04"/>
    <w:rsid w:val="007814CB"/>
    <w:rsid w:val="00782555"/>
    <w:rsid w:val="00782C4F"/>
    <w:rsid w:val="00783A84"/>
    <w:rsid w:val="00783AB1"/>
    <w:rsid w:val="00783DC2"/>
    <w:rsid w:val="007843F1"/>
    <w:rsid w:val="00784773"/>
    <w:rsid w:val="00784855"/>
    <w:rsid w:val="00784DCB"/>
    <w:rsid w:val="00784E65"/>
    <w:rsid w:val="00784F39"/>
    <w:rsid w:val="0078545C"/>
    <w:rsid w:val="0078576F"/>
    <w:rsid w:val="007858D1"/>
    <w:rsid w:val="00785CBA"/>
    <w:rsid w:val="007864DD"/>
    <w:rsid w:val="00786553"/>
    <w:rsid w:val="007869D5"/>
    <w:rsid w:val="007878C3"/>
    <w:rsid w:val="007906C4"/>
    <w:rsid w:val="007911A7"/>
    <w:rsid w:val="00792F1B"/>
    <w:rsid w:val="007930FC"/>
    <w:rsid w:val="007936E9"/>
    <w:rsid w:val="00793B06"/>
    <w:rsid w:val="00793ED5"/>
    <w:rsid w:val="007940EA"/>
    <w:rsid w:val="00794294"/>
    <w:rsid w:val="00794D3B"/>
    <w:rsid w:val="007958AB"/>
    <w:rsid w:val="0079645A"/>
    <w:rsid w:val="00796613"/>
    <w:rsid w:val="007967E8"/>
    <w:rsid w:val="00796FF9"/>
    <w:rsid w:val="007970E0"/>
    <w:rsid w:val="007977A1"/>
    <w:rsid w:val="00797EAE"/>
    <w:rsid w:val="007A0C55"/>
    <w:rsid w:val="007A1617"/>
    <w:rsid w:val="007A1B52"/>
    <w:rsid w:val="007A3DA3"/>
    <w:rsid w:val="007A5240"/>
    <w:rsid w:val="007A58EF"/>
    <w:rsid w:val="007A5A60"/>
    <w:rsid w:val="007A616C"/>
    <w:rsid w:val="007A624C"/>
    <w:rsid w:val="007A63F2"/>
    <w:rsid w:val="007A692B"/>
    <w:rsid w:val="007A710A"/>
    <w:rsid w:val="007A715A"/>
    <w:rsid w:val="007B05F9"/>
    <w:rsid w:val="007B0955"/>
    <w:rsid w:val="007B0B08"/>
    <w:rsid w:val="007B0D20"/>
    <w:rsid w:val="007B0EA3"/>
    <w:rsid w:val="007B0F4E"/>
    <w:rsid w:val="007B14A0"/>
    <w:rsid w:val="007B1F5F"/>
    <w:rsid w:val="007B25C7"/>
    <w:rsid w:val="007B2D82"/>
    <w:rsid w:val="007B498A"/>
    <w:rsid w:val="007B50CC"/>
    <w:rsid w:val="007B5C3B"/>
    <w:rsid w:val="007B6168"/>
    <w:rsid w:val="007B64AF"/>
    <w:rsid w:val="007B6550"/>
    <w:rsid w:val="007B68DE"/>
    <w:rsid w:val="007B6C25"/>
    <w:rsid w:val="007B7546"/>
    <w:rsid w:val="007B7FF0"/>
    <w:rsid w:val="007C0901"/>
    <w:rsid w:val="007C0DC5"/>
    <w:rsid w:val="007C1857"/>
    <w:rsid w:val="007C1DD5"/>
    <w:rsid w:val="007C31E8"/>
    <w:rsid w:val="007C325D"/>
    <w:rsid w:val="007C514F"/>
    <w:rsid w:val="007C5163"/>
    <w:rsid w:val="007C519B"/>
    <w:rsid w:val="007C5355"/>
    <w:rsid w:val="007C56F0"/>
    <w:rsid w:val="007C5936"/>
    <w:rsid w:val="007C5B91"/>
    <w:rsid w:val="007C5CC6"/>
    <w:rsid w:val="007C5DF2"/>
    <w:rsid w:val="007C6190"/>
    <w:rsid w:val="007C7371"/>
    <w:rsid w:val="007C739F"/>
    <w:rsid w:val="007D0F95"/>
    <w:rsid w:val="007D153F"/>
    <w:rsid w:val="007D264A"/>
    <w:rsid w:val="007D31DB"/>
    <w:rsid w:val="007D3394"/>
    <w:rsid w:val="007D3A43"/>
    <w:rsid w:val="007D4E61"/>
    <w:rsid w:val="007D57FD"/>
    <w:rsid w:val="007D61E0"/>
    <w:rsid w:val="007D65A3"/>
    <w:rsid w:val="007D65B8"/>
    <w:rsid w:val="007D7C4D"/>
    <w:rsid w:val="007D7ECB"/>
    <w:rsid w:val="007E027D"/>
    <w:rsid w:val="007E060D"/>
    <w:rsid w:val="007E08EA"/>
    <w:rsid w:val="007E1345"/>
    <w:rsid w:val="007E19E1"/>
    <w:rsid w:val="007E25A1"/>
    <w:rsid w:val="007E2FD0"/>
    <w:rsid w:val="007E3323"/>
    <w:rsid w:val="007E3534"/>
    <w:rsid w:val="007E36B6"/>
    <w:rsid w:val="007E394E"/>
    <w:rsid w:val="007E40C8"/>
    <w:rsid w:val="007E4BD2"/>
    <w:rsid w:val="007E4CF7"/>
    <w:rsid w:val="007E54B8"/>
    <w:rsid w:val="007E593C"/>
    <w:rsid w:val="007E5AC6"/>
    <w:rsid w:val="007E7145"/>
    <w:rsid w:val="007E7843"/>
    <w:rsid w:val="007F027E"/>
    <w:rsid w:val="007F0721"/>
    <w:rsid w:val="007F0B33"/>
    <w:rsid w:val="007F24D1"/>
    <w:rsid w:val="007F31B4"/>
    <w:rsid w:val="007F3612"/>
    <w:rsid w:val="007F3916"/>
    <w:rsid w:val="007F41E4"/>
    <w:rsid w:val="007F45BD"/>
    <w:rsid w:val="007F4DAE"/>
    <w:rsid w:val="007F527F"/>
    <w:rsid w:val="007F5790"/>
    <w:rsid w:val="007F7516"/>
    <w:rsid w:val="007F75A0"/>
    <w:rsid w:val="007F76DA"/>
    <w:rsid w:val="0080029F"/>
    <w:rsid w:val="0080085E"/>
    <w:rsid w:val="0080086A"/>
    <w:rsid w:val="00801179"/>
    <w:rsid w:val="00801605"/>
    <w:rsid w:val="00801A3B"/>
    <w:rsid w:val="00802479"/>
    <w:rsid w:val="008025E4"/>
    <w:rsid w:val="008027C8"/>
    <w:rsid w:val="00802B3D"/>
    <w:rsid w:val="00802CCB"/>
    <w:rsid w:val="00802E5B"/>
    <w:rsid w:val="00802F1F"/>
    <w:rsid w:val="00803153"/>
    <w:rsid w:val="008036EE"/>
    <w:rsid w:val="00805372"/>
    <w:rsid w:val="00805671"/>
    <w:rsid w:val="008056EE"/>
    <w:rsid w:val="00805B7B"/>
    <w:rsid w:val="00806ACA"/>
    <w:rsid w:val="008077A5"/>
    <w:rsid w:val="00807DEF"/>
    <w:rsid w:val="008101A5"/>
    <w:rsid w:val="00810FCE"/>
    <w:rsid w:val="008119B3"/>
    <w:rsid w:val="00812553"/>
    <w:rsid w:val="0081258F"/>
    <w:rsid w:val="0081282F"/>
    <w:rsid w:val="0081293E"/>
    <w:rsid w:val="0081318F"/>
    <w:rsid w:val="008144AE"/>
    <w:rsid w:val="00814E9A"/>
    <w:rsid w:val="00814F3D"/>
    <w:rsid w:val="00814FFB"/>
    <w:rsid w:val="00815389"/>
    <w:rsid w:val="008153E7"/>
    <w:rsid w:val="008153FC"/>
    <w:rsid w:val="008159F7"/>
    <w:rsid w:val="00815A67"/>
    <w:rsid w:val="00816D08"/>
    <w:rsid w:val="00816FC6"/>
    <w:rsid w:val="008171E9"/>
    <w:rsid w:val="0081750B"/>
    <w:rsid w:val="00820568"/>
    <w:rsid w:val="00820692"/>
    <w:rsid w:val="00820F52"/>
    <w:rsid w:val="0082133C"/>
    <w:rsid w:val="00821E83"/>
    <w:rsid w:val="00822062"/>
    <w:rsid w:val="00822563"/>
    <w:rsid w:val="008234F0"/>
    <w:rsid w:val="008243FD"/>
    <w:rsid w:val="00824FC7"/>
    <w:rsid w:val="00824FDB"/>
    <w:rsid w:val="00825841"/>
    <w:rsid w:val="00825D7E"/>
    <w:rsid w:val="008277C8"/>
    <w:rsid w:val="00827983"/>
    <w:rsid w:val="00827B4B"/>
    <w:rsid w:val="00827F4F"/>
    <w:rsid w:val="00827FCF"/>
    <w:rsid w:val="00830955"/>
    <w:rsid w:val="00830FBA"/>
    <w:rsid w:val="008311A8"/>
    <w:rsid w:val="008312B4"/>
    <w:rsid w:val="00831A80"/>
    <w:rsid w:val="00831BE4"/>
    <w:rsid w:val="00832161"/>
    <w:rsid w:val="00832813"/>
    <w:rsid w:val="008332B6"/>
    <w:rsid w:val="008332C8"/>
    <w:rsid w:val="00833743"/>
    <w:rsid w:val="008340A4"/>
    <w:rsid w:val="008342F0"/>
    <w:rsid w:val="0083441A"/>
    <w:rsid w:val="008344FB"/>
    <w:rsid w:val="00835361"/>
    <w:rsid w:val="00835395"/>
    <w:rsid w:val="00836007"/>
    <w:rsid w:val="00836799"/>
    <w:rsid w:val="00836FC9"/>
    <w:rsid w:val="00837028"/>
    <w:rsid w:val="00837131"/>
    <w:rsid w:val="0083755E"/>
    <w:rsid w:val="008377ED"/>
    <w:rsid w:val="00837BB5"/>
    <w:rsid w:val="00837D15"/>
    <w:rsid w:val="008407B1"/>
    <w:rsid w:val="00840B8E"/>
    <w:rsid w:val="00841F90"/>
    <w:rsid w:val="008422D7"/>
    <w:rsid w:val="0084281E"/>
    <w:rsid w:val="00842CE4"/>
    <w:rsid w:val="00843214"/>
    <w:rsid w:val="008437AA"/>
    <w:rsid w:val="008438D5"/>
    <w:rsid w:val="00843F7D"/>
    <w:rsid w:val="0084441A"/>
    <w:rsid w:val="00845644"/>
    <w:rsid w:val="00845EEB"/>
    <w:rsid w:val="00845F57"/>
    <w:rsid w:val="008463BF"/>
    <w:rsid w:val="0084640B"/>
    <w:rsid w:val="008467F6"/>
    <w:rsid w:val="008508D9"/>
    <w:rsid w:val="0085156A"/>
    <w:rsid w:val="008518D8"/>
    <w:rsid w:val="00851F5C"/>
    <w:rsid w:val="008521E0"/>
    <w:rsid w:val="008525B0"/>
    <w:rsid w:val="00852AD3"/>
    <w:rsid w:val="00853BE3"/>
    <w:rsid w:val="0085435C"/>
    <w:rsid w:val="0085489F"/>
    <w:rsid w:val="0085539B"/>
    <w:rsid w:val="008553B2"/>
    <w:rsid w:val="00856120"/>
    <w:rsid w:val="00856415"/>
    <w:rsid w:val="00856F24"/>
    <w:rsid w:val="008600A4"/>
    <w:rsid w:val="008600D8"/>
    <w:rsid w:val="008607E1"/>
    <w:rsid w:val="0086097B"/>
    <w:rsid w:val="00860DF3"/>
    <w:rsid w:val="00861A02"/>
    <w:rsid w:val="0086234C"/>
    <w:rsid w:val="0086236F"/>
    <w:rsid w:val="00862C76"/>
    <w:rsid w:val="00862DBD"/>
    <w:rsid w:val="00864509"/>
    <w:rsid w:val="00864CE4"/>
    <w:rsid w:val="00866519"/>
    <w:rsid w:val="00866B63"/>
    <w:rsid w:val="00867464"/>
    <w:rsid w:val="00867B5B"/>
    <w:rsid w:val="00867CBC"/>
    <w:rsid w:val="00870E10"/>
    <w:rsid w:val="00871914"/>
    <w:rsid w:val="00871AAB"/>
    <w:rsid w:val="0087252F"/>
    <w:rsid w:val="0087324D"/>
    <w:rsid w:val="0087376B"/>
    <w:rsid w:val="00873FC6"/>
    <w:rsid w:val="00874778"/>
    <w:rsid w:val="00876C30"/>
    <w:rsid w:val="00877017"/>
    <w:rsid w:val="00877168"/>
    <w:rsid w:val="008773C0"/>
    <w:rsid w:val="008775A0"/>
    <w:rsid w:val="00880364"/>
    <w:rsid w:val="00880AA1"/>
    <w:rsid w:val="00880D97"/>
    <w:rsid w:val="00880E63"/>
    <w:rsid w:val="00881036"/>
    <w:rsid w:val="008812E6"/>
    <w:rsid w:val="00882101"/>
    <w:rsid w:val="0088220F"/>
    <w:rsid w:val="0088277F"/>
    <w:rsid w:val="00884596"/>
    <w:rsid w:val="00884BCB"/>
    <w:rsid w:val="00885630"/>
    <w:rsid w:val="008856AA"/>
    <w:rsid w:val="008859E2"/>
    <w:rsid w:val="00886A92"/>
    <w:rsid w:val="00886C4C"/>
    <w:rsid w:val="00886E84"/>
    <w:rsid w:val="0088711C"/>
    <w:rsid w:val="00887A6B"/>
    <w:rsid w:val="00887E05"/>
    <w:rsid w:val="00887EB1"/>
    <w:rsid w:val="00890887"/>
    <w:rsid w:val="00890AA6"/>
    <w:rsid w:val="008914C8"/>
    <w:rsid w:val="00891585"/>
    <w:rsid w:val="00891896"/>
    <w:rsid w:val="008919F8"/>
    <w:rsid w:val="00892849"/>
    <w:rsid w:val="008928C1"/>
    <w:rsid w:val="008929EA"/>
    <w:rsid w:val="00892ECF"/>
    <w:rsid w:val="00892F06"/>
    <w:rsid w:val="0089364A"/>
    <w:rsid w:val="008936C3"/>
    <w:rsid w:val="00894285"/>
    <w:rsid w:val="00894377"/>
    <w:rsid w:val="00894484"/>
    <w:rsid w:val="008944BB"/>
    <w:rsid w:val="0089456A"/>
    <w:rsid w:val="008945A6"/>
    <w:rsid w:val="00896F35"/>
    <w:rsid w:val="008970F8"/>
    <w:rsid w:val="00897B8E"/>
    <w:rsid w:val="008A0038"/>
    <w:rsid w:val="008A1479"/>
    <w:rsid w:val="008A14DD"/>
    <w:rsid w:val="008A2150"/>
    <w:rsid w:val="008A25E4"/>
    <w:rsid w:val="008A27C5"/>
    <w:rsid w:val="008A2825"/>
    <w:rsid w:val="008A2ED7"/>
    <w:rsid w:val="008A322C"/>
    <w:rsid w:val="008A40AE"/>
    <w:rsid w:val="008A4E19"/>
    <w:rsid w:val="008A5078"/>
    <w:rsid w:val="008A60B4"/>
    <w:rsid w:val="008A6420"/>
    <w:rsid w:val="008A67C5"/>
    <w:rsid w:val="008A75D6"/>
    <w:rsid w:val="008A7FBE"/>
    <w:rsid w:val="008B0809"/>
    <w:rsid w:val="008B14A3"/>
    <w:rsid w:val="008B191A"/>
    <w:rsid w:val="008B22E1"/>
    <w:rsid w:val="008B23F6"/>
    <w:rsid w:val="008B31CC"/>
    <w:rsid w:val="008B3A55"/>
    <w:rsid w:val="008B3C78"/>
    <w:rsid w:val="008B3D67"/>
    <w:rsid w:val="008B4412"/>
    <w:rsid w:val="008B4AE9"/>
    <w:rsid w:val="008B4AF9"/>
    <w:rsid w:val="008B73E5"/>
    <w:rsid w:val="008B78A7"/>
    <w:rsid w:val="008C06B7"/>
    <w:rsid w:val="008C0715"/>
    <w:rsid w:val="008C1594"/>
    <w:rsid w:val="008C1B09"/>
    <w:rsid w:val="008C1B5F"/>
    <w:rsid w:val="008C2068"/>
    <w:rsid w:val="008C20B3"/>
    <w:rsid w:val="008C2160"/>
    <w:rsid w:val="008C2BB7"/>
    <w:rsid w:val="008C2BCC"/>
    <w:rsid w:val="008C2C3E"/>
    <w:rsid w:val="008C30AD"/>
    <w:rsid w:val="008C3DD9"/>
    <w:rsid w:val="008C5084"/>
    <w:rsid w:val="008C569E"/>
    <w:rsid w:val="008C619F"/>
    <w:rsid w:val="008C79E8"/>
    <w:rsid w:val="008C7A2A"/>
    <w:rsid w:val="008C7B08"/>
    <w:rsid w:val="008C7B45"/>
    <w:rsid w:val="008C7DFF"/>
    <w:rsid w:val="008D02D2"/>
    <w:rsid w:val="008D068E"/>
    <w:rsid w:val="008D0F7A"/>
    <w:rsid w:val="008D1E1F"/>
    <w:rsid w:val="008D3FF9"/>
    <w:rsid w:val="008D43DE"/>
    <w:rsid w:val="008D4475"/>
    <w:rsid w:val="008D5066"/>
    <w:rsid w:val="008D5187"/>
    <w:rsid w:val="008D59E8"/>
    <w:rsid w:val="008D5E3B"/>
    <w:rsid w:val="008D6176"/>
    <w:rsid w:val="008D63BE"/>
    <w:rsid w:val="008D7576"/>
    <w:rsid w:val="008E0CFF"/>
    <w:rsid w:val="008E198F"/>
    <w:rsid w:val="008E1CB4"/>
    <w:rsid w:val="008E40AB"/>
    <w:rsid w:val="008E4225"/>
    <w:rsid w:val="008E46FD"/>
    <w:rsid w:val="008E5D6B"/>
    <w:rsid w:val="008E60AE"/>
    <w:rsid w:val="008E689B"/>
    <w:rsid w:val="008E68FF"/>
    <w:rsid w:val="008E6B50"/>
    <w:rsid w:val="008E6D8D"/>
    <w:rsid w:val="008E7607"/>
    <w:rsid w:val="008E76F0"/>
    <w:rsid w:val="008F1320"/>
    <w:rsid w:val="008F15FE"/>
    <w:rsid w:val="008F1A46"/>
    <w:rsid w:val="008F1E23"/>
    <w:rsid w:val="008F25AB"/>
    <w:rsid w:val="008F2A94"/>
    <w:rsid w:val="008F2D88"/>
    <w:rsid w:val="008F31B6"/>
    <w:rsid w:val="008F37D0"/>
    <w:rsid w:val="008F3DDD"/>
    <w:rsid w:val="008F3F28"/>
    <w:rsid w:val="008F4046"/>
    <w:rsid w:val="008F456F"/>
    <w:rsid w:val="008F4A3C"/>
    <w:rsid w:val="008F5187"/>
    <w:rsid w:val="008F54EC"/>
    <w:rsid w:val="008F634E"/>
    <w:rsid w:val="008F6E21"/>
    <w:rsid w:val="008F709C"/>
    <w:rsid w:val="008F7293"/>
    <w:rsid w:val="008F78E6"/>
    <w:rsid w:val="008F7948"/>
    <w:rsid w:val="008F7F91"/>
    <w:rsid w:val="009000C1"/>
    <w:rsid w:val="009004F5"/>
    <w:rsid w:val="009006D2"/>
    <w:rsid w:val="00900D95"/>
    <w:rsid w:val="00900E40"/>
    <w:rsid w:val="00901074"/>
    <w:rsid w:val="0090152A"/>
    <w:rsid w:val="00901ABE"/>
    <w:rsid w:val="00901E56"/>
    <w:rsid w:val="00902001"/>
    <w:rsid w:val="0090247D"/>
    <w:rsid w:val="00902741"/>
    <w:rsid w:val="00902947"/>
    <w:rsid w:val="0090312B"/>
    <w:rsid w:val="009035B9"/>
    <w:rsid w:val="00904961"/>
    <w:rsid w:val="009051FE"/>
    <w:rsid w:val="00905E3A"/>
    <w:rsid w:val="0090638C"/>
    <w:rsid w:val="00906497"/>
    <w:rsid w:val="00906723"/>
    <w:rsid w:val="009067CD"/>
    <w:rsid w:val="009076D8"/>
    <w:rsid w:val="00907773"/>
    <w:rsid w:val="009111D4"/>
    <w:rsid w:val="00911B86"/>
    <w:rsid w:val="00911DEF"/>
    <w:rsid w:val="00913C97"/>
    <w:rsid w:val="009141C9"/>
    <w:rsid w:val="0091420E"/>
    <w:rsid w:val="0091437C"/>
    <w:rsid w:val="00915DAE"/>
    <w:rsid w:val="00916863"/>
    <w:rsid w:val="00917209"/>
    <w:rsid w:val="0091736D"/>
    <w:rsid w:val="0092059D"/>
    <w:rsid w:val="0092084D"/>
    <w:rsid w:val="009210A1"/>
    <w:rsid w:val="00921207"/>
    <w:rsid w:val="00921BDD"/>
    <w:rsid w:val="00922221"/>
    <w:rsid w:val="009226B3"/>
    <w:rsid w:val="00925725"/>
    <w:rsid w:val="00925E9F"/>
    <w:rsid w:val="00930A4B"/>
    <w:rsid w:val="00931001"/>
    <w:rsid w:val="00931140"/>
    <w:rsid w:val="00931418"/>
    <w:rsid w:val="00931863"/>
    <w:rsid w:val="00932A02"/>
    <w:rsid w:val="00932E61"/>
    <w:rsid w:val="00933524"/>
    <w:rsid w:val="00933BB8"/>
    <w:rsid w:val="00934286"/>
    <w:rsid w:val="009345EE"/>
    <w:rsid w:val="00935156"/>
    <w:rsid w:val="009351B9"/>
    <w:rsid w:val="00935C39"/>
    <w:rsid w:val="00935C3B"/>
    <w:rsid w:val="00936051"/>
    <w:rsid w:val="00937B3F"/>
    <w:rsid w:val="0094070E"/>
    <w:rsid w:val="0094162A"/>
    <w:rsid w:val="00941FDB"/>
    <w:rsid w:val="0094278D"/>
    <w:rsid w:val="00942876"/>
    <w:rsid w:val="009429F0"/>
    <w:rsid w:val="00942C83"/>
    <w:rsid w:val="00942CF5"/>
    <w:rsid w:val="00943587"/>
    <w:rsid w:val="00944245"/>
    <w:rsid w:val="00944E02"/>
    <w:rsid w:val="00945016"/>
    <w:rsid w:val="009450B5"/>
    <w:rsid w:val="00945460"/>
    <w:rsid w:val="00945706"/>
    <w:rsid w:val="0094590A"/>
    <w:rsid w:val="00945B19"/>
    <w:rsid w:val="00945E87"/>
    <w:rsid w:val="00946362"/>
    <w:rsid w:val="00947BE3"/>
    <w:rsid w:val="009501FD"/>
    <w:rsid w:val="00951486"/>
    <w:rsid w:val="00951D27"/>
    <w:rsid w:val="00952168"/>
    <w:rsid w:val="00952D00"/>
    <w:rsid w:val="0095308A"/>
    <w:rsid w:val="009536E7"/>
    <w:rsid w:val="00954588"/>
    <w:rsid w:val="009550CE"/>
    <w:rsid w:val="009554C9"/>
    <w:rsid w:val="00955AEE"/>
    <w:rsid w:val="00955BB5"/>
    <w:rsid w:val="00955C14"/>
    <w:rsid w:val="00956045"/>
    <w:rsid w:val="00956A0F"/>
    <w:rsid w:val="00956F14"/>
    <w:rsid w:val="00956FF5"/>
    <w:rsid w:val="0095722C"/>
    <w:rsid w:val="00961096"/>
    <w:rsid w:val="00961468"/>
    <w:rsid w:val="009620FD"/>
    <w:rsid w:val="0096247A"/>
    <w:rsid w:val="00962988"/>
    <w:rsid w:val="0096331C"/>
    <w:rsid w:val="00964BFC"/>
    <w:rsid w:val="00964F01"/>
    <w:rsid w:val="00964F82"/>
    <w:rsid w:val="00965E8F"/>
    <w:rsid w:val="00965F4B"/>
    <w:rsid w:val="00965FD2"/>
    <w:rsid w:val="00966486"/>
    <w:rsid w:val="009669CE"/>
    <w:rsid w:val="00967A1C"/>
    <w:rsid w:val="0097015B"/>
    <w:rsid w:val="00970607"/>
    <w:rsid w:val="0097087E"/>
    <w:rsid w:val="00970E14"/>
    <w:rsid w:val="00970F8A"/>
    <w:rsid w:val="00971AFE"/>
    <w:rsid w:val="00971FB5"/>
    <w:rsid w:val="009729F3"/>
    <w:rsid w:val="00972B04"/>
    <w:rsid w:val="00972D2A"/>
    <w:rsid w:val="009733CE"/>
    <w:rsid w:val="009737BF"/>
    <w:rsid w:val="00974D29"/>
    <w:rsid w:val="009752F2"/>
    <w:rsid w:val="00975CC5"/>
    <w:rsid w:val="00976328"/>
    <w:rsid w:val="00976B4A"/>
    <w:rsid w:val="00976B4E"/>
    <w:rsid w:val="00976E49"/>
    <w:rsid w:val="009772C2"/>
    <w:rsid w:val="00977CF9"/>
    <w:rsid w:val="00980603"/>
    <w:rsid w:val="0098081B"/>
    <w:rsid w:val="009816AB"/>
    <w:rsid w:val="0098193E"/>
    <w:rsid w:val="00981ACA"/>
    <w:rsid w:val="00982102"/>
    <w:rsid w:val="00982AFF"/>
    <w:rsid w:val="00982C8A"/>
    <w:rsid w:val="00982E37"/>
    <w:rsid w:val="0098383A"/>
    <w:rsid w:val="00984458"/>
    <w:rsid w:val="0098516D"/>
    <w:rsid w:val="00985283"/>
    <w:rsid w:val="00985B00"/>
    <w:rsid w:val="0098652D"/>
    <w:rsid w:val="0098678D"/>
    <w:rsid w:val="00986BC5"/>
    <w:rsid w:val="00987322"/>
    <w:rsid w:val="0098739A"/>
    <w:rsid w:val="009874FA"/>
    <w:rsid w:val="009904EA"/>
    <w:rsid w:val="00990701"/>
    <w:rsid w:val="0099091B"/>
    <w:rsid w:val="00990F9C"/>
    <w:rsid w:val="00991947"/>
    <w:rsid w:val="00991C63"/>
    <w:rsid w:val="00991E73"/>
    <w:rsid w:val="00991F32"/>
    <w:rsid w:val="0099227D"/>
    <w:rsid w:val="009924AF"/>
    <w:rsid w:val="00992F7F"/>
    <w:rsid w:val="00993D11"/>
    <w:rsid w:val="0099462D"/>
    <w:rsid w:val="009947CD"/>
    <w:rsid w:val="009948A5"/>
    <w:rsid w:val="00994AAE"/>
    <w:rsid w:val="00996A80"/>
    <w:rsid w:val="009974C2"/>
    <w:rsid w:val="009974F4"/>
    <w:rsid w:val="00997780"/>
    <w:rsid w:val="00997822"/>
    <w:rsid w:val="00997C58"/>
    <w:rsid w:val="009A0259"/>
    <w:rsid w:val="009A0CEA"/>
    <w:rsid w:val="009A0F3B"/>
    <w:rsid w:val="009A1856"/>
    <w:rsid w:val="009A2593"/>
    <w:rsid w:val="009A2661"/>
    <w:rsid w:val="009A3540"/>
    <w:rsid w:val="009A3E1D"/>
    <w:rsid w:val="009A4020"/>
    <w:rsid w:val="009A4040"/>
    <w:rsid w:val="009A4A6D"/>
    <w:rsid w:val="009A4C15"/>
    <w:rsid w:val="009A4EA2"/>
    <w:rsid w:val="009A4F9A"/>
    <w:rsid w:val="009A50EA"/>
    <w:rsid w:val="009A72C7"/>
    <w:rsid w:val="009A78C0"/>
    <w:rsid w:val="009B0897"/>
    <w:rsid w:val="009B0C6B"/>
    <w:rsid w:val="009B142A"/>
    <w:rsid w:val="009B167C"/>
    <w:rsid w:val="009B2021"/>
    <w:rsid w:val="009B22B0"/>
    <w:rsid w:val="009B2E01"/>
    <w:rsid w:val="009B2FFB"/>
    <w:rsid w:val="009B315D"/>
    <w:rsid w:val="009B3CAD"/>
    <w:rsid w:val="009B4418"/>
    <w:rsid w:val="009B5A13"/>
    <w:rsid w:val="009B5AD6"/>
    <w:rsid w:val="009B5F29"/>
    <w:rsid w:val="009B681B"/>
    <w:rsid w:val="009B68B5"/>
    <w:rsid w:val="009B7003"/>
    <w:rsid w:val="009B701B"/>
    <w:rsid w:val="009C0AF4"/>
    <w:rsid w:val="009C1393"/>
    <w:rsid w:val="009C15E1"/>
    <w:rsid w:val="009C19F4"/>
    <w:rsid w:val="009C1EAA"/>
    <w:rsid w:val="009C3F20"/>
    <w:rsid w:val="009C4186"/>
    <w:rsid w:val="009C4662"/>
    <w:rsid w:val="009C4889"/>
    <w:rsid w:val="009C4895"/>
    <w:rsid w:val="009C4D5C"/>
    <w:rsid w:val="009C4EEF"/>
    <w:rsid w:val="009C5F4A"/>
    <w:rsid w:val="009C6933"/>
    <w:rsid w:val="009C6C44"/>
    <w:rsid w:val="009C6D7B"/>
    <w:rsid w:val="009C7041"/>
    <w:rsid w:val="009D02F6"/>
    <w:rsid w:val="009D0416"/>
    <w:rsid w:val="009D0852"/>
    <w:rsid w:val="009D1FBF"/>
    <w:rsid w:val="009D2B28"/>
    <w:rsid w:val="009D2DA4"/>
    <w:rsid w:val="009D31C1"/>
    <w:rsid w:val="009D45DE"/>
    <w:rsid w:val="009D50CB"/>
    <w:rsid w:val="009D5813"/>
    <w:rsid w:val="009D621D"/>
    <w:rsid w:val="009D6C42"/>
    <w:rsid w:val="009E0438"/>
    <w:rsid w:val="009E123A"/>
    <w:rsid w:val="009E15F6"/>
    <w:rsid w:val="009E16DF"/>
    <w:rsid w:val="009E1C2A"/>
    <w:rsid w:val="009E1EB5"/>
    <w:rsid w:val="009E2082"/>
    <w:rsid w:val="009E29E3"/>
    <w:rsid w:val="009E2A9C"/>
    <w:rsid w:val="009E3115"/>
    <w:rsid w:val="009E356C"/>
    <w:rsid w:val="009E399C"/>
    <w:rsid w:val="009E3B4C"/>
    <w:rsid w:val="009E3C06"/>
    <w:rsid w:val="009E3C4C"/>
    <w:rsid w:val="009E43C1"/>
    <w:rsid w:val="009E4CFF"/>
    <w:rsid w:val="009E5187"/>
    <w:rsid w:val="009E59A8"/>
    <w:rsid w:val="009E5B81"/>
    <w:rsid w:val="009E6363"/>
    <w:rsid w:val="009E64D0"/>
    <w:rsid w:val="009E6D39"/>
    <w:rsid w:val="009E7D70"/>
    <w:rsid w:val="009E7E95"/>
    <w:rsid w:val="009F116F"/>
    <w:rsid w:val="009F1B1F"/>
    <w:rsid w:val="009F1DDD"/>
    <w:rsid w:val="009F204D"/>
    <w:rsid w:val="009F3174"/>
    <w:rsid w:val="009F329E"/>
    <w:rsid w:val="009F36D6"/>
    <w:rsid w:val="009F5697"/>
    <w:rsid w:val="009F66DE"/>
    <w:rsid w:val="009F67BC"/>
    <w:rsid w:val="009F7B92"/>
    <w:rsid w:val="009F7ED3"/>
    <w:rsid w:val="00A002BE"/>
    <w:rsid w:val="00A0039B"/>
    <w:rsid w:val="00A008A0"/>
    <w:rsid w:val="00A00D25"/>
    <w:rsid w:val="00A00F4B"/>
    <w:rsid w:val="00A022F2"/>
    <w:rsid w:val="00A02799"/>
    <w:rsid w:val="00A029B1"/>
    <w:rsid w:val="00A03607"/>
    <w:rsid w:val="00A042F6"/>
    <w:rsid w:val="00A04709"/>
    <w:rsid w:val="00A047FF"/>
    <w:rsid w:val="00A04FEF"/>
    <w:rsid w:val="00A050B8"/>
    <w:rsid w:val="00A05461"/>
    <w:rsid w:val="00A054FA"/>
    <w:rsid w:val="00A06569"/>
    <w:rsid w:val="00A06919"/>
    <w:rsid w:val="00A06CE1"/>
    <w:rsid w:val="00A0732B"/>
    <w:rsid w:val="00A0746D"/>
    <w:rsid w:val="00A07D61"/>
    <w:rsid w:val="00A10739"/>
    <w:rsid w:val="00A1074F"/>
    <w:rsid w:val="00A10E7E"/>
    <w:rsid w:val="00A1164C"/>
    <w:rsid w:val="00A11EEC"/>
    <w:rsid w:val="00A122A7"/>
    <w:rsid w:val="00A122CD"/>
    <w:rsid w:val="00A12A0A"/>
    <w:rsid w:val="00A12A32"/>
    <w:rsid w:val="00A12C71"/>
    <w:rsid w:val="00A1305A"/>
    <w:rsid w:val="00A1355C"/>
    <w:rsid w:val="00A13B40"/>
    <w:rsid w:val="00A14248"/>
    <w:rsid w:val="00A14947"/>
    <w:rsid w:val="00A14DDE"/>
    <w:rsid w:val="00A1533A"/>
    <w:rsid w:val="00A15926"/>
    <w:rsid w:val="00A164A1"/>
    <w:rsid w:val="00A16DEF"/>
    <w:rsid w:val="00A1715F"/>
    <w:rsid w:val="00A173BB"/>
    <w:rsid w:val="00A17E38"/>
    <w:rsid w:val="00A202F4"/>
    <w:rsid w:val="00A203C1"/>
    <w:rsid w:val="00A20D47"/>
    <w:rsid w:val="00A21A13"/>
    <w:rsid w:val="00A21B93"/>
    <w:rsid w:val="00A22AFD"/>
    <w:rsid w:val="00A23103"/>
    <w:rsid w:val="00A237C7"/>
    <w:rsid w:val="00A23A03"/>
    <w:rsid w:val="00A23DC5"/>
    <w:rsid w:val="00A240E3"/>
    <w:rsid w:val="00A24430"/>
    <w:rsid w:val="00A247D5"/>
    <w:rsid w:val="00A253A5"/>
    <w:rsid w:val="00A253E2"/>
    <w:rsid w:val="00A266ED"/>
    <w:rsid w:val="00A26753"/>
    <w:rsid w:val="00A2745E"/>
    <w:rsid w:val="00A302E3"/>
    <w:rsid w:val="00A3061C"/>
    <w:rsid w:val="00A30F2B"/>
    <w:rsid w:val="00A312DD"/>
    <w:rsid w:val="00A313FB"/>
    <w:rsid w:val="00A3251C"/>
    <w:rsid w:val="00A32B1E"/>
    <w:rsid w:val="00A331FB"/>
    <w:rsid w:val="00A338D0"/>
    <w:rsid w:val="00A33999"/>
    <w:rsid w:val="00A33B9E"/>
    <w:rsid w:val="00A33DCB"/>
    <w:rsid w:val="00A34028"/>
    <w:rsid w:val="00A34B31"/>
    <w:rsid w:val="00A35568"/>
    <w:rsid w:val="00A35F31"/>
    <w:rsid w:val="00A35F92"/>
    <w:rsid w:val="00A35F9B"/>
    <w:rsid w:val="00A37056"/>
    <w:rsid w:val="00A4000A"/>
    <w:rsid w:val="00A4020D"/>
    <w:rsid w:val="00A4114A"/>
    <w:rsid w:val="00A4164A"/>
    <w:rsid w:val="00A4358F"/>
    <w:rsid w:val="00A439C0"/>
    <w:rsid w:val="00A442A4"/>
    <w:rsid w:val="00A445B6"/>
    <w:rsid w:val="00A44D44"/>
    <w:rsid w:val="00A44F3B"/>
    <w:rsid w:val="00A4538C"/>
    <w:rsid w:val="00A45D81"/>
    <w:rsid w:val="00A4629C"/>
    <w:rsid w:val="00A46315"/>
    <w:rsid w:val="00A46F67"/>
    <w:rsid w:val="00A4701D"/>
    <w:rsid w:val="00A478B6"/>
    <w:rsid w:val="00A47D8B"/>
    <w:rsid w:val="00A47F40"/>
    <w:rsid w:val="00A50809"/>
    <w:rsid w:val="00A5140D"/>
    <w:rsid w:val="00A5142C"/>
    <w:rsid w:val="00A52027"/>
    <w:rsid w:val="00A538BE"/>
    <w:rsid w:val="00A54AA1"/>
    <w:rsid w:val="00A55084"/>
    <w:rsid w:val="00A55136"/>
    <w:rsid w:val="00A55372"/>
    <w:rsid w:val="00A568FF"/>
    <w:rsid w:val="00A56A36"/>
    <w:rsid w:val="00A56AB1"/>
    <w:rsid w:val="00A57088"/>
    <w:rsid w:val="00A57714"/>
    <w:rsid w:val="00A57FB7"/>
    <w:rsid w:val="00A6040F"/>
    <w:rsid w:val="00A61496"/>
    <w:rsid w:val="00A61725"/>
    <w:rsid w:val="00A61833"/>
    <w:rsid w:val="00A624C6"/>
    <w:rsid w:val="00A62631"/>
    <w:rsid w:val="00A62C9B"/>
    <w:rsid w:val="00A6309B"/>
    <w:rsid w:val="00A63809"/>
    <w:rsid w:val="00A63CEC"/>
    <w:rsid w:val="00A65253"/>
    <w:rsid w:val="00A65792"/>
    <w:rsid w:val="00A65C9B"/>
    <w:rsid w:val="00A65DE0"/>
    <w:rsid w:val="00A65F16"/>
    <w:rsid w:val="00A6641F"/>
    <w:rsid w:val="00A66A09"/>
    <w:rsid w:val="00A66A99"/>
    <w:rsid w:val="00A67341"/>
    <w:rsid w:val="00A6771C"/>
    <w:rsid w:val="00A67F4A"/>
    <w:rsid w:val="00A7031E"/>
    <w:rsid w:val="00A70A2E"/>
    <w:rsid w:val="00A70DD8"/>
    <w:rsid w:val="00A7137A"/>
    <w:rsid w:val="00A71D6C"/>
    <w:rsid w:val="00A727F8"/>
    <w:rsid w:val="00A728B1"/>
    <w:rsid w:val="00A72908"/>
    <w:rsid w:val="00A7315A"/>
    <w:rsid w:val="00A736BB"/>
    <w:rsid w:val="00A741D1"/>
    <w:rsid w:val="00A74CB5"/>
    <w:rsid w:val="00A74D24"/>
    <w:rsid w:val="00A752BD"/>
    <w:rsid w:val="00A763DE"/>
    <w:rsid w:val="00A76BF2"/>
    <w:rsid w:val="00A76FF3"/>
    <w:rsid w:val="00A803D6"/>
    <w:rsid w:val="00A804B7"/>
    <w:rsid w:val="00A81282"/>
    <w:rsid w:val="00A81390"/>
    <w:rsid w:val="00A828B6"/>
    <w:rsid w:val="00A82BA9"/>
    <w:rsid w:val="00A82E73"/>
    <w:rsid w:val="00A82F8E"/>
    <w:rsid w:val="00A83709"/>
    <w:rsid w:val="00A8426E"/>
    <w:rsid w:val="00A8438F"/>
    <w:rsid w:val="00A84995"/>
    <w:rsid w:val="00A8528B"/>
    <w:rsid w:val="00A859D2"/>
    <w:rsid w:val="00A862FE"/>
    <w:rsid w:val="00A8643D"/>
    <w:rsid w:val="00A86DA0"/>
    <w:rsid w:val="00A8713F"/>
    <w:rsid w:val="00A87D48"/>
    <w:rsid w:val="00A90DDC"/>
    <w:rsid w:val="00A91167"/>
    <w:rsid w:val="00A912F2"/>
    <w:rsid w:val="00A9171C"/>
    <w:rsid w:val="00A92893"/>
    <w:rsid w:val="00A92A04"/>
    <w:rsid w:val="00A92FFD"/>
    <w:rsid w:val="00A934F8"/>
    <w:rsid w:val="00A93988"/>
    <w:rsid w:val="00A94095"/>
    <w:rsid w:val="00A949DB"/>
    <w:rsid w:val="00A94A55"/>
    <w:rsid w:val="00A95862"/>
    <w:rsid w:val="00A9590A"/>
    <w:rsid w:val="00A95975"/>
    <w:rsid w:val="00A9685B"/>
    <w:rsid w:val="00A96C04"/>
    <w:rsid w:val="00A9708D"/>
    <w:rsid w:val="00A97B3B"/>
    <w:rsid w:val="00A97C8D"/>
    <w:rsid w:val="00AA02D3"/>
    <w:rsid w:val="00AA0899"/>
    <w:rsid w:val="00AA134E"/>
    <w:rsid w:val="00AA1362"/>
    <w:rsid w:val="00AA1880"/>
    <w:rsid w:val="00AA18D0"/>
    <w:rsid w:val="00AA2C17"/>
    <w:rsid w:val="00AA3482"/>
    <w:rsid w:val="00AA3A10"/>
    <w:rsid w:val="00AA3AB4"/>
    <w:rsid w:val="00AA3F1C"/>
    <w:rsid w:val="00AA411D"/>
    <w:rsid w:val="00AA4172"/>
    <w:rsid w:val="00AA4C35"/>
    <w:rsid w:val="00AA55F1"/>
    <w:rsid w:val="00AA5FE8"/>
    <w:rsid w:val="00AA6758"/>
    <w:rsid w:val="00AA7746"/>
    <w:rsid w:val="00AB0008"/>
    <w:rsid w:val="00AB0835"/>
    <w:rsid w:val="00AB08DB"/>
    <w:rsid w:val="00AB1375"/>
    <w:rsid w:val="00AB1876"/>
    <w:rsid w:val="00AB1914"/>
    <w:rsid w:val="00AB1D77"/>
    <w:rsid w:val="00AB1E48"/>
    <w:rsid w:val="00AB222E"/>
    <w:rsid w:val="00AB37DE"/>
    <w:rsid w:val="00AB5330"/>
    <w:rsid w:val="00AB6922"/>
    <w:rsid w:val="00AB6945"/>
    <w:rsid w:val="00AB6D96"/>
    <w:rsid w:val="00AB7747"/>
    <w:rsid w:val="00AB7B66"/>
    <w:rsid w:val="00AC1326"/>
    <w:rsid w:val="00AC142F"/>
    <w:rsid w:val="00AC170E"/>
    <w:rsid w:val="00AC2532"/>
    <w:rsid w:val="00AC25D3"/>
    <w:rsid w:val="00AC3610"/>
    <w:rsid w:val="00AC423A"/>
    <w:rsid w:val="00AC47B8"/>
    <w:rsid w:val="00AC4835"/>
    <w:rsid w:val="00AC490E"/>
    <w:rsid w:val="00AC5B52"/>
    <w:rsid w:val="00AC74A6"/>
    <w:rsid w:val="00AC74AA"/>
    <w:rsid w:val="00AC7692"/>
    <w:rsid w:val="00AC7C3A"/>
    <w:rsid w:val="00AC7DFF"/>
    <w:rsid w:val="00AC7F2F"/>
    <w:rsid w:val="00AD0850"/>
    <w:rsid w:val="00AD0978"/>
    <w:rsid w:val="00AD0D43"/>
    <w:rsid w:val="00AD0FE4"/>
    <w:rsid w:val="00AD1450"/>
    <w:rsid w:val="00AD1488"/>
    <w:rsid w:val="00AD1507"/>
    <w:rsid w:val="00AD1653"/>
    <w:rsid w:val="00AD1862"/>
    <w:rsid w:val="00AD1FE0"/>
    <w:rsid w:val="00AD2058"/>
    <w:rsid w:val="00AD2326"/>
    <w:rsid w:val="00AD349C"/>
    <w:rsid w:val="00AD3C97"/>
    <w:rsid w:val="00AD3CD3"/>
    <w:rsid w:val="00AD4CB3"/>
    <w:rsid w:val="00AD4CEC"/>
    <w:rsid w:val="00AD4EBA"/>
    <w:rsid w:val="00AD53E8"/>
    <w:rsid w:val="00AD5875"/>
    <w:rsid w:val="00AD5A70"/>
    <w:rsid w:val="00AD5B97"/>
    <w:rsid w:val="00AD5DB4"/>
    <w:rsid w:val="00AD634D"/>
    <w:rsid w:val="00AD738B"/>
    <w:rsid w:val="00AD7438"/>
    <w:rsid w:val="00AE046B"/>
    <w:rsid w:val="00AE06E8"/>
    <w:rsid w:val="00AE0E2D"/>
    <w:rsid w:val="00AE13C8"/>
    <w:rsid w:val="00AE1B30"/>
    <w:rsid w:val="00AE1BF4"/>
    <w:rsid w:val="00AE1CE8"/>
    <w:rsid w:val="00AE2D4D"/>
    <w:rsid w:val="00AE39E7"/>
    <w:rsid w:val="00AE45BD"/>
    <w:rsid w:val="00AE4918"/>
    <w:rsid w:val="00AE4ED6"/>
    <w:rsid w:val="00AE50BA"/>
    <w:rsid w:val="00AE551B"/>
    <w:rsid w:val="00AE5D97"/>
    <w:rsid w:val="00AE6794"/>
    <w:rsid w:val="00AF1FDC"/>
    <w:rsid w:val="00AF2496"/>
    <w:rsid w:val="00AF2C5C"/>
    <w:rsid w:val="00AF2DCA"/>
    <w:rsid w:val="00AF2FE2"/>
    <w:rsid w:val="00AF34A9"/>
    <w:rsid w:val="00AF3913"/>
    <w:rsid w:val="00AF4C02"/>
    <w:rsid w:val="00AF4C2F"/>
    <w:rsid w:val="00AF4D05"/>
    <w:rsid w:val="00AF6541"/>
    <w:rsid w:val="00AF76B4"/>
    <w:rsid w:val="00AF7E34"/>
    <w:rsid w:val="00B009A0"/>
    <w:rsid w:val="00B00BD6"/>
    <w:rsid w:val="00B00F52"/>
    <w:rsid w:val="00B00F75"/>
    <w:rsid w:val="00B01110"/>
    <w:rsid w:val="00B016D3"/>
    <w:rsid w:val="00B01B4D"/>
    <w:rsid w:val="00B02128"/>
    <w:rsid w:val="00B0221E"/>
    <w:rsid w:val="00B02262"/>
    <w:rsid w:val="00B022A2"/>
    <w:rsid w:val="00B0252F"/>
    <w:rsid w:val="00B02A0A"/>
    <w:rsid w:val="00B03016"/>
    <w:rsid w:val="00B03BCF"/>
    <w:rsid w:val="00B03CEC"/>
    <w:rsid w:val="00B04546"/>
    <w:rsid w:val="00B04AF4"/>
    <w:rsid w:val="00B04DC8"/>
    <w:rsid w:val="00B059ED"/>
    <w:rsid w:val="00B05A62"/>
    <w:rsid w:val="00B1033D"/>
    <w:rsid w:val="00B11193"/>
    <w:rsid w:val="00B11F0B"/>
    <w:rsid w:val="00B1209F"/>
    <w:rsid w:val="00B12AD0"/>
    <w:rsid w:val="00B12AD6"/>
    <w:rsid w:val="00B138CA"/>
    <w:rsid w:val="00B140F6"/>
    <w:rsid w:val="00B143BC"/>
    <w:rsid w:val="00B14D7A"/>
    <w:rsid w:val="00B14E2F"/>
    <w:rsid w:val="00B15C2C"/>
    <w:rsid w:val="00B161CB"/>
    <w:rsid w:val="00B170FE"/>
    <w:rsid w:val="00B17D64"/>
    <w:rsid w:val="00B17DD1"/>
    <w:rsid w:val="00B21A2C"/>
    <w:rsid w:val="00B2251E"/>
    <w:rsid w:val="00B23034"/>
    <w:rsid w:val="00B232ED"/>
    <w:rsid w:val="00B2343F"/>
    <w:rsid w:val="00B2344B"/>
    <w:rsid w:val="00B23833"/>
    <w:rsid w:val="00B23D30"/>
    <w:rsid w:val="00B241AA"/>
    <w:rsid w:val="00B24B44"/>
    <w:rsid w:val="00B24BA1"/>
    <w:rsid w:val="00B24F30"/>
    <w:rsid w:val="00B25F80"/>
    <w:rsid w:val="00B26304"/>
    <w:rsid w:val="00B27416"/>
    <w:rsid w:val="00B27919"/>
    <w:rsid w:val="00B3149F"/>
    <w:rsid w:val="00B31ABF"/>
    <w:rsid w:val="00B3276C"/>
    <w:rsid w:val="00B3282A"/>
    <w:rsid w:val="00B32935"/>
    <w:rsid w:val="00B329E0"/>
    <w:rsid w:val="00B32BF5"/>
    <w:rsid w:val="00B32CBF"/>
    <w:rsid w:val="00B3342F"/>
    <w:rsid w:val="00B335AE"/>
    <w:rsid w:val="00B336DB"/>
    <w:rsid w:val="00B33B24"/>
    <w:rsid w:val="00B33B6D"/>
    <w:rsid w:val="00B355C5"/>
    <w:rsid w:val="00B360A9"/>
    <w:rsid w:val="00B366F8"/>
    <w:rsid w:val="00B36F7F"/>
    <w:rsid w:val="00B37CE1"/>
    <w:rsid w:val="00B40ACF"/>
    <w:rsid w:val="00B41140"/>
    <w:rsid w:val="00B42659"/>
    <w:rsid w:val="00B42802"/>
    <w:rsid w:val="00B42AC1"/>
    <w:rsid w:val="00B43055"/>
    <w:rsid w:val="00B43663"/>
    <w:rsid w:val="00B44293"/>
    <w:rsid w:val="00B45965"/>
    <w:rsid w:val="00B45A81"/>
    <w:rsid w:val="00B46BAA"/>
    <w:rsid w:val="00B50B5F"/>
    <w:rsid w:val="00B50C0A"/>
    <w:rsid w:val="00B50DE4"/>
    <w:rsid w:val="00B5153D"/>
    <w:rsid w:val="00B51ABB"/>
    <w:rsid w:val="00B51CC2"/>
    <w:rsid w:val="00B52BBE"/>
    <w:rsid w:val="00B52BD5"/>
    <w:rsid w:val="00B53390"/>
    <w:rsid w:val="00B5382E"/>
    <w:rsid w:val="00B53DE7"/>
    <w:rsid w:val="00B54128"/>
    <w:rsid w:val="00B54185"/>
    <w:rsid w:val="00B5470F"/>
    <w:rsid w:val="00B55380"/>
    <w:rsid w:val="00B55826"/>
    <w:rsid w:val="00B55D82"/>
    <w:rsid w:val="00B5653C"/>
    <w:rsid w:val="00B5671B"/>
    <w:rsid w:val="00B5677C"/>
    <w:rsid w:val="00B56B02"/>
    <w:rsid w:val="00B57350"/>
    <w:rsid w:val="00B6009E"/>
    <w:rsid w:val="00B60426"/>
    <w:rsid w:val="00B60E8D"/>
    <w:rsid w:val="00B61228"/>
    <w:rsid w:val="00B61950"/>
    <w:rsid w:val="00B61C7D"/>
    <w:rsid w:val="00B622DD"/>
    <w:rsid w:val="00B6275C"/>
    <w:rsid w:val="00B627D8"/>
    <w:rsid w:val="00B62AA4"/>
    <w:rsid w:val="00B63522"/>
    <w:rsid w:val="00B63899"/>
    <w:rsid w:val="00B639FC"/>
    <w:rsid w:val="00B63AD6"/>
    <w:rsid w:val="00B63DE7"/>
    <w:rsid w:val="00B652E2"/>
    <w:rsid w:val="00B654DD"/>
    <w:rsid w:val="00B660BB"/>
    <w:rsid w:val="00B66431"/>
    <w:rsid w:val="00B66A64"/>
    <w:rsid w:val="00B70028"/>
    <w:rsid w:val="00B708D0"/>
    <w:rsid w:val="00B71122"/>
    <w:rsid w:val="00B718B8"/>
    <w:rsid w:val="00B7259B"/>
    <w:rsid w:val="00B72806"/>
    <w:rsid w:val="00B7301B"/>
    <w:rsid w:val="00B73222"/>
    <w:rsid w:val="00B74FA0"/>
    <w:rsid w:val="00B75C2C"/>
    <w:rsid w:val="00B760C5"/>
    <w:rsid w:val="00B761F3"/>
    <w:rsid w:val="00B766CE"/>
    <w:rsid w:val="00B76992"/>
    <w:rsid w:val="00B76D79"/>
    <w:rsid w:val="00B76F1D"/>
    <w:rsid w:val="00B772F6"/>
    <w:rsid w:val="00B7754C"/>
    <w:rsid w:val="00B77E30"/>
    <w:rsid w:val="00B77F97"/>
    <w:rsid w:val="00B80AD0"/>
    <w:rsid w:val="00B815A4"/>
    <w:rsid w:val="00B818A5"/>
    <w:rsid w:val="00B82C19"/>
    <w:rsid w:val="00B82CA7"/>
    <w:rsid w:val="00B83ACC"/>
    <w:rsid w:val="00B83AD3"/>
    <w:rsid w:val="00B84C57"/>
    <w:rsid w:val="00B8587D"/>
    <w:rsid w:val="00B85A96"/>
    <w:rsid w:val="00B85F58"/>
    <w:rsid w:val="00B86BEA"/>
    <w:rsid w:val="00B86CEA"/>
    <w:rsid w:val="00B8753D"/>
    <w:rsid w:val="00B876A6"/>
    <w:rsid w:val="00B87E8D"/>
    <w:rsid w:val="00B9068F"/>
    <w:rsid w:val="00B90945"/>
    <w:rsid w:val="00B90D98"/>
    <w:rsid w:val="00B9159D"/>
    <w:rsid w:val="00B915C6"/>
    <w:rsid w:val="00B9292B"/>
    <w:rsid w:val="00B92A19"/>
    <w:rsid w:val="00B93520"/>
    <w:rsid w:val="00B938BC"/>
    <w:rsid w:val="00B938EF"/>
    <w:rsid w:val="00B93F7A"/>
    <w:rsid w:val="00B940F6"/>
    <w:rsid w:val="00B9527D"/>
    <w:rsid w:val="00B95306"/>
    <w:rsid w:val="00B9544C"/>
    <w:rsid w:val="00B95694"/>
    <w:rsid w:val="00B96034"/>
    <w:rsid w:val="00B96233"/>
    <w:rsid w:val="00B97B39"/>
    <w:rsid w:val="00BA0A3C"/>
    <w:rsid w:val="00BA1150"/>
    <w:rsid w:val="00BA25B9"/>
    <w:rsid w:val="00BA25C7"/>
    <w:rsid w:val="00BA29E9"/>
    <w:rsid w:val="00BA3D2C"/>
    <w:rsid w:val="00BA3FA0"/>
    <w:rsid w:val="00BA473D"/>
    <w:rsid w:val="00BA48D5"/>
    <w:rsid w:val="00BA7016"/>
    <w:rsid w:val="00BA729E"/>
    <w:rsid w:val="00BA75F0"/>
    <w:rsid w:val="00BA76FE"/>
    <w:rsid w:val="00BA7796"/>
    <w:rsid w:val="00BA7B5E"/>
    <w:rsid w:val="00BB0C65"/>
    <w:rsid w:val="00BB0E84"/>
    <w:rsid w:val="00BB134F"/>
    <w:rsid w:val="00BB17AD"/>
    <w:rsid w:val="00BB2D98"/>
    <w:rsid w:val="00BB3618"/>
    <w:rsid w:val="00BB368B"/>
    <w:rsid w:val="00BB393D"/>
    <w:rsid w:val="00BB3C4D"/>
    <w:rsid w:val="00BB4F8F"/>
    <w:rsid w:val="00BB5886"/>
    <w:rsid w:val="00BB5A4E"/>
    <w:rsid w:val="00BB61A4"/>
    <w:rsid w:val="00BB62B1"/>
    <w:rsid w:val="00BB7262"/>
    <w:rsid w:val="00BB7B28"/>
    <w:rsid w:val="00BB7F61"/>
    <w:rsid w:val="00BC0116"/>
    <w:rsid w:val="00BC05C8"/>
    <w:rsid w:val="00BC0C9E"/>
    <w:rsid w:val="00BC11E5"/>
    <w:rsid w:val="00BC130B"/>
    <w:rsid w:val="00BC32DC"/>
    <w:rsid w:val="00BC3C80"/>
    <w:rsid w:val="00BC4592"/>
    <w:rsid w:val="00BC4AD2"/>
    <w:rsid w:val="00BC4E4A"/>
    <w:rsid w:val="00BC4F42"/>
    <w:rsid w:val="00BC5309"/>
    <w:rsid w:val="00BC5F61"/>
    <w:rsid w:val="00BC6342"/>
    <w:rsid w:val="00BC65BD"/>
    <w:rsid w:val="00BC791C"/>
    <w:rsid w:val="00BC7924"/>
    <w:rsid w:val="00BD0F18"/>
    <w:rsid w:val="00BD11BE"/>
    <w:rsid w:val="00BD1B51"/>
    <w:rsid w:val="00BD2FE2"/>
    <w:rsid w:val="00BD3743"/>
    <w:rsid w:val="00BD3C6C"/>
    <w:rsid w:val="00BD3FAD"/>
    <w:rsid w:val="00BD469C"/>
    <w:rsid w:val="00BD47F6"/>
    <w:rsid w:val="00BD6FA9"/>
    <w:rsid w:val="00BD7BA0"/>
    <w:rsid w:val="00BE12EC"/>
    <w:rsid w:val="00BE1507"/>
    <w:rsid w:val="00BE1FEF"/>
    <w:rsid w:val="00BE20B8"/>
    <w:rsid w:val="00BE25E4"/>
    <w:rsid w:val="00BE312D"/>
    <w:rsid w:val="00BE32A3"/>
    <w:rsid w:val="00BE3FCA"/>
    <w:rsid w:val="00BE449E"/>
    <w:rsid w:val="00BE4E2D"/>
    <w:rsid w:val="00BE60CB"/>
    <w:rsid w:val="00BF078E"/>
    <w:rsid w:val="00BF173A"/>
    <w:rsid w:val="00BF1825"/>
    <w:rsid w:val="00BF1EB6"/>
    <w:rsid w:val="00BF2102"/>
    <w:rsid w:val="00BF29FD"/>
    <w:rsid w:val="00BF2A90"/>
    <w:rsid w:val="00BF3106"/>
    <w:rsid w:val="00BF343E"/>
    <w:rsid w:val="00BF39AB"/>
    <w:rsid w:val="00BF3DD7"/>
    <w:rsid w:val="00BF4184"/>
    <w:rsid w:val="00BF45D6"/>
    <w:rsid w:val="00BF5473"/>
    <w:rsid w:val="00BF625D"/>
    <w:rsid w:val="00BF64A3"/>
    <w:rsid w:val="00C000BC"/>
    <w:rsid w:val="00C01457"/>
    <w:rsid w:val="00C025F0"/>
    <w:rsid w:val="00C02CBE"/>
    <w:rsid w:val="00C032CA"/>
    <w:rsid w:val="00C03868"/>
    <w:rsid w:val="00C04290"/>
    <w:rsid w:val="00C0457E"/>
    <w:rsid w:val="00C04651"/>
    <w:rsid w:val="00C04B58"/>
    <w:rsid w:val="00C05719"/>
    <w:rsid w:val="00C05AFD"/>
    <w:rsid w:val="00C05F7B"/>
    <w:rsid w:val="00C06C0E"/>
    <w:rsid w:val="00C06DBA"/>
    <w:rsid w:val="00C06EF9"/>
    <w:rsid w:val="00C0736F"/>
    <w:rsid w:val="00C10578"/>
    <w:rsid w:val="00C108C1"/>
    <w:rsid w:val="00C12300"/>
    <w:rsid w:val="00C12325"/>
    <w:rsid w:val="00C12F14"/>
    <w:rsid w:val="00C130C6"/>
    <w:rsid w:val="00C139BA"/>
    <w:rsid w:val="00C14051"/>
    <w:rsid w:val="00C14432"/>
    <w:rsid w:val="00C14963"/>
    <w:rsid w:val="00C14B2C"/>
    <w:rsid w:val="00C15321"/>
    <w:rsid w:val="00C15817"/>
    <w:rsid w:val="00C158E2"/>
    <w:rsid w:val="00C163B1"/>
    <w:rsid w:val="00C16660"/>
    <w:rsid w:val="00C16D3E"/>
    <w:rsid w:val="00C17734"/>
    <w:rsid w:val="00C17D62"/>
    <w:rsid w:val="00C20180"/>
    <w:rsid w:val="00C201BB"/>
    <w:rsid w:val="00C20245"/>
    <w:rsid w:val="00C215C1"/>
    <w:rsid w:val="00C217FB"/>
    <w:rsid w:val="00C21FDC"/>
    <w:rsid w:val="00C22C7C"/>
    <w:rsid w:val="00C23929"/>
    <w:rsid w:val="00C24369"/>
    <w:rsid w:val="00C245DB"/>
    <w:rsid w:val="00C24612"/>
    <w:rsid w:val="00C24EE7"/>
    <w:rsid w:val="00C256B8"/>
    <w:rsid w:val="00C25721"/>
    <w:rsid w:val="00C2596A"/>
    <w:rsid w:val="00C26171"/>
    <w:rsid w:val="00C271BE"/>
    <w:rsid w:val="00C27425"/>
    <w:rsid w:val="00C3084E"/>
    <w:rsid w:val="00C316DB"/>
    <w:rsid w:val="00C324A7"/>
    <w:rsid w:val="00C328FE"/>
    <w:rsid w:val="00C33A05"/>
    <w:rsid w:val="00C33EE0"/>
    <w:rsid w:val="00C34520"/>
    <w:rsid w:val="00C36A7E"/>
    <w:rsid w:val="00C36B24"/>
    <w:rsid w:val="00C401BE"/>
    <w:rsid w:val="00C406AC"/>
    <w:rsid w:val="00C40DF9"/>
    <w:rsid w:val="00C41A16"/>
    <w:rsid w:val="00C41BBA"/>
    <w:rsid w:val="00C42500"/>
    <w:rsid w:val="00C427CB"/>
    <w:rsid w:val="00C42935"/>
    <w:rsid w:val="00C42B40"/>
    <w:rsid w:val="00C4343E"/>
    <w:rsid w:val="00C43FA2"/>
    <w:rsid w:val="00C4409D"/>
    <w:rsid w:val="00C44DDC"/>
    <w:rsid w:val="00C45098"/>
    <w:rsid w:val="00C4525A"/>
    <w:rsid w:val="00C455BE"/>
    <w:rsid w:val="00C474A7"/>
    <w:rsid w:val="00C477E8"/>
    <w:rsid w:val="00C47CB4"/>
    <w:rsid w:val="00C5168A"/>
    <w:rsid w:val="00C5173E"/>
    <w:rsid w:val="00C519A9"/>
    <w:rsid w:val="00C51E5F"/>
    <w:rsid w:val="00C52262"/>
    <w:rsid w:val="00C525F6"/>
    <w:rsid w:val="00C52821"/>
    <w:rsid w:val="00C528EA"/>
    <w:rsid w:val="00C543AB"/>
    <w:rsid w:val="00C5475D"/>
    <w:rsid w:val="00C549A7"/>
    <w:rsid w:val="00C56209"/>
    <w:rsid w:val="00C56918"/>
    <w:rsid w:val="00C56DA6"/>
    <w:rsid w:val="00C60844"/>
    <w:rsid w:val="00C60BBB"/>
    <w:rsid w:val="00C617D0"/>
    <w:rsid w:val="00C6188A"/>
    <w:rsid w:val="00C61D05"/>
    <w:rsid w:val="00C61E4B"/>
    <w:rsid w:val="00C6225F"/>
    <w:rsid w:val="00C62949"/>
    <w:rsid w:val="00C62E3A"/>
    <w:rsid w:val="00C62EF1"/>
    <w:rsid w:val="00C630BF"/>
    <w:rsid w:val="00C639EA"/>
    <w:rsid w:val="00C63D4F"/>
    <w:rsid w:val="00C64284"/>
    <w:rsid w:val="00C643EF"/>
    <w:rsid w:val="00C64503"/>
    <w:rsid w:val="00C64654"/>
    <w:rsid w:val="00C64A1F"/>
    <w:rsid w:val="00C64BFF"/>
    <w:rsid w:val="00C64C85"/>
    <w:rsid w:val="00C6590B"/>
    <w:rsid w:val="00C65E2C"/>
    <w:rsid w:val="00C66068"/>
    <w:rsid w:val="00C664E6"/>
    <w:rsid w:val="00C66C3D"/>
    <w:rsid w:val="00C67372"/>
    <w:rsid w:val="00C67EAC"/>
    <w:rsid w:val="00C708D5"/>
    <w:rsid w:val="00C714D6"/>
    <w:rsid w:val="00C71C12"/>
    <w:rsid w:val="00C71F41"/>
    <w:rsid w:val="00C72375"/>
    <w:rsid w:val="00C727F9"/>
    <w:rsid w:val="00C727FA"/>
    <w:rsid w:val="00C7353C"/>
    <w:rsid w:val="00C73681"/>
    <w:rsid w:val="00C736C1"/>
    <w:rsid w:val="00C73C94"/>
    <w:rsid w:val="00C74F68"/>
    <w:rsid w:val="00C7545F"/>
    <w:rsid w:val="00C758CE"/>
    <w:rsid w:val="00C763C9"/>
    <w:rsid w:val="00C7704E"/>
    <w:rsid w:val="00C77053"/>
    <w:rsid w:val="00C7710B"/>
    <w:rsid w:val="00C8001C"/>
    <w:rsid w:val="00C80057"/>
    <w:rsid w:val="00C80141"/>
    <w:rsid w:val="00C812E0"/>
    <w:rsid w:val="00C81741"/>
    <w:rsid w:val="00C82C79"/>
    <w:rsid w:val="00C83655"/>
    <w:rsid w:val="00C8422A"/>
    <w:rsid w:val="00C84664"/>
    <w:rsid w:val="00C84683"/>
    <w:rsid w:val="00C84753"/>
    <w:rsid w:val="00C84B9B"/>
    <w:rsid w:val="00C85881"/>
    <w:rsid w:val="00C87822"/>
    <w:rsid w:val="00C8785D"/>
    <w:rsid w:val="00C87927"/>
    <w:rsid w:val="00C90911"/>
    <w:rsid w:val="00C915F7"/>
    <w:rsid w:val="00C91611"/>
    <w:rsid w:val="00C91B55"/>
    <w:rsid w:val="00C92302"/>
    <w:rsid w:val="00C926AA"/>
    <w:rsid w:val="00C92B41"/>
    <w:rsid w:val="00C94908"/>
    <w:rsid w:val="00C94A75"/>
    <w:rsid w:val="00C95399"/>
    <w:rsid w:val="00C96048"/>
    <w:rsid w:val="00C9654B"/>
    <w:rsid w:val="00C978CB"/>
    <w:rsid w:val="00C97CD2"/>
    <w:rsid w:val="00CA01C7"/>
    <w:rsid w:val="00CA09F3"/>
    <w:rsid w:val="00CA1391"/>
    <w:rsid w:val="00CA145B"/>
    <w:rsid w:val="00CA145C"/>
    <w:rsid w:val="00CA1552"/>
    <w:rsid w:val="00CA1CCA"/>
    <w:rsid w:val="00CA24DB"/>
    <w:rsid w:val="00CA269A"/>
    <w:rsid w:val="00CA3585"/>
    <w:rsid w:val="00CA398B"/>
    <w:rsid w:val="00CA3B02"/>
    <w:rsid w:val="00CA3D5A"/>
    <w:rsid w:val="00CA3DE2"/>
    <w:rsid w:val="00CA3F5F"/>
    <w:rsid w:val="00CA435D"/>
    <w:rsid w:val="00CA469D"/>
    <w:rsid w:val="00CA4C7C"/>
    <w:rsid w:val="00CA4C88"/>
    <w:rsid w:val="00CA6524"/>
    <w:rsid w:val="00CA659B"/>
    <w:rsid w:val="00CA719E"/>
    <w:rsid w:val="00CB015C"/>
    <w:rsid w:val="00CB0183"/>
    <w:rsid w:val="00CB03BD"/>
    <w:rsid w:val="00CB09E5"/>
    <w:rsid w:val="00CB12EE"/>
    <w:rsid w:val="00CB1AF3"/>
    <w:rsid w:val="00CB1C1D"/>
    <w:rsid w:val="00CB1EA3"/>
    <w:rsid w:val="00CB2A00"/>
    <w:rsid w:val="00CB3513"/>
    <w:rsid w:val="00CB37AD"/>
    <w:rsid w:val="00CB3DCF"/>
    <w:rsid w:val="00CB48F6"/>
    <w:rsid w:val="00CB4A36"/>
    <w:rsid w:val="00CB4D40"/>
    <w:rsid w:val="00CB4F15"/>
    <w:rsid w:val="00CB50ED"/>
    <w:rsid w:val="00CB552C"/>
    <w:rsid w:val="00CB6126"/>
    <w:rsid w:val="00CB633E"/>
    <w:rsid w:val="00CB6A9E"/>
    <w:rsid w:val="00CC079C"/>
    <w:rsid w:val="00CC0D0D"/>
    <w:rsid w:val="00CC117F"/>
    <w:rsid w:val="00CC2199"/>
    <w:rsid w:val="00CC4F20"/>
    <w:rsid w:val="00CC4FC9"/>
    <w:rsid w:val="00CC5755"/>
    <w:rsid w:val="00CC5B08"/>
    <w:rsid w:val="00CC6181"/>
    <w:rsid w:val="00CC6A5A"/>
    <w:rsid w:val="00CC782A"/>
    <w:rsid w:val="00CC7A8D"/>
    <w:rsid w:val="00CC7EF2"/>
    <w:rsid w:val="00CD05E5"/>
    <w:rsid w:val="00CD18D8"/>
    <w:rsid w:val="00CD1E08"/>
    <w:rsid w:val="00CD2BCD"/>
    <w:rsid w:val="00CD30D9"/>
    <w:rsid w:val="00CD332F"/>
    <w:rsid w:val="00CD36AA"/>
    <w:rsid w:val="00CD3791"/>
    <w:rsid w:val="00CD4594"/>
    <w:rsid w:val="00CD4BBF"/>
    <w:rsid w:val="00CD57C9"/>
    <w:rsid w:val="00CD5E90"/>
    <w:rsid w:val="00CD60D4"/>
    <w:rsid w:val="00CD65B0"/>
    <w:rsid w:val="00CD69A2"/>
    <w:rsid w:val="00CD7234"/>
    <w:rsid w:val="00CD7374"/>
    <w:rsid w:val="00CD77B3"/>
    <w:rsid w:val="00CD786C"/>
    <w:rsid w:val="00CD7CF5"/>
    <w:rsid w:val="00CE002F"/>
    <w:rsid w:val="00CE02CD"/>
    <w:rsid w:val="00CE0497"/>
    <w:rsid w:val="00CE0E0E"/>
    <w:rsid w:val="00CE1022"/>
    <w:rsid w:val="00CE10E9"/>
    <w:rsid w:val="00CE1D2B"/>
    <w:rsid w:val="00CE30AD"/>
    <w:rsid w:val="00CE39C8"/>
    <w:rsid w:val="00CE4401"/>
    <w:rsid w:val="00CE52F5"/>
    <w:rsid w:val="00CE692D"/>
    <w:rsid w:val="00CE697D"/>
    <w:rsid w:val="00CE6EF9"/>
    <w:rsid w:val="00CE77B9"/>
    <w:rsid w:val="00CE7A86"/>
    <w:rsid w:val="00CF0507"/>
    <w:rsid w:val="00CF11E7"/>
    <w:rsid w:val="00CF174B"/>
    <w:rsid w:val="00CF19CA"/>
    <w:rsid w:val="00CF2766"/>
    <w:rsid w:val="00CF34C6"/>
    <w:rsid w:val="00CF35CE"/>
    <w:rsid w:val="00CF3F64"/>
    <w:rsid w:val="00CF5F72"/>
    <w:rsid w:val="00CF6062"/>
    <w:rsid w:val="00CF6277"/>
    <w:rsid w:val="00CF6BE8"/>
    <w:rsid w:val="00CF6F09"/>
    <w:rsid w:val="00CF711B"/>
    <w:rsid w:val="00D0072E"/>
    <w:rsid w:val="00D00A84"/>
    <w:rsid w:val="00D00DCD"/>
    <w:rsid w:val="00D00DFA"/>
    <w:rsid w:val="00D0190D"/>
    <w:rsid w:val="00D01BB7"/>
    <w:rsid w:val="00D028B1"/>
    <w:rsid w:val="00D02CA6"/>
    <w:rsid w:val="00D03486"/>
    <w:rsid w:val="00D0382E"/>
    <w:rsid w:val="00D03F94"/>
    <w:rsid w:val="00D0489C"/>
    <w:rsid w:val="00D04B43"/>
    <w:rsid w:val="00D05865"/>
    <w:rsid w:val="00D05BF1"/>
    <w:rsid w:val="00D05CC2"/>
    <w:rsid w:val="00D05D3A"/>
    <w:rsid w:val="00D0609B"/>
    <w:rsid w:val="00D06C52"/>
    <w:rsid w:val="00D06E95"/>
    <w:rsid w:val="00D07C92"/>
    <w:rsid w:val="00D100EB"/>
    <w:rsid w:val="00D10918"/>
    <w:rsid w:val="00D14842"/>
    <w:rsid w:val="00D14C89"/>
    <w:rsid w:val="00D14E92"/>
    <w:rsid w:val="00D154EE"/>
    <w:rsid w:val="00D15727"/>
    <w:rsid w:val="00D15FDB"/>
    <w:rsid w:val="00D16332"/>
    <w:rsid w:val="00D1684D"/>
    <w:rsid w:val="00D16D25"/>
    <w:rsid w:val="00D20CB2"/>
    <w:rsid w:val="00D219E8"/>
    <w:rsid w:val="00D22AB1"/>
    <w:rsid w:val="00D22AB8"/>
    <w:rsid w:val="00D22B30"/>
    <w:rsid w:val="00D22CCE"/>
    <w:rsid w:val="00D24042"/>
    <w:rsid w:val="00D24972"/>
    <w:rsid w:val="00D24ACD"/>
    <w:rsid w:val="00D2515E"/>
    <w:rsid w:val="00D25C67"/>
    <w:rsid w:val="00D25DB1"/>
    <w:rsid w:val="00D26633"/>
    <w:rsid w:val="00D27078"/>
    <w:rsid w:val="00D27253"/>
    <w:rsid w:val="00D301F5"/>
    <w:rsid w:val="00D308ED"/>
    <w:rsid w:val="00D30C97"/>
    <w:rsid w:val="00D318B6"/>
    <w:rsid w:val="00D326F2"/>
    <w:rsid w:val="00D32A2B"/>
    <w:rsid w:val="00D32A74"/>
    <w:rsid w:val="00D32EDE"/>
    <w:rsid w:val="00D3393C"/>
    <w:rsid w:val="00D3530B"/>
    <w:rsid w:val="00D3558F"/>
    <w:rsid w:val="00D36328"/>
    <w:rsid w:val="00D36F2D"/>
    <w:rsid w:val="00D37054"/>
    <w:rsid w:val="00D376A7"/>
    <w:rsid w:val="00D37D8B"/>
    <w:rsid w:val="00D407CD"/>
    <w:rsid w:val="00D4108D"/>
    <w:rsid w:val="00D4110B"/>
    <w:rsid w:val="00D41155"/>
    <w:rsid w:val="00D42367"/>
    <w:rsid w:val="00D427B7"/>
    <w:rsid w:val="00D42D74"/>
    <w:rsid w:val="00D437E3"/>
    <w:rsid w:val="00D43872"/>
    <w:rsid w:val="00D44677"/>
    <w:rsid w:val="00D4482F"/>
    <w:rsid w:val="00D44880"/>
    <w:rsid w:val="00D44C7B"/>
    <w:rsid w:val="00D45F1A"/>
    <w:rsid w:val="00D460AC"/>
    <w:rsid w:val="00D47B33"/>
    <w:rsid w:val="00D5083D"/>
    <w:rsid w:val="00D508E2"/>
    <w:rsid w:val="00D50F6E"/>
    <w:rsid w:val="00D51828"/>
    <w:rsid w:val="00D530A3"/>
    <w:rsid w:val="00D54066"/>
    <w:rsid w:val="00D54748"/>
    <w:rsid w:val="00D56178"/>
    <w:rsid w:val="00D56740"/>
    <w:rsid w:val="00D56A26"/>
    <w:rsid w:val="00D56CF0"/>
    <w:rsid w:val="00D56F5C"/>
    <w:rsid w:val="00D5727B"/>
    <w:rsid w:val="00D572AB"/>
    <w:rsid w:val="00D572B1"/>
    <w:rsid w:val="00D574F2"/>
    <w:rsid w:val="00D57784"/>
    <w:rsid w:val="00D603A3"/>
    <w:rsid w:val="00D60855"/>
    <w:rsid w:val="00D60CC6"/>
    <w:rsid w:val="00D60CC7"/>
    <w:rsid w:val="00D60F1C"/>
    <w:rsid w:val="00D61FD6"/>
    <w:rsid w:val="00D636D2"/>
    <w:rsid w:val="00D63802"/>
    <w:rsid w:val="00D64CB9"/>
    <w:rsid w:val="00D64F55"/>
    <w:rsid w:val="00D65BFB"/>
    <w:rsid w:val="00D66006"/>
    <w:rsid w:val="00D66250"/>
    <w:rsid w:val="00D665EC"/>
    <w:rsid w:val="00D668FB"/>
    <w:rsid w:val="00D66972"/>
    <w:rsid w:val="00D66F5B"/>
    <w:rsid w:val="00D67676"/>
    <w:rsid w:val="00D6786A"/>
    <w:rsid w:val="00D7002B"/>
    <w:rsid w:val="00D70210"/>
    <w:rsid w:val="00D704B1"/>
    <w:rsid w:val="00D70634"/>
    <w:rsid w:val="00D7068B"/>
    <w:rsid w:val="00D70B63"/>
    <w:rsid w:val="00D7136E"/>
    <w:rsid w:val="00D714FA"/>
    <w:rsid w:val="00D72A6F"/>
    <w:rsid w:val="00D72AB2"/>
    <w:rsid w:val="00D72B92"/>
    <w:rsid w:val="00D72ED4"/>
    <w:rsid w:val="00D73F61"/>
    <w:rsid w:val="00D74451"/>
    <w:rsid w:val="00D74A67"/>
    <w:rsid w:val="00D750C5"/>
    <w:rsid w:val="00D7529A"/>
    <w:rsid w:val="00D75409"/>
    <w:rsid w:val="00D754C0"/>
    <w:rsid w:val="00D75D95"/>
    <w:rsid w:val="00D75D9D"/>
    <w:rsid w:val="00D767DB"/>
    <w:rsid w:val="00D76CA5"/>
    <w:rsid w:val="00D76D89"/>
    <w:rsid w:val="00D770F7"/>
    <w:rsid w:val="00D776A2"/>
    <w:rsid w:val="00D7779E"/>
    <w:rsid w:val="00D778B3"/>
    <w:rsid w:val="00D7796A"/>
    <w:rsid w:val="00D77F9D"/>
    <w:rsid w:val="00D801C4"/>
    <w:rsid w:val="00D80717"/>
    <w:rsid w:val="00D8084F"/>
    <w:rsid w:val="00D80A7F"/>
    <w:rsid w:val="00D813D0"/>
    <w:rsid w:val="00D8332D"/>
    <w:rsid w:val="00D8365E"/>
    <w:rsid w:val="00D847B0"/>
    <w:rsid w:val="00D84C02"/>
    <w:rsid w:val="00D9047D"/>
    <w:rsid w:val="00D90634"/>
    <w:rsid w:val="00D90836"/>
    <w:rsid w:val="00D9153F"/>
    <w:rsid w:val="00D91F48"/>
    <w:rsid w:val="00D9313B"/>
    <w:rsid w:val="00D93156"/>
    <w:rsid w:val="00D931CE"/>
    <w:rsid w:val="00D93465"/>
    <w:rsid w:val="00D934D5"/>
    <w:rsid w:val="00D94776"/>
    <w:rsid w:val="00D94B92"/>
    <w:rsid w:val="00D95001"/>
    <w:rsid w:val="00D95896"/>
    <w:rsid w:val="00D95CC6"/>
    <w:rsid w:val="00D95EB2"/>
    <w:rsid w:val="00D9720D"/>
    <w:rsid w:val="00D97698"/>
    <w:rsid w:val="00D97F17"/>
    <w:rsid w:val="00DA0075"/>
    <w:rsid w:val="00DA026E"/>
    <w:rsid w:val="00DA0DBE"/>
    <w:rsid w:val="00DA1E49"/>
    <w:rsid w:val="00DA2DA3"/>
    <w:rsid w:val="00DA303F"/>
    <w:rsid w:val="00DA313C"/>
    <w:rsid w:val="00DA3364"/>
    <w:rsid w:val="00DA3441"/>
    <w:rsid w:val="00DA39AB"/>
    <w:rsid w:val="00DA4109"/>
    <w:rsid w:val="00DA440E"/>
    <w:rsid w:val="00DA494F"/>
    <w:rsid w:val="00DA4E89"/>
    <w:rsid w:val="00DA659C"/>
    <w:rsid w:val="00DA6615"/>
    <w:rsid w:val="00DA69AE"/>
    <w:rsid w:val="00DA6E23"/>
    <w:rsid w:val="00DA76AE"/>
    <w:rsid w:val="00DB01EB"/>
    <w:rsid w:val="00DB0974"/>
    <w:rsid w:val="00DB181E"/>
    <w:rsid w:val="00DB1915"/>
    <w:rsid w:val="00DB1C7A"/>
    <w:rsid w:val="00DB2332"/>
    <w:rsid w:val="00DB26F1"/>
    <w:rsid w:val="00DB2983"/>
    <w:rsid w:val="00DB343D"/>
    <w:rsid w:val="00DB3AD4"/>
    <w:rsid w:val="00DB45A5"/>
    <w:rsid w:val="00DB45CF"/>
    <w:rsid w:val="00DB4A35"/>
    <w:rsid w:val="00DB4F7A"/>
    <w:rsid w:val="00DB504B"/>
    <w:rsid w:val="00DB5200"/>
    <w:rsid w:val="00DB53BC"/>
    <w:rsid w:val="00DB5579"/>
    <w:rsid w:val="00DB5B16"/>
    <w:rsid w:val="00DB5CFE"/>
    <w:rsid w:val="00DB6582"/>
    <w:rsid w:val="00DB65E8"/>
    <w:rsid w:val="00DB6782"/>
    <w:rsid w:val="00DB6A14"/>
    <w:rsid w:val="00DB6A21"/>
    <w:rsid w:val="00DB6C6B"/>
    <w:rsid w:val="00DB6EA7"/>
    <w:rsid w:val="00DB70B2"/>
    <w:rsid w:val="00DB7EC4"/>
    <w:rsid w:val="00DC03F2"/>
    <w:rsid w:val="00DC0C2C"/>
    <w:rsid w:val="00DC1433"/>
    <w:rsid w:val="00DC1C9D"/>
    <w:rsid w:val="00DC37AC"/>
    <w:rsid w:val="00DC3D93"/>
    <w:rsid w:val="00DC4D92"/>
    <w:rsid w:val="00DC51BD"/>
    <w:rsid w:val="00DC521E"/>
    <w:rsid w:val="00DC70F0"/>
    <w:rsid w:val="00DC72A6"/>
    <w:rsid w:val="00DC7F91"/>
    <w:rsid w:val="00DD14C7"/>
    <w:rsid w:val="00DD14E4"/>
    <w:rsid w:val="00DD1868"/>
    <w:rsid w:val="00DD199F"/>
    <w:rsid w:val="00DD1A0A"/>
    <w:rsid w:val="00DD2113"/>
    <w:rsid w:val="00DD2499"/>
    <w:rsid w:val="00DD24F1"/>
    <w:rsid w:val="00DD265E"/>
    <w:rsid w:val="00DD4DBC"/>
    <w:rsid w:val="00DD5137"/>
    <w:rsid w:val="00DD52DD"/>
    <w:rsid w:val="00DD5715"/>
    <w:rsid w:val="00DD5CBE"/>
    <w:rsid w:val="00DD67B0"/>
    <w:rsid w:val="00DD7A04"/>
    <w:rsid w:val="00DD7A96"/>
    <w:rsid w:val="00DE00C3"/>
    <w:rsid w:val="00DE050A"/>
    <w:rsid w:val="00DE18D9"/>
    <w:rsid w:val="00DE207B"/>
    <w:rsid w:val="00DE2157"/>
    <w:rsid w:val="00DE34B4"/>
    <w:rsid w:val="00DE4125"/>
    <w:rsid w:val="00DE52D6"/>
    <w:rsid w:val="00DE5558"/>
    <w:rsid w:val="00DE5AC9"/>
    <w:rsid w:val="00DE5E1B"/>
    <w:rsid w:val="00DE6F52"/>
    <w:rsid w:val="00DE7F98"/>
    <w:rsid w:val="00DF0754"/>
    <w:rsid w:val="00DF0B5D"/>
    <w:rsid w:val="00DF0E31"/>
    <w:rsid w:val="00DF1930"/>
    <w:rsid w:val="00DF38C8"/>
    <w:rsid w:val="00DF408B"/>
    <w:rsid w:val="00DF49B2"/>
    <w:rsid w:val="00DF4AD7"/>
    <w:rsid w:val="00DF5132"/>
    <w:rsid w:val="00DF514A"/>
    <w:rsid w:val="00DF60D6"/>
    <w:rsid w:val="00DF6161"/>
    <w:rsid w:val="00DF6413"/>
    <w:rsid w:val="00E0009F"/>
    <w:rsid w:val="00E00398"/>
    <w:rsid w:val="00E00D1E"/>
    <w:rsid w:val="00E00F53"/>
    <w:rsid w:val="00E020A1"/>
    <w:rsid w:val="00E0259F"/>
    <w:rsid w:val="00E02825"/>
    <w:rsid w:val="00E02FD5"/>
    <w:rsid w:val="00E03136"/>
    <w:rsid w:val="00E0358D"/>
    <w:rsid w:val="00E043DE"/>
    <w:rsid w:val="00E047D0"/>
    <w:rsid w:val="00E05172"/>
    <w:rsid w:val="00E053C1"/>
    <w:rsid w:val="00E056F6"/>
    <w:rsid w:val="00E05F0A"/>
    <w:rsid w:val="00E05FC9"/>
    <w:rsid w:val="00E06327"/>
    <w:rsid w:val="00E07527"/>
    <w:rsid w:val="00E10D5E"/>
    <w:rsid w:val="00E111D5"/>
    <w:rsid w:val="00E12374"/>
    <w:rsid w:val="00E12653"/>
    <w:rsid w:val="00E13350"/>
    <w:rsid w:val="00E13A26"/>
    <w:rsid w:val="00E13FBE"/>
    <w:rsid w:val="00E150D4"/>
    <w:rsid w:val="00E15204"/>
    <w:rsid w:val="00E167BB"/>
    <w:rsid w:val="00E16E67"/>
    <w:rsid w:val="00E17400"/>
    <w:rsid w:val="00E17769"/>
    <w:rsid w:val="00E2064B"/>
    <w:rsid w:val="00E207FE"/>
    <w:rsid w:val="00E20D70"/>
    <w:rsid w:val="00E21A74"/>
    <w:rsid w:val="00E21BD1"/>
    <w:rsid w:val="00E21EFF"/>
    <w:rsid w:val="00E23CC9"/>
    <w:rsid w:val="00E24F5E"/>
    <w:rsid w:val="00E251F0"/>
    <w:rsid w:val="00E25239"/>
    <w:rsid w:val="00E25698"/>
    <w:rsid w:val="00E261A8"/>
    <w:rsid w:val="00E265B1"/>
    <w:rsid w:val="00E275B0"/>
    <w:rsid w:val="00E2763A"/>
    <w:rsid w:val="00E27CE1"/>
    <w:rsid w:val="00E27E13"/>
    <w:rsid w:val="00E30016"/>
    <w:rsid w:val="00E318D1"/>
    <w:rsid w:val="00E31B06"/>
    <w:rsid w:val="00E320DF"/>
    <w:rsid w:val="00E323DC"/>
    <w:rsid w:val="00E32DC8"/>
    <w:rsid w:val="00E33BB4"/>
    <w:rsid w:val="00E34212"/>
    <w:rsid w:val="00E3457F"/>
    <w:rsid w:val="00E35304"/>
    <w:rsid w:val="00E36FEC"/>
    <w:rsid w:val="00E37353"/>
    <w:rsid w:val="00E378FB"/>
    <w:rsid w:val="00E37CB2"/>
    <w:rsid w:val="00E412D0"/>
    <w:rsid w:val="00E41AB6"/>
    <w:rsid w:val="00E4326D"/>
    <w:rsid w:val="00E4397C"/>
    <w:rsid w:val="00E443FC"/>
    <w:rsid w:val="00E4464A"/>
    <w:rsid w:val="00E4467C"/>
    <w:rsid w:val="00E448F6"/>
    <w:rsid w:val="00E449AE"/>
    <w:rsid w:val="00E44E70"/>
    <w:rsid w:val="00E45939"/>
    <w:rsid w:val="00E45EC5"/>
    <w:rsid w:val="00E46486"/>
    <w:rsid w:val="00E46667"/>
    <w:rsid w:val="00E47CDB"/>
    <w:rsid w:val="00E50E91"/>
    <w:rsid w:val="00E511A2"/>
    <w:rsid w:val="00E530AB"/>
    <w:rsid w:val="00E53CAD"/>
    <w:rsid w:val="00E53EDE"/>
    <w:rsid w:val="00E549CE"/>
    <w:rsid w:val="00E54A1A"/>
    <w:rsid w:val="00E54B52"/>
    <w:rsid w:val="00E54F60"/>
    <w:rsid w:val="00E5530E"/>
    <w:rsid w:val="00E55AC7"/>
    <w:rsid w:val="00E562B0"/>
    <w:rsid w:val="00E566BC"/>
    <w:rsid w:val="00E5697A"/>
    <w:rsid w:val="00E57ED7"/>
    <w:rsid w:val="00E60058"/>
    <w:rsid w:val="00E602C2"/>
    <w:rsid w:val="00E60982"/>
    <w:rsid w:val="00E60C8D"/>
    <w:rsid w:val="00E60D3C"/>
    <w:rsid w:val="00E6162F"/>
    <w:rsid w:val="00E61B62"/>
    <w:rsid w:val="00E6311B"/>
    <w:rsid w:val="00E63345"/>
    <w:rsid w:val="00E6350A"/>
    <w:rsid w:val="00E639C1"/>
    <w:rsid w:val="00E639CC"/>
    <w:rsid w:val="00E63D70"/>
    <w:rsid w:val="00E644B5"/>
    <w:rsid w:val="00E6476A"/>
    <w:rsid w:val="00E647E5"/>
    <w:rsid w:val="00E648F9"/>
    <w:rsid w:val="00E64A8D"/>
    <w:rsid w:val="00E65008"/>
    <w:rsid w:val="00E65D8B"/>
    <w:rsid w:val="00E65D97"/>
    <w:rsid w:val="00E66E29"/>
    <w:rsid w:val="00E66FDF"/>
    <w:rsid w:val="00E671E7"/>
    <w:rsid w:val="00E67A0B"/>
    <w:rsid w:val="00E67CE3"/>
    <w:rsid w:val="00E67E94"/>
    <w:rsid w:val="00E67EFD"/>
    <w:rsid w:val="00E702DC"/>
    <w:rsid w:val="00E70379"/>
    <w:rsid w:val="00E7061F"/>
    <w:rsid w:val="00E71084"/>
    <w:rsid w:val="00E710D6"/>
    <w:rsid w:val="00E71325"/>
    <w:rsid w:val="00E71FFB"/>
    <w:rsid w:val="00E7203B"/>
    <w:rsid w:val="00E72893"/>
    <w:rsid w:val="00E72D38"/>
    <w:rsid w:val="00E72FAF"/>
    <w:rsid w:val="00E731DA"/>
    <w:rsid w:val="00E739BF"/>
    <w:rsid w:val="00E73D34"/>
    <w:rsid w:val="00E74551"/>
    <w:rsid w:val="00E7460A"/>
    <w:rsid w:val="00E74C5B"/>
    <w:rsid w:val="00E7519B"/>
    <w:rsid w:val="00E75460"/>
    <w:rsid w:val="00E7695F"/>
    <w:rsid w:val="00E76D1D"/>
    <w:rsid w:val="00E77C36"/>
    <w:rsid w:val="00E80694"/>
    <w:rsid w:val="00E806F8"/>
    <w:rsid w:val="00E80B03"/>
    <w:rsid w:val="00E82A3E"/>
    <w:rsid w:val="00E83FD0"/>
    <w:rsid w:val="00E8495E"/>
    <w:rsid w:val="00E84B55"/>
    <w:rsid w:val="00E84D8B"/>
    <w:rsid w:val="00E8689F"/>
    <w:rsid w:val="00E86E85"/>
    <w:rsid w:val="00E87752"/>
    <w:rsid w:val="00E8793B"/>
    <w:rsid w:val="00E87DB7"/>
    <w:rsid w:val="00E90230"/>
    <w:rsid w:val="00E90A13"/>
    <w:rsid w:val="00E90F81"/>
    <w:rsid w:val="00E910E8"/>
    <w:rsid w:val="00E91A5B"/>
    <w:rsid w:val="00E91A6D"/>
    <w:rsid w:val="00E91CD7"/>
    <w:rsid w:val="00E9242D"/>
    <w:rsid w:val="00E9257D"/>
    <w:rsid w:val="00E93BF4"/>
    <w:rsid w:val="00E948C4"/>
    <w:rsid w:val="00E96AA9"/>
    <w:rsid w:val="00E96D5B"/>
    <w:rsid w:val="00E9711F"/>
    <w:rsid w:val="00E971FA"/>
    <w:rsid w:val="00E97465"/>
    <w:rsid w:val="00E97487"/>
    <w:rsid w:val="00E975A3"/>
    <w:rsid w:val="00EA03B4"/>
    <w:rsid w:val="00EA0539"/>
    <w:rsid w:val="00EA09E1"/>
    <w:rsid w:val="00EA0F1C"/>
    <w:rsid w:val="00EA13A5"/>
    <w:rsid w:val="00EA1EC7"/>
    <w:rsid w:val="00EA2B7A"/>
    <w:rsid w:val="00EA36DE"/>
    <w:rsid w:val="00EA45CD"/>
    <w:rsid w:val="00EA4680"/>
    <w:rsid w:val="00EA5A66"/>
    <w:rsid w:val="00EA740B"/>
    <w:rsid w:val="00EA7B69"/>
    <w:rsid w:val="00EB0014"/>
    <w:rsid w:val="00EB041C"/>
    <w:rsid w:val="00EB043E"/>
    <w:rsid w:val="00EB046F"/>
    <w:rsid w:val="00EB056A"/>
    <w:rsid w:val="00EB1285"/>
    <w:rsid w:val="00EB1DAB"/>
    <w:rsid w:val="00EB2057"/>
    <w:rsid w:val="00EB28AA"/>
    <w:rsid w:val="00EB2DC8"/>
    <w:rsid w:val="00EB2F44"/>
    <w:rsid w:val="00EB4516"/>
    <w:rsid w:val="00EB479D"/>
    <w:rsid w:val="00EB47A7"/>
    <w:rsid w:val="00EB507F"/>
    <w:rsid w:val="00EB567A"/>
    <w:rsid w:val="00EB5767"/>
    <w:rsid w:val="00EB57B8"/>
    <w:rsid w:val="00EB5C5B"/>
    <w:rsid w:val="00EB5CD9"/>
    <w:rsid w:val="00EB6A6B"/>
    <w:rsid w:val="00EB6BD9"/>
    <w:rsid w:val="00EC015F"/>
    <w:rsid w:val="00EC0429"/>
    <w:rsid w:val="00EC0DED"/>
    <w:rsid w:val="00EC1132"/>
    <w:rsid w:val="00EC1600"/>
    <w:rsid w:val="00EC1939"/>
    <w:rsid w:val="00EC1D50"/>
    <w:rsid w:val="00EC23C0"/>
    <w:rsid w:val="00EC2466"/>
    <w:rsid w:val="00EC3E7A"/>
    <w:rsid w:val="00EC48B7"/>
    <w:rsid w:val="00EC4DF5"/>
    <w:rsid w:val="00EC4E1E"/>
    <w:rsid w:val="00EC504D"/>
    <w:rsid w:val="00EC5874"/>
    <w:rsid w:val="00EC58EC"/>
    <w:rsid w:val="00EC67A3"/>
    <w:rsid w:val="00EC6BB5"/>
    <w:rsid w:val="00EC79D7"/>
    <w:rsid w:val="00EC7AEA"/>
    <w:rsid w:val="00ED192D"/>
    <w:rsid w:val="00ED1B10"/>
    <w:rsid w:val="00ED23D7"/>
    <w:rsid w:val="00ED2693"/>
    <w:rsid w:val="00ED2995"/>
    <w:rsid w:val="00ED2FD0"/>
    <w:rsid w:val="00ED3013"/>
    <w:rsid w:val="00ED30B4"/>
    <w:rsid w:val="00ED31F5"/>
    <w:rsid w:val="00ED3C19"/>
    <w:rsid w:val="00ED3CCB"/>
    <w:rsid w:val="00ED5BB6"/>
    <w:rsid w:val="00ED5F19"/>
    <w:rsid w:val="00ED6C0E"/>
    <w:rsid w:val="00ED71B5"/>
    <w:rsid w:val="00ED7D76"/>
    <w:rsid w:val="00EE00E0"/>
    <w:rsid w:val="00EE07DD"/>
    <w:rsid w:val="00EE0AFC"/>
    <w:rsid w:val="00EE2937"/>
    <w:rsid w:val="00EE2CB0"/>
    <w:rsid w:val="00EE2CD8"/>
    <w:rsid w:val="00EE30B4"/>
    <w:rsid w:val="00EE3648"/>
    <w:rsid w:val="00EE3E56"/>
    <w:rsid w:val="00EE4CE2"/>
    <w:rsid w:val="00EE56F3"/>
    <w:rsid w:val="00EF08E7"/>
    <w:rsid w:val="00EF0CE2"/>
    <w:rsid w:val="00EF0F53"/>
    <w:rsid w:val="00EF12DA"/>
    <w:rsid w:val="00EF1800"/>
    <w:rsid w:val="00EF19B7"/>
    <w:rsid w:val="00EF1CE4"/>
    <w:rsid w:val="00EF1F0E"/>
    <w:rsid w:val="00EF2695"/>
    <w:rsid w:val="00EF2759"/>
    <w:rsid w:val="00EF3287"/>
    <w:rsid w:val="00EF34AF"/>
    <w:rsid w:val="00EF34D2"/>
    <w:rsid w:val="00EF367F"/>
    <w:rsid w:val="00EF3D42"/>
    <w:rsid w:val="00EF45EB"/>
    <w:rsid w:val="00EF5063"/>
    <w:rsid w:val="00EF5099"/>
    <w:rsid w:val="00EF5ACE"/>
    <w:rsid w:val="00EF5E33"/>
    <w:rsid w:val="00EF5EE2"/>
    <w:rsid w:val="00EF637D"/>
    <w:rsid w:val="00EF706B"/>
    <w:rsid w:val="00EF77B3"/>
    <w:rsid w:val="00EF77E8"/>
    <w:rsid w:val="00F00075"/>
    <w:rsid w:val="00F00179"/>
    <w:rsid w:val="00F01FE9"/>
    <w:rsid w:val="00F022CB"/>
    <w:rsid w:val="00F0246F"/>
    <w:rsid w:val="00F02AA8"/>
    <w:rsid w:val="00F03154"/>
    <w:rsid w:val="00F0325F"/>
    <w:rsid w:val="00F04201"/>
    <w:rsid w:val="00F04815"/>
    <w:rsid w:val="00F04991"/>
    <w:rsid w:val="00F04C57"/>
    <w:rsid w:val="00F04C89"/>
    <w:rsid w:val="00F050A0"/>
    <w:rsid w:val="00F061AA"/>
    <w:rsid w:val="00F061C2"/>
    <w:rsid w:val="00F07597"/>
    <w:rsid w:val="00F07675"/>
    <w:rsid w:val="00F07822"/>
    <w:rsid w:val="00F078D9"/>
    <w:rsid w:val="00F07A75"/>
    <w:rsid w:val="00F10933"/>
    <w:rsid w:val="00F1134D"/>
    <w:rsid w:val="00F11787"/>
    <w:rsid w:val="00F11D32"/>
    <w:rsid w:val="00F125CE"/>
    <w:rsid w:val="00F1314E"/>
    <w:rsid w:val="00F13EB7"/>
    <w:rsid w:val="00F14E3A"/>
    <w:rsid w:val="00F1501F"/>
    <w:rsid w:val="00F150A4"/>
    <w:rsid w:val="00F152F2"/>
    <w:rsid w:val="00F15C95"/>
    <w:rsid w:val="00F16426"/>
    <w:rsid w:val="00F16520"/>
    <w:rsid w:val="00F16690"/>
    <w:rsid w:val="00F16FA1"/>
    <w:rsid w:val="00F17EB4"/>
    <w:rsid w:val="00F20A14"/>
    <w:rsid w:val="00F21428"/>
    <w:rsid w:val="00F2181E"/>
    <w:rsid w:val="00F21AA8"/>
    <w:rsid w:val="00F21FF7"/>
    <w:rsid w:val="00F22347"/>
    <w:rsid w:val="00F225A9"/>
    <w:rsid w:val="00F22985"/>
    <w:rsid w:val="00F22A98"/>
    <w:rsid w:val="00F22D99"/>
    <w:rsid w:val="00F23001"/>
    <w:rsid w:val="00F2345C"/>
    <w:rsid w:val="00F23792"/>
    <w:rsid w:val="00F2395D"/>
    <w:rsid w:val="00F23AE3"/>
    <w:rsid w:val="00F23DD1"/>
    <w:rsid w:val="00F241AB"/>
    <w:rsid w:val="00F2499E"/>
    <w:rsid w:val="00F25952"/>
    <w:rsid w:val="00F25DC2"/>
    <w:rsid w:val="00F25FA8"/>
    <w:rsid w:val="00F26574"/>
    <w:rsid w:val="00F26739"/>
    <w:rsid w:val="00F26C6F"/>
    <w:rsid w:val="00F276B3"/>
    <w:rsid w:val="00F27A73"/>
    <w:rsid w:val="00F27EB4"/>
    <w:rsid w:val="00F27FBA"/>
    <w:rsid w:val="00F300B7"/>
    <w:rsid w:val="00F303CC"/>
    <w:rsid w:val="00F30A75"/>
    <w:rsid w:val="00F3130C"/>
    <w:rsid w:val="00F31382"/>
    <w:rsid w:val="00F31A11"/>
    <w:rsid w:val="00F31BCA"/>
    <w:rsid w:val="00F32404"/>
    <w:rsid w:val="00F32D5A"/>
    <w:rsid w:val="00F33C99"/>
    <w:rsid w:val="00F35829"/>
    <w:rsid w:val="00F35FD9"/>
    <w:rsid w:val="00F36286"/>
    <w:rsid w:val="00F3654C"/>
    <w:rsid w:val="00F3697D"/>
    <w:rsid w:val="00F37A55"/>
    <w:rsid w:val="00F40173"/>
    <w:rsid w:val="00F41265"/>
    <w:rsid w:val="00F42061"/>
    <w:rsid w:val="00F42854"/>
    <w:rsid w:val="00F42868"/>
    <w:rsid w:val="00F42AE2"/>
    <w:rsid w:val="00F43A7A"/>
    <w:rsid w:val="00F44B97"/>
    <w:rsid w:val="00F44F37"/>
    <w:rsid w:val="00F455B1"/>
    <w:rsid w:val="00F461A6"/>
    <w:rsid w:val="00F465A7"/>
    <w:rsid w:val="00F46EA7"/>
    <w:rsid w:val="00F4700A"/>
    <w:rsid w:val="00F47887"/>
    <w:rsid w:val="00F47BBF"/>
    <w:rsid w:val="00F501F7"/>
    <w:rsid w:val="00F50A5C"/>
    <w:rsid w:val="00F50B7C"/>
    <w:rsid w:val="00F516CC"/>
    <w:rsid w:val="00F51FB7"/>
    <w:rsid w:val="00F5202D"/>
    <w:rsid w:val="00F52CE0"/>
    <w:rsid w:val="00F52CF6"/>
    <w:rsid w:val="00F535E1"/>
    <w:rsid w:val="00F537D8"/>
    <w:rsid w:val="00F54140"/>
    <w:rsid w:val="00F541DA"/>
    <w:rsid w:val="00F54496"/>
    <w:rsid w:val="00F54778"/>
    <w:rsid w:val="00F547BB"/>
    <w:rsid w:val="00F5492A"/>
    <w:rsid w:val="00F54CD4"/>
    <w:rsid w:val="00F557EB"/>
    <w:rsid w:val="00F563B1"/>
    <w:rsid w:val="00F5654F"/>
    <w:rsid w:val="00F565C8"/>
    <w:rsid w:val="00F56AE4"/>
    <w:rsid w:val="00F57690"/>
    <w:rsid w:val="00F61097"/>
    <w:rsid w:val="00F610D6"/>
    <w:rsid w:val="00F61437"/>
    <w:rsid w:val="00F62A8A"/>
    <w:rsid w:val="00F62DDC"/>
    <w:rsid w:val="00F62FBD"/>
    <w:rsid w:val="00F63941"/>
    <w:rsid w:val="00F63A48"/>
    <w:rsid w:val="00F63D4A"/>
    <w:rsid w:val="00F65564"/>
    <w:rsid w:val="00F66110"/>
    <w:rsid w:val="00F67161"/>
    <w:rsid w:val="00F67E79"/>
    <w:rsid w:val="00F67EB5"/>
    <w:rsid w:val="00F70452"/>
    <w:rsid w:val="00F705FD"/>
    <w:rsid w:val="00F70C39"/>
    <w:rsid w:val="00F70C5A"/>
    <w:rsid w:val="00F72AD6"/>
    <w:rsid w:val="00F74345"/>
    <w:rsid w:val="00F74441"/>
    <w:rsid w:val="00F77F30"/>
    <w:rsid w:val="00F81214"/>
    <w:rsid w:val="00F81FA6"/>
    <w:rsid w:val="00F82529"/>
    <w:rsid w:val="00F82589"/>
    <w:rsid w:val="00F82B19"/>
    <w:rsid w:val="00F835BB"/>
    <w:rsid w:val="00F83869"/>
    <w:rsid w:val="00F84E90"/>
    <w:rsid w:val="00F85E4A"/>
    <w:rsid w:val="00F8603F"/>
    <w:rsid w:val="00F86AC1"/>
    <w:rsid w:val="00F87C4F"/>
    <w:rsid w:val="00F90AA7"/>
    <w:rsid w:val="00F91961"/>
    <w:rsid w:val="00F9212D"/>
    <w:rsid w:val="00F92AF1"/>
    <w:rsid w:val="00F92C97"/>
    <w:rsid w:val="00F92D8D"/>
    <w:rsid w:val="00F93557"/>
    <w:rsid w:val="00F937BE"/>
    <w:rsid w:val="00F94976"/>
    <w:rsid w:val="00F94D4D"/>
    <w:rsid w:val="00F94EB2"/>
    <w:rsid w:val="00F95AA3"/>
    <w:rsid w:val="00F95C4A"/>
    <w:rsid w:val="00F96CF9"/>
    <w:rsid w:val="00F971F9"/>
    <w:rsid w:val="00F97642"/>
    <w:rsid w:val="00F97B9D"/>
    <w:rsid w:val="00F97F1D"/>
    <w:rsid w:val="00FA0325"/>
    <w:rsid w:val="00FA0C15"/>
    <w:rsid w:val="00FA17B9"/>
    <w:rsid w:val="00FA2225"/>
    <w:rsid w:val="00FA301A"/>
    <w:rsid w:val="00FA3024"/>
    <w:rsid w:val="00FA3169"/>
    <w:rsid w:val="00FA3651"/>
    <w:rsid w:val="00FA377C"/>
    <w:rsid w:val="00FA406A"/>
    <w:rsid w:val="00FA4589"/>
    <w:rsid w:val="00FA5905"/>
    <w:rsid w:val="00FA5CB6"/>
    <w:rsid w:val="00FA6A4D"/>
    <w:rsid w:val="00FA6BE6"/>
    <w:rsid w:val="00FA7784"/>
    <w:rsid w:val="00FA79EA"/>
    <w:rsid w:val="00FA7FAC"/>
    <w:rsid w:val="00FB00B3"/>
    <w:rsid w:val="00FB00FE"/>
    <w:rsid w:val="00FB2199"/>
    <w:rsid w:val="00FB23A2"/>
    <w:rsid w:val="00FB295B"/>
    <w:rsid w:val="00FB37B2"/>
    <w:rsid w:val="00FB43E7"/>
    <w:rsid w:val="00FB4508"/>
    <w:rsid w:val="00FB46ED"/>
    <w:rsid w:val="00FB4C0D"/>
    <w:rsid w:val="00FB525A"/>
    <w:rsid w:val="00FB5E7D"/>
    <w:rsid w:val="00FB691B"/>
    <w:rsid w:val="00FB6F49"/>
    <w:rsid w:val="00FB752D"/>
    <w:rsid w:val="00FC1078"/>
    <w:rsid w:val="00FC14C1"/>
    <w:rsid w:val="00FC1DDB"/>
    <w:rsid w:val="00FC202A"/>
    <w:rsid w:val="00FC273B"/>
    <w:rsid w:val="00FC3457"/>
    <w:rsid w:val="00FC4818"/>
    <w:rsid w:val="00FC5415"/>
    <w:rsid w:val="00FC5C22"/>
    <w:rsid w:val="00FC5D70"/>
    <w:rsid w:val="00FC66AC"/>
    <w:rsid w:val="00FC67BD"/>
    <w:rsid w:val="00FC6E0C"/>
    <w:rsid w:val="00FC7422"/>
    <w:rsid w:val="00FC7A48"/>
    <w:rsid w:val="00FD015C"/>
    <w:rsid w:val="00FD0176"/>
    <w:rsid w:val="00FD09D8"/>
    <w:rsid w:val="00FD0DDC"/>
    <w:rsid w:val="00FD18F4"/>
    <w:rsid w:val="00FD228E"/>
    <w:rsid w:val="00FD232D"/>
    <w:rsid w:val="00FD34EF"/>
    <w:rsid w:val="00FD3731"/>
    <w:rsid w:val="00FD3733"/>
    <w:rsid w:val="00FD3AB8"/>
    <w:rsid w:val="00FD3D73"/>
    <w:rsid w:val="00FD3E44"/>
    <w:rsid w:val="00FD46DA"/>
    <w:rsid w:val="00FD4B54"/>
    <w:rsid w:val="00FD4E1E"/>
    <w:rsid w:val="00FD5811"/>
    <w:rsid w:val="00FD595E"/>
    <w:rsid w:val="00FD59DD"/>
    <w:rsid w:val="00FD5C77"/>
    <w:rsid w:val="00FD5FA7"/>
    <w:rsid w:val="00FD74B4"/>
    <w:rsid w:val="00FE01CF"/>
    <w:rsid w:val="00FE0672"/>
    <w:rsid w:val="00FE0ECE"/>
    <w:rsid w:val="00FE18C6"/>
    <w:rsid w:val="00FE1DA2"/>
    <w:rsid w:val="00FE48C2"/>
    <w:rsid w:val="00FE5CC1"/>
    <w:rsid w:val="00FE600E"/>
    <w:rsid w:val="00FE622B"/>
    <w:rsid w:val="00FE63E2"/>
    <w:rsid w:val="00FE66D3"/>
    <w:rsid w:val="00FE6744"/>
    <w:rsid w:val="00FE6AC2"/>
    <w:rsid w:val="00FE6EF0"/>
    <w:rsid w:val="00FE6F6A"/>
    <w:rsid w:val="00FE6F84"/>
    <w:rsid w:val="00FE75B6"/>
    <w:rsid w:val="00FE774E"/>
    <w:rsid w:val="00FE7D01"/>
    <w:rsid w:val="00FE7EA5"/>
    <w:rsid w:val="00FF0DAD"/>
    <w:rsid w:val="00FF1C6E"/>
    <w:rsid w:val="00FF2F3F"/>
    <w:rsid w:val="00FF3690"/>
    <w:rsid w:val="00FF4B42"/>
    <w:rsid w:val="00FF5C2C"/>
    <w:rsid w:val="00FF608E"/>
    <w:rsid w:val="00FF6CBA"/>
    <w:rsid w:val="00FF6D19"/>
    <w:rsid w:val="00FF6FCE"/>
    <w:rsid w:val="00FF70C4"/>
    <w:rsid w:val="00FF7518"/>
    <w:rsid w:val="00FF7BDC"/>
    <w:rsid w:val="00FF7DC1"/>
    <w:rsid w:val="00FF7EFF"/>
    <w:rsid w:val="00FF7FD8"/>
    <w:rsid w:val="01156C0C"/>
    <w:rsid w:val="01207B0A"/>
    <w:rsid w:val="012E536A"/>
    <w:rsid w:val="013017CD"/>
    <w:rsid w:val="01345D7A"/>
    <w:rsid w:val="0147296F"/>
    <w:rsid w:val="015251AE"/>
    <w:rsid w:val="0160084E"/>
    <w:rsid w:val="017D4F5C"/>
    <w:rsid w:val="019E4C4A"/>
    <w:rsid w:val="01BC7680"/>
    <w:rsid w:val="01BF5575"/>
    <w:rsid w:val="01D56D53"/>
    <w:rsid w:val="01DD063A"/>
    <w:rsid w:val="01E46229"/>
    <w:rsid w:val="01F6750F"/>
    <w:rsid w:val="020C727D"/>
    <w:rsid w:val="022155DD"/>
    <w:rsid w:val="024C65F5"/>
    <w:rsid w:val="024D5C41"/>
    <w:rsid w:val="02633C11"/>
    <w:rsid w:val="02661E94"/>
    <w:rsid w:val="027A5A1D"/>
    <w:rsid w:val="027D1474"/>
    <w:rsid w:val="02930042"/>
    <w:rsid w:val="02A543EC"/>
    <w:rsid w:val="02B67BB0"/>
    <w:rsid w:val="02C20916"/>
    <w:rsid w:val="02CB619B"/>
    <w:rsid w:val="02D52B76"/>
    <w:rsid w:val="02E9658F"/>
    <w:rsid w:val="02F13E51"/>
    <w:rsid w:val="02FA25DD"/>
    <w:rsid w:val="03031491"/>
    <w:rsid w:val="03052905"/>
    <w:rsid w:val="030E48E0"/>
    <w:rsid w:val="030F5155"/>
    <w:rsid w:val="03133BAF"/>
    <w:rsid w:val="0324119F"/>
    <w:rsid w:val="032D26DE"/>
    <w:rsid w:val="03461599"/>
    <w:rsid w:val="03537F3E"/>
    <w:rsid w:val="0356139D"/>
    <w:rsid w:val="035C409E"/>
    <w:rsid w:val="035F44C3"/>
    <w:rsid w:val="036068E4"/>
    <w:rsid w:val="036B64E8"/>
    <w:rsid w:val="03832FAB"/>
    <w:rsid w:val="03912F41"/>
    <w:rsid w:val="03920A67"/>
    <w:rsid w:val="039351F6"/>
    <w:rsid w:val="039B4B78"/>
    <w:rsid w:val="03A827FF"/>
    <w:rsid w:val="03C508DD"/>
    <w:rsid w:val="03C51702"/>
    <w:rsid w:val="03CD3E71"/>
    <w:rsid w:val="03E47515"/>
    <w:rsid w:val="03E537E8"/>
    <w:rsid w:val="041D2F8A"/>
    <w:rsid w:val="04215592"/>
    <w:rsid w:val="04342794"/>
    <w:rsid w:val="04362241"/>
    <w:rsid w:val="04591639"/>
    <w:rsid w:val="04675D24"/>
    <w:rsid w:val="04715F23"/>
    <w:rsid w:val="047562D8"/>
    <w:rsid w:val="04762137"/>
    <w:rsid w:val="04857BC6"/>
    <w:rsid w:val="049720EE"/>
    <w:rsid w:val="04B64C6C"/>
    <w:rsid w:val="04B82307"/>
    <w:rsid w:val="04BD2054"/>
    <w:rsid w:val="04F27A0F"/>
    <w:rsid w:val="04F51507"/>
    <w:rsid w:val="051756C8"/>
    <w:rsid w:val="052126D5"/>
    <w:rsid w:val="052454B4"/>
    <w:rsid w:val="053B16E5"/>
    <w:rsid w:val="053F03C0"/>
    <w:rsid w:val="05407656"/>
    <w:rsid w:val="054618EA"/>
    <w:rsid w:val="054D471A"/>
    <w:rsid w:val="05541EF5"/>
    <w:rsid w:val="05597A8E"/>
    <w:rsid w:val="05673907"/>
    <w:rsid w:val="05695EA7"/>
    <w:rsid w:val="05742AC8"/>
    <w:rsid w:val="058F34B0"/>
    <w:rsid w:val="059262A8"/>
    <w:rsid w:val="05A60873"/>
    <w:rsid w:val="05C6582E"/>
    <w:rsid w:val="05CC1665"/>
    <w:rsid w:val="05E7622E"/>
    <w:rsid w:val="05FB6D97"/>
    <w:rsid w:val="05FF4EA2"/>
    <w:rsid w:val="06043E9E"/>
    <w:rsid w:val="060E7A7D"/>
    <w:rsid w:val="0615020B"/>
    <w:rsid w:val="061531C6"/>
    <w:rsid w:val="06222441"/>
    <w:rsid w:val="06257970"/>
    <w:rsid w:val="0628480D"/>
    <w:rsid w:val="06352F05"/>
    <w:rsid w:val="06367DD0"/>
    <w:rsid w:val="063A1FAE"/>
    <w:rsid w:val="063E7D85"/>
    <w:rsid w:val="06414E12"/>
    <w:rsid w:val="06562220"/>
    <w:rsid w:val="0661699C"/>
    <w:rsid w:val="0676641E"/>
    <w:rsid w:val="06795888"/>
    <w:rsid w:val="0680729D"/>
    <w:rsid w:val="06883386"/>
    <w:rsid w:val="068F03B9"/>
    <w:rsid w:val="06963184"/>
    <w:rsid w:val="06965D75"/>
    <w:rsid w:val="06AA757F"/>
    <w:rsid w:val="06B75E22"/>
    <w:rsid w:val="06B869C0"/>
    <w:rsid w:val="06C67807"/>
    <w:rsid w:val="06CC603E"/>
    <w:rsid w:val="06EE06AA"/>
    <w:rsid w:val="06EF2721"/>
    <w:rsid w:val="06F63723"/>
    <w:rsid w:val="06FA19CE"/>
    <w:rsid w:val="070875E0"/>
    <w:rsid w:val="0709311E"/>
    <w:rsid w:val="0717468E"/>
    <w:rsid w:val="07245E7A"/>
    <w:rsid w:val="07293586"/>
    <w:rsid w:val="07295285"/>
    <w:rsid w:val="074139A8"/>
    <w:rsid w:val="07424046"/>
    <w:rsid w:val="074F6344"/>
    <w:rsid w:val="07546FAA"/>
    <w:rsid w:val="07571DAC"/>
    <w:rsid w:val="076046E9"/>
    <w:rsid w:val="07770C56"/>
    <w:rsid w:val="077E7738"/>
    <w:rsid w:val="079D6D17"/>
    <w:rsid w:val="07CD358E"/>
    <w:rsid w:val="07F74E8D"/>
    <w:rsid w:val="07FE1025"/>
    <w:rsid w:val="08033CE1"/>
    <w:rsid w:val="0808032A"/>
    <w:rsid w:val="080C5D36"/>
    <w:rsid w:val="080D7B30"/>
    <w:rsid w:val="08152C2E"/>
    <w:rsid w:val="08207FE1"/>
    <w:rsid w:val="08314CF2"/>
    <w:rsid w:val="083E4D1A"/>
    <w:rsid w:val="083E77C5"/>
    <w:rsid w:val="08662597"/>
    <w:rsid w:val="086718B4"/>
    <w:rsid w:val="086C77D2"/>
    <w:rsid w:val="087846CF"/>
    <w:rsid w:val="0878647D"/>
    <w:rsid w:val="088B4E03"/>
    <w:rsid w:val="088C3F03"/>
    <w:rsid w:val="08955082"/>
    <w:rsid w:val="08A41020"/>
    <w:rsid w:val="08B33B34"/>
    <w:rsid w:val="08B44428"/>
    <w:rsid w:val="08BA20B4"/>
    <w:rsid w:val="08BF745E"/>
    <w:rsid w:val="08C53A2A"/>
    <w:rsid w:val="08C82ECB"/>
    <w:rsid w:val="08DB5621"/>
    <w:rsid w:val="08E21B49"/>
    <w:rsid w:val="08F66555"/>
    <w:rsid w:val="09077801"/>
    <w:rsid w:val="09157D2F"/>
    <w:rsid w:val="091619F7"/>
    <w:rsid w:val="092217DD"/>
    <w:rsid w:val="092C4CF1"/>
    <w:rsid w:val="093847C2"/>
    <w:rsid w:val="093A7294"/>
    <w:rsid w:val="094E60B5"/>
    <w:rsid w:val="095624F6"/>
    <w:rsid w:val="0956672E"/>
    <w:rsid w:val="09621596"/>
    <w:rsid w:val="0968296F"/>
    <w:rsid w:val="096A34B2"/>
    <w:rsid w:val="096C43DF"/>
    <w:rsid w:val="097B0C64"/>
    <w:rsid w:val="09847778"/>
    <w:rsid w:val="098A771B"/>
    <w:rsid w:val="0994100B"/>
    <w:rsid w:val="09AD24C3"/>
    <w:rsid w:val="09B22D52"/>
    <w:rsid w:val="09C13F2A"/>
    <w:rsid w:val="09C445C6"/>
    <w:rsid w:val="09C85C9C"/>
    <w:rsid w:val="09DE67B4"/>
    <w:rsid w:val="0A001D5B"/>
    <w:rsid w:val="0A4A62F8"/>
    <w:rsid w:val="0A502333"/>
    <w:rsid w:val="0A5D3B7D"/>
    <w:rsid w:val="0A60541B"/>
    <w:rsid w:val="0A6840EF"/>
    <w:rsid w:val="0A7A1DB5"/>
    <w:rsid w:val="0A7D7D7B"/>
    <w:rsid w:val="0A7E164B"/>
    <w:rsid w:val="0A80201D"/>
    <w:rsid w:val="0A867F26"/>
    <w:rsid w:val="0A9C5F37"/>
    <w:rsid w:val="0A9E018A"/>
    <w:rsid w:val="0AAC0660"/>
    <w:rsid w:val="0AAC43AE"/>
    <w:rsid w:val="0AAD57AA"/>
    <w:rsid w:val="0AB34DE9"/>
    <w:rsid w:val="0AB519BB"/>
    <w:rsid w:val="0ACD6B49"/>
    <w:rsid w:val="0AD91C72"/>
    <w:rsid w:val="0ADC4504"/>
    <w:rsid w:val="0ADD5DCA"/>
    <w:rsid w:val="0AE11170"/>
    <w:rsid w:val="0AE54DE9"/>
    <w:rsid w:val="0B0363ED"/>
    <w:rsid w:val="0B11042E"/>
    <w:rsid w:val="0B173958"/>
    <w:rsid w:val="0B20457A"/>
    <w:rsid w:val="0B236999"/>
    <w:rsid w:val="0B257039"/>
    <w:rsid w:val="0B282A04"/>
    <w:rsid w:val="0B3879B4"/>
    <w:rsid w:val="0B3F3282"/>
    <w:rsid w:val="0B40174C"/>
    <w:rsid w:val="0B492FF9"/>
    <w:rsid w:val="0B796D59"/>
    <w:rsid w:val="0B7C0033"/>
    <w:rsid w:val="0B7C73E9"/>
    <w:rsid w:val="0B857E5D"/>
    <w:rsid w:val="0B896AE3"/>
    <w:rsid w:val="0B8B6465"/>
    <w:rsid w:val="0BB252DA"/>
    <w:rsid w:val="0BC451BD"/>
    <w:rsid w:val="0BCD3CBF"/>
    <w:rsid w:val="0BD27BF6"/>
    <w:rsid w:val="0BDE0106"/>
    <w:rsid w:val="0BE72DD4"/>
    <w:rsid w:val="0BEB76EF"/>
    <w:rsid w:val="0BED3996"/>
    <w:rsid w:val="0BEE4152"/>
    <w:rsid w:val="0BF73BDC"/>
    <w:rsid w:val="0C0063D5"/>
    <w:rsid w:val="0C324B95"/>
    <w:rsid w:val="0C6F5DE9"/>
    <w:rsid w:val="0C8877D9"/>
    <w:rsid w:val="0CA06260"/>
    <w:rsid w:val="0CA17C9B"/>
    <w:rsid w:val="0CAC4948"/>
    <w:rsid w:val="0CB56E1A"/>
    <w:rsid w:val="0CE42333"/>
    <w:rsid w:val="0CEE21D6"/>
    <w:rsid w:val="0CF3521D"/>
    <w:rsid w:val="0D1C7E60"/>
    <w:rsid w:val="0D2963AD"/>
    <w:rsid w:val="0D3C173D"/>
    <w:rsid w:val="0D3E41AA"/>
    <w:rsid w:val="0D514FBC"/>
    <w:rsid w:val="0D590091"/>
    <w:rsid w:val="0D660CF7"/>
    <w:rsid w:val="0D800692"/>
    <w:rsid w:val="0D9466D4"/>
    <w:rsid w:val="0D984ECC"/>
    <w:rsid w:val="0DA77037"/>
    <w:rsid w:val="0DBE6BFC"/>
    <w:rsid w:val="0DC0489B"/>
    <w:rsid w:val="0DC458FA"/>
    <w:rsid w:val="0DC47A59"/>
    <w:rsid w:val="0DC635AB"/>
    <w:rsid w:val="0DD1661C"/>
    <w:rsid w:val="0DE46363"/>
    <w:rsid w:val="0DF33BF7"/>
    <w:rsid w:val="0DFA5B87"/>
    <w:rsid w:val="0E002722"/>
    <w:rsid w:val="0E0E4022"/>
    <w:rsid w:val="0E110D06"/>
    <w:rsid w:val="0E127644"/>
    <w:rsid w:val="0E183A0A"/>
    <w:rsid w:val="0E1E4BF1"/>
    <w:rsid w:val="0E3A59B8"/>
    <w:rsid w:val="0E4532A6"/>
    <w:rsid w:val="0E45375B"/>
    <w:rsid w:val="0E4D3588"/>
    <w:rsid w:val="0E523019"/>
    <w:rsid w:val="0E6A4ABA"/>
    <w:rsid w:val="0E7F714C"/>
    <w:rsid w:val="0E9A32E1"/>
    <w:rsid w:val="0EA0228A"/>
    <w:rsid w:val="0EC6276B"/>
    <w:rsid w:val="0ECC0256"/>
    <w:rsid w:val="0EED597A"/>
    <w:rsid w:val="0F0847B9"/>
    <w:rsid w:val="0F0E18EA"/>
    <w:rsid w:val="0F13775A"/>
    <w:rsid w:val="0F156190"/>
    <w:rsid w:val="0F20161D"/>
    <w:rsid w:val="0F216FC8"/>
    <w:rsid w:val="0F2902A2"/>
    <w:rsid w:val="0F2C6214"/>
    <w:rsid w:val="0F362BEE"/>
    <w:rsid w:val="0F3A0931"/>
    <w:rsid w:val="0F3C1B49"/>
    <w:rsid w:val="0F3D2C51"/>
    <w:rsid w:val="0F61399A"/>
    <w:rsid w:val="0F707EAE"/>
    <w:rsid w:val="0F814183"/>
    <w:rsid w:val="0F86780E"/>
    <w:rsid w:val="0F8A31B7"/>
    <w:rsid w:val="0F94153E"/>
    <w:rsid w:val="0F9A112B"/>
    <w:rsid w:val="0FAC1776"/>
    <w:rsid w:val="0FB9731D"/>
    <w:rsid w:val="0FBA381F"/>
    <w:rsid w:val="0FBD3F1B"/>
    <w:rsid w:val="0FD3668F"/>
    <w:rsid w:val="0FDC42A7"/>
    <w:rsid w:val="0FFA21A7"/>
    <w:rsid w:val="0FFC3E38"/>
    <w:rsid w:val="1017657C"/>
    <w:rsid w:val="102962AF"/>
    <w:rsid w:val="102B0ABF"/>
    <w:rsid w:val="10410109"/>
    <w:rsid w:val="10414249"/>
    <w:rsid w:val="10496ED1"/>
    <w:rsid w:val="1058678B"/>
    <w:rsid w:val="106324FE"/>
    <w:rsid w:val="106D2F64"/>
    <w:rsid w:val="107D3A31"/>
    <w:rsid w:val="107E62CF"/>
    <w:rsid w:val="108305EC"/>
    <w:rsid w:val="10881228"/>
    <w:rsid w:val="108A1177"/>
    <w:rsid w:val="108D2B90"/>
    <w:rsid w:val="10911741"/>
    <w:rsid w:val="10B26206"/>
    <w:rsid w:val="10B63710"/>
    <w:rsid w:val="10B71B0D"/>
    <w:rsid w:val="10C5422A"/>
    <w:rsid w:val="10DF7915"/>
    <w:rsid w:val="10F14E98"/>
    <w:rsid w:val="111C2F7A"/>
    <w:rsid w:val="1126626E"/>
    <w:rsid w:val="113013DE"/>
    <w:rsid w:val="11422AFB"/>
    <w:rsid w:val="115B5F6D"/>
    <w:rsid w:val="11625F1D"/>
    <w:rsid w:val="11627CCB"/>
    <w:rsid w:val="118508BC"/>
    <w:rsid w:val="11BA2FC8"/>
    <w:rsid w:val="11E84674"/>
    <w:rsid w:val="11ED1877"/>
    <w:rsid w:val="11F3162F"/>
    <w:rsid w:val="11FE3E97"/>
    <w:rsid w:val="120A0293"/>
    <w:rsid w:val="1219590B"/>
    <w:rsid w:val="121F3E0E"/>
    <w:rsid w:val="122B06C2"/>
    <w:rsid w:val="125A2B72"/>
    <w:rsid w:val="12892583"/>
    <w:rsid w:val="129774B3"/>
    <w:rsid w:val="1299424E"/>
    <w:rsid w:val="12AD4A21"/>
    <w:rsid w:val="12B84F78"/>
    <w:rsid w:val="12CC0F20"/>
    <w:rsid w:val="12D234A7"/>
    <w:rsid w:val="12D23E17"/>
    <w:rsid w:val="12DC2819"/>
    <w:rsid w:val="12E83F98"/>
    <w:rsid w:val="12ED1F61"/>
    <w:rsid w:val="12ED63D8"/>
    <w:rsid w:val="12FE3A23"/>
    <w:rsid w:val="130308E2"/>
    <w:rsid w:val="13112957"/>
    <w:rsid w:val="1322529A"/>
    <w:rsid w:val="13272AC9"/>
    <w:rsid w:val="1343322F"/>
    <w:rsid w:val="134C04BE"/>
    <w:rsid w:val="13511DA5"/>
    <w:rsid w:val="135B0E75"/>
    <w:rsid w:val="135D0E89"/>
    <w:rsid w:val="136E7F4E"/>
    <w:rsid w:val="13747410"/>
    <w:rsid w:val="137C147E"/>
    <w:rsid w:val="13836E85"/>
    <w:rsid w:val="138478CB"/>
    <w:rsid w:val="13870D31"/>
    <w:rsid w:val="13951726"/>
    <w:rsid w:val="139F6F2E"/>
    <w:rsid w:val="13B9148C"/>
    <w:rsid w:val="13D7411D"/>
    <w:rsid w:val="13D759D8"/>
    <w:rsid w:val="13E250F3"/>
    <w:rsid w:val="13E72709"/>
    <w:rsid w:val="13F44634"/>
    <w:rsid w:val="13FD404E"/>
    <w:rsid w:val="14024044"/>
    <w:rsid w:val="14330FA7"/>
    <w:rsid w:val="14396509"/>
    <w:rsid w:val="1447165C"/>
    <w:rsid w:val="14575AE1"/>
    <w:rsid w:val="145B41AB"/>
    <w:rsid w:val="14673660"/>
    <w:rsid w:val="14720225"/>
    <w:rsid w:val="14761E85"/>
    <w:rsid w:val="149A59CD"/>
    <w:rsid w:val="14C4222A"/>
    <w:rsid w:val="14C5167B"/>
    <w:rsid w:val="14CB2A69"/>
    <w:rsid w:val="14D34E35"/>
    <w:rsid w:val="14E06DE6"/>
    <w:rsid w:val="150A0824"/>
    <w:rsid w:val="151E03AD"/>
    <w:rsid w:val="15356028"/>
    <w:rsid w:val="15462DE3"/>
    <w:rsid w:val="156E276C"/>
    <w:rsid w:val="15840DEB"/>
    <w:rsid w:val="15886C7E"/>
    <w:rsid w:val="158C3D18"/>
    <w:rsid w:val="15915022"/>
    <w:rsid w:val="159840EC"/>
    <w:rsid w:val="15990463"/>
    <w:rsid w:val="159A6B80"/>
    <w:rsid w:val="159D0EE3"/>
    <w:rsid w:val="15AE0E9F"/>
    <w:rsid w:val="15B036FB"/>
    <w:rsid w:val="15B904A4"/>
    <w:rsid w:val="15BD6FF9"/>
    <w:rsid w:val="15DA2525"/>
    <w:rsid w:val="15DC09DB"/>
    <w:rsid w:val="15E4155B"/>
    <w:rsid w:val="15E94004"/>
    <w:rsid w:val="15FD7FC2"/>
    <w:rsid w:val="16041350"/>
    <w:rsid w:val="16233D37"/>
    <w:rsid w:val="16473933"/>
    <w:rsid w:val="164B6F7F"/>
    <w:rsid w:val="1664704E"/>
    <w:rsid w:val="1665400F"/>
    <w:rsid w:val="167A1812"/>
    <w:rsid w:val="169342AE"/>
    <w:rsid w:val="169C7F0D"/>
    <w:rsid w:val="16B03286"/>
    <w:rsid w:val="16D64E30"/>
    <w:rsid w:val="17057F60"/>
    <w:rsid w:val="171C7D5E"/>
    <w:rsid w:val="171D2B00"/>
    <w:rsid w:val="171E5F6F"/>
    <w:rsid w:val="172B5FD9"/>
    <w:rsid w:val="173C51FF"/>
    <w:rsid w:val="1752776F"/>
    <w:rsid w:val="17546308"/>
    <w:rsid w:val="17591E95"/>
    <w:rsid w:val="1759391E"/>
    <w:rsid w:val="175B2228"/>
    <w:rsid w:val="17735226"/>
    <w:rsid w:val="17743DA6"/>
    <w:rsid w:val="17821EB7"/>
    <w:rsid w:val="178A2966"/>
    <w:rsid w:val="178A3AD7"/>
    <w:rsid w:val="17A23E6D"/>
    <w:rsid w:val="17A25113"/>
    <w:rsid w:val="17AA1148"/>
    <w:rsid w:val="17D22B01"/>
    <w:rsid w:val="17D86F39"/>
    <w:rsid w:val="17DC2B47"/>
    <w:rsid w:val="17EE050A"/>
    <w:rsid w:val="17F0403C"/>
    <w:rsid w:val="17F81389"/>
    <w:rsid w:val="18053B90"/>
    <w:rsid w:val="1807460B"/>
    <w:rsid w:val="180C0D2D"/>
    <w:rsid w:val="181B0BD3"/>
    <w:rsid w:val="18514312"/>
    <w:rsid w:val="185B282D"/>
    <w:rsid w:val="185B4F34"/>
    <w:rsid w:val="185F4F64"/>
    <w:rsid w:val="18697D46"/>
    <w:rsid w:val="1870167E"/>
    <w:rsid w:val="188350F6"/>
    <w:rsid w:val="188E400A"/>
    <w:rsid w:val="18A72999"/>
    <w:rsid w:val="18AE52BE"/>
    <w:rsid w:val="18B25E53"/>
    <w:rsid w:val="18B74634"/>
    <w:rsid w:val="18C33745"/>
    <w:rsid w:val="18E95329"/>
    <w:rsid w:val="18F14324"/>
    <w:rsid w:val="1902278B"/>
    <w:rsid w:val="19055CE1"/>
    <w:rsid w:val="191506B4"/>
    <w:rsid w:val="191915B7"/>
    <w:rsid w:val="1929663F"/>
    <w:rsid w:val="194204B0"/>
    <w:rsid w:val="194859F8"/>
    <w:rsid w:val="19495E63"/>
    <w:rsid w:val="19594409"/>
    <w:rsid w:val="19620016"/>
    <w:rsid w:val="19763B86"/>
    <w:rsid w:val="197B63D4"/>
    <w:rsid w:val="197E0240"/>
    <w:rsid w:val="19AC5F87"/>
    <w:rsid w:val="19B22502"/>
    <w:rsid w:val="19D80564"/>
    <w:rsid w:val="19E905C7"/>
    <w:rsid w:val="19EF54B2"/>
    <w:rsid w:val="19F62009"/>
    <w:rsid w:val="1A1C66C0"/>
    <w:rsid w:val="1A2A44A4"/>
    <w:rsid w:val="1A421E29"/>
    <w:rsid w:val="1A42393B"/>
    <w:rsid w:val="1A462647"/>
    <w:rsid w:val="1A4C32C6"/>
    <w:rsid w:val="1A4D12D0"/>
    <w:rsid w:val="1A637909"/>
    <w:rsid w:val="1A6562F0"/>
    <w:rsid w:val="1A787502"/>
    <w:rsid w:val="1A845156"/>
    <w:rsid w:val="1AA749A0"/>
    <w:rsid w:val="1AA81FDF"/>
    <w:rsid w:val="1AB3171B"/>
    <w:rsid w:val="1AB5530F"/>
    <w:rsid w:val="1AB62E35"/>
    <w:rsid w:val="1AB65A44"/>
    <w:rsid w:val="1AC63445"/>
    <w:rsid w:val="1ADE7E86"/>
    <w:rsid w:val="1ADF4299"/>
    <w:rsid w:val="1AE16104"/>
    <w:rsid w:val="1AFD7CF5"/>
    <w:rsid w:val="1B046F80"/>
    <w:rsid w:val="1B222279"/>
    <w:rsid w:val="1B237BBD"/>
    <w:rsid w:val="1B282A9E"/>
    <w:rsid w:val="1B2B737F"/>
    <w:rsid w:val="1B3267B5"/>
    <w:rsid w:val="1B3A21D2"/>
    <w:rsid w:val="1B40666C"/>
    <w:rsid w:val="1B5C578B"/>
    <w:rsid w:val="1B66379C"/>
    <w:rsid w:val="1B82567B"/>
    <w:rsid w:val="1B8608F1"/>
    <w:rsid w:val="1B8F434E"/>
    <w:rsid w:val="1B917B2A"/>
    <w:rsid w:val="1B9764CF"/>
    <w:rsid w:val="1B9C58CB"/>
    <w:rsid w:val="1BA84E74"/>
    <w:rsid w:val="1BB534F0"/>
    <w:rsid w:val="1BBB4D60"/>
    <w:rsid w:val="1BC25DC8"/>
    <w:rsid w:val="1BC61FEE"/>
    <w:rsid w:val="1BE00FF8"/>
    <w:rsid w:val="1BEE1BEB"/>
    <w:rsid w:val="1BF31E38"/>
    <w:rsid w:val="1BF33FF1"/>
    <w:rsid w:val="1BF46B5C"/>
    <w:rsid w:val="1BF8028F"/>
    <w:rsid w:val="1C0148D0"/>
    <w:rsid w:val="1C0876C1"/>
    <w:rsid w:val="1C1004A6"/>
    <w:rsid w:val="1C116A87"/>
    <w:rsid w:val="1C121D74"/>
    <w:rsid w:val="1C2F04CC"/>
    <w:rsid w:val="1C35495A"/>
    <w:rsid w:val="1C463555"/>
    <w:rsid w:val="1C4F7D33"/>
    <w:rsid w:val="1C5B7A25"/>
    <w:rsid w:val="1C5E7925"/>
    <w:rsid w:val="1C887FC8"/>
    <w:rsid w:val="1C8B51C9"/>
    <w:rsid w:val="1C905643"/>
    <w:rsid w:val="1CA82651"/>
    <w:rsid w:val="1CAD63BB"/>
    <w:rsid w:val="1CC7296E"/>
    <w:rsid w:val="1CED1A50"/>
    <w:rsid w:val="1CFA6C9B"/>
    <w:rsid w:val="1CFD339B"/>
    <w:rsid w:val="1CFF0AC4"/>
    <w:rsid w:val="1D0F4F11"/>
    <w:rsid w:val="1D1A328E"/>
    <w:rsid w:val="1D1F1166"/>
    <w:rsid w:val="1D21135E"/>
    <w:rsid w:val="1D2B3592"/>
    <w:rsid w:val="1D352737"/>
    <w:rsid w:val="1D44297A"/>
    <w:rsid w:val="1D4C4C64"/>
    <w:rsid w:val="1D5D7822"/>
    <w:rsid w:val="1D5F6196"/>
    <w:rsid w:val="1D6132A5"/>
    <w:rsid w:val="1D633F48"/>
    <w:rsid w:val="1D666D95"/>
    <w:rsid w:val="1D820FFB"/>
    <w:rsid w:val="1D876E66"/>
    <w:rsid w:val="1D8E56D5"/>
    <w:rsid w:val="1D905BC0"/>
    <w:rsid w:val="1DA10881"/>
    <w:rsid w:val="1DA37038"/>
    <w:rsid w:val="1DA553CB"/>
    <w:rsid w:val="1DC1725E"/>
    <w:rsid w:val="1DD513FB"/>
    <w:rsid w:val="1DF36D83"/>
    <w:rsid w:val="1E2553B7"/>
    <w:rsid w:val="1E256B95"/>
    <w:rsid w:val="1E276146"/>
    <w:rsid w:val="1E522E75"/>
    <w:rsid w:val="1E7211CB"/>
    <w:rsid w:val="1E7A43DA"/>
    <w:rsid w:val="1E8776A6"/>
    <w:rsid w:val="1E8970D4"/>
    <w:rsid w:val="1E8C282B"/>
    <w:rsid w:val="1E8C40FD"/>
    <w:rsid w:val="1E8C5657"/>
    <w:rsid w:val="1EB204BD"/>
    <w:rsid w:val="1EB277FE"/>
    <w:rsid w:val="1EB70330"/>
    <w:rsid w:val="1EBA1146"/>
    <w:rsid w:val="1EC33C48"/>
    <w:rsid w:val="1EC91389"/>
    <w:rsid w:val="1ECE2E43"/>
    <w:rsid w:val="1EE35933"/>
    <w:rsid w:val="1EE461C3"/>
    <w:rsid w:val="1EEE3082"/>
    <w:rsid w:val="1EF74148"/>
    <w:rsid w:val="1EF816D6"/>
    <w:rsid w:val="1EFA3C38"/>
    <w:rsid w:val="1F0C6F48"/>
    <w:rsid w:val="1F1325A2"/>
    <w:rsid w:val="1F141418"/>
    <w:rsid w:val="1F1A15CB"/>
    <w:rsid w:val="1F1E0243"/>
    <w:rsid w:val="1F260691"/>
    <w:rsid w:val="1F2802D7"/>
    <w:rsid w:val="1F525822"/>
    <w:rsid w:val="1F532BE0"/>
    <w:rsid w:val="1F600E3F"/>
    <w:rsid w:val="1F623D93"/>
    <w:rsid w:val="1F6C0234"/>
    <w:rsid w:val="1F6D57E4"/>
    <w:rsid w:val="1F7F25FA"/>
    <w:rsid w:val="1F856DC6"/>
    <w:rsid w:val="1F8A27AC"/>
    <w:rsid w:val="1FA12280"/>
    <w:rsid w:val="1FB27619"/>
    <w:rsid w:val="1FBE2A33"/>
    <w:rsid w:val="1FE7539E"/>
    <w:rsid w:val="1FEE2CD9"/>
    <w:rsid w:val="200761F2"/>
    <w:rsid w:val="200F016C"/>
    <w:rsid w:val="20140EB5"/>
    <w:rsid w:val="201E5F1B"/>
    <w:rsid w:val="20284BD8"/>
    <w:rsid w:val="202A2B59"/>
    <w:rsid w:val="203C0B6A"/>
    <w:rsid w:val="20426151"/>
    <w:rsid w:val="20484673"/>
    <w:rsid w:val="205630F0"/>
    <w:rsid w:val="20566549"/>
    <w:rsid w:val="20691214"/>
    <w:rsid w:val="206936A9"/>
    <w:rsid w:val="20730EF7"/>
    <w:rsid w:val="20857125"/>
    <w:rsid w:val="208E54CE"/>
    <w:rsid w:val="20963CB8"/>
    <w:rsid w:val="20B07FB6"/>
    <w:rsid w:val="20BE6D47"/>
    <w:rsid w:val="20C20898"/>
    <w:rsid w:val="20CC39D2"/>
    <w:rsid w:val="20DD63AA"/>
    <w:rsid w:val="20E165FA"/>
    <w:rsid w:val="20F12A4E"/>
    <w:rsid w:val="210344EC"/>
    <w:rsid w:val="2107263D"/>
    <w:rsid w:val="2107420D"/>
    <w:rsid w:val="21117017"/>
    <w:rsid w:val="211C233A"/>
    <w:rsid w:val="211D4441"/>
    <w:rsid w:val="21354AB4"/>
    <w:rsid w:val="213A47C0"/>
    <w:rsid w:val="213B74B1"/>
    <w:rsid w:val="213E29D3"/>
    <w:rsid w:val="21410DA6"/>
    <w:rsid w:val="214F2030"/>
    <w:rsid w:val="215A2310"/>
    <w:rsid w:val="215E51A4"/>
    <w:rsid w:val="21601C89"/>
    <w:rsid w:val="21797D14"/>
    <w:rsid w:val="21B46AB5"/>
    <w:rsid w:val="21BA4813"/>
    <w:rsid w:val="21D62311"/>
    <w:rsid w:val="21DE318A"/>
    <w:rsid w:val="21DE7835"/>
    <w:rsid w:val="21EF5B80"/>
    <w:rsid w:val="22241543"/>
    <w:rsid w:val="22576990"/>
    <w:rsid w:val="225D0766"/>
    <w:rsid w:val="22857CBD"/>
    <w:rsid w:val="22910410"/>
    <w:rsid w:val="22924443"/>
    <w:rsid w:val="22940BBD"/>
    <w:rsid w:val="229C4EAB"/>
    <w:rsid w:val="22AC5A47"/>
    <w:rsid w:val="22C5169A"/>
    <w:rsid w:val="22EC3C97"/>
    <w:rsid w:val="22ED2676"/>
    <w:rsid w:val="22F131CE"/>
    <w:rsid w:val="23007343"/>
    <w:rsid w:val="230B0717"/>
    <w:rsid w:val="23175A3D"/>
    <w:rsid w:val="232C42D2"/>
    <w:rsid w:val="23482D20"/>
    <w:rsid w:val="234B4A63"/>
    <w:rsid w:val="234C2C87"/>
    <w:rsid w:val="235B0B13"/>
    <w:rsid w:val="235F62EB"/>
    <w:rsid w:val="2375377C"/>
    <w:rsid w:val="23907A64"/>
    <w:rsid w:val="23AA5B9D"/>
    <w:rsid w:val="23B645EF"/>
    <w:rsid w:val="23B819CC"/>
    <w:rsid w:val="23DC56BB"/>
    <w:rsid w:val="23E46A62"/>
    <w:rsid w:val="240D260A"/>
    <w:rsid w:val="241C63D3"/>
    <w:rsid w:val="241D1F1A"/>
    <w:rsid w:val="241E11A6"/>
    <w:rsid w:val="24392B0D"/>
    <w:rsid w:val="243A0633"/>
    <w:rsid w:val="2448292C"/>
    <w:rsid w:val="244871F4"/>
    <w:rsid w:val="244B6791"/>
    <w:rsid w:val="2452045C"/>
    <w:rsid w:val="245E4322"/>
    <w:rsid w:val="24637217"/>
    <w:rsid w:val="24665A6C"/>
    <w:rsid w:val="247747E9"/>
    <w:rsid w:val="24803136"/>
    <w:rsid w:val="24953D9D"/>
    <w:rsid w:val="24964652"/>
    <w:rsid w:val="249F4C4E"/>
    <w:rsid w:val="24B44518"/>
    <w:rsid w:val="24C04A13"/>
    <w:rsid w:val="24E9391D"/>
    <w:rsid w:val="2507279C"/>
    <w:rsid w:val="25096983"/>
    <w:rsid w:val="25261F4B"/>
    <w:rsid w:val="25271233"/>
    <w:rsid w:val="252D53FE"/>
    <w:rsid w:val="254E083A"/>
    <w:rsid w:val="255A0F8D"/>
    <w:rsid w:val="257B6535"/>
    <w:rsid w:val="258C7A1C"/>
    <w:rsid w:val="25B02C88"/>
    <w:rsid w:val="25B6018D"/>
    <w:rsid w:val="25BB62A4"/>
    <w:rsid w:val="25BF3FCF"/>
    <w:rsid w:val="25C428AA"/>
    <w:rsid w:val="25C670F0"/>
    <w:rsid w:val="25C73B97"/>
    <w:rsid w:val="25E20E58"/>
    <w:rsid w:val="25EC2D81"/>
    <w:rsid w:val="25F01073"/>
    <w:rsid w:val="26025EB7"/>
    <w:rsid w:val="26060AEC"/>
    <w:rsid w:val="26121868"/>
    <w:rsid w:val="262033B7"/>
    <w:rsid w:val="264528BD"/>
    <w:rsid w:val="26543C2E"/>
    <w:rsid w:val="265956E8"/>
    <w:rsid w:val="265A2FB3"/>
    <w:rsid w:val="266F2816"/>
    <w:rsid w:val="267F6383"/>
    <w:rsid w:val="26940EB6"/>
    <w:rsid w:val="26955FF5"/>
    <w:rsid w:val="26B13E86"/>
    <w:rsid w:val="26B47A3B"/>
    <w:rsid w:val="26BD06CA"/>
    <w:rsid w:val="26C35D89"/>
    <w:rsid w:val="26C568DA"/>
    <w:rsid w:val="26C82875"/>
    <w:rsid w:val="26CF6390"/>
    <w:rsid w:val="26E11DEA"/>
    <w:rsid w:val="26F1147D"/>
    <w:rsid w:val="26F40F6D"/>
    <w:rsid w:val="26F65206"/>
    <w:rsid w:val="271221EC"/>
    <w:rsid w:val="27181EA1"/>
    <w:rsid w:val="272979ED"/>
    <w:rsid w:val="275859A0"/>
    <w:rsid w:val="275A5149"/>
    <w:rsid w:val="275C2E8D"/>
    <w:rsid w:val="277F5CB0"/>
    <w:rsid w:val="27925E18"/>
    <w:rsid w:val="279524B3"/>
    <w:rsid w:val="27982240"/>
    <w:rsid w:val="27A04C51"/>
    <w:rsid w:val="27B721F7"/>
    <w:rsid w:val="27C74E74"/>
    <w:rsid w:val="27CE0B50"/>
    <w:rsid w:val="27D15DD1"/>
    <w:rsid w:val="27D55913"/>
    <w:rsid w:val="27DA2695"/>
    <w:rsid w:val="27DC2A3D"/>
    <w:rsid w:val="27F67316"/>
    <w:rsid w:val="28177755"/>
    <w:rsid w:val="28243AD4"/>
    <w:rsid w:val="282975C3"/>
    <w:rsid w:val="282B188B"/>
    <w:rsid w:val="286D78DD"/>
    <w:rsid w:val="28A76295"/>
    <w:rsid w:val="28B33045"/>
    <w:rsid w:val="28DB6D02"/>
    <w:rsid w:val="28F1161A"/>
    <w:rsid w:val="28FF01EC"/>
    <w:rsid w:val="2908012F"/>
    <w:rsid w:val="290D1896"/>
    <w:rsid w:val="29206EB8"/>
    <w:rsid w:val="2939710B"/>
    <w:rsid w:val="293E2974"/>
    <w:rsid w:val="295714A5"/>
    <w:rsid w:val="295C1217"/>
    <w:rsid w:val="29633DEC"/>
    <w:rsid w:val="296A5517"/>
    <w:rsid w:val="2973435C"/>
    <w:rsid w:val="29933992"/>
    <w:rsid w:val="29B003B5"/>
    <w:rsid w:val="29B32521"/>
    <w:rsid w:val="29C4759E"/>
    <w:rsid w:val="29CB4353"/>
    <w:rsid w:val="29D56610"/>
    <w:rsid w:val="29E325E0"/>
    <w:rsid w:val="29F34EA8"/>
    <w:rsid w:val="29F718B3"/>
    <w:rsid w:val="29FB5CE7"/>
    <w:rsid w:val="2A0C4820"/>
    <w:rsid w:val="2A0F718F"/>
    <w:rsid w:val="2A1E040A"/>
    <w:rsid w:val="2A270CB2"/>
    <w:rsid w:val="2A44045E"/>
    <w:rsid w:val="2A452503"/>
    <w:rsid w:val="2A8252A3"/>
    <w:rsid w:val="2A825A62"/>
    <w:rsid w:val="2A8A5D4D"/>
    <w:rsid w:val="2AA64D3B"/>
    <w:rsid w:val="2AA83C62"/>
    <w:rsid w:val="2AAF3B06"/>
    <w:rsid w:val="2ABC1917"/>
    <w:rsid w:val="2ADC3E7C"/>
    <w:rsid w:val="2AE71583"/>
    <w:rsid w:val="2B0025D7"/>
    <w:rsid w:val="2B492F35"/>
    <w:rsid w:val="2B5657ED"/>
    <w:rsid w:val="2B5D4431"/>
    <w:rsid w:val="2B66221C"/>
    <w:rsid w:val="2B6D4C0E"/>
    <w:rsid w:val="2B78059D"/>
    <w:rsid w:val="2B7C45EA"/>
    <w:rsid w:val="2B845D79"/>
    <w:rsid w:val="2B8B6B56"/>
    <w:rsid w:val="2B8C3E6A"/>
    <w:rsid w:val="2B9E1E03"/>
    <w:rsid w:val="2BA63FF2"/>
    <w:rsid w:val="2BA936A8"/>
    <w:rsid w:val="2BAE36BF"/>
    <w:rsid w:val="2BB76808"/>
    <w:rsid w:val="2BC01D73"/>
    <w:rsid w:val="2BC91AAE"/>
    <w:rsid w:val="2BCB017A"/>
    <w:rsid w:val="2BE64494"/>
    <w:rsid w:val="2BE7036A"/>
    <w:rsid w:val="2BE8517E"/>
    <w:rsid w:val="2BFF0CFC"/>
    <w:rsid w:val="2BFF463C"/>
    <w:rsid w:val="2C146544"/>
    <w:rsid w:val="2C263E4B"/>
    <w:rsid w:val="2C3057A2"/>
    <w:rsid w:val="2C312DF8"/>
    <w:rsid w:val="2C315A5A"/>
    <w:rsid w:val="2C357940"/>
    <w:rsid w:val="2C4C177D"/>
    <w:rsid w:val="2C6D3C9C"/>
    <w:rsid w:val="2C7B7E4F"/>
    <w:rsid w:val="2C9B1628"/>
    <w:rsid w:val="2CB11884"/>
    <w:rsid w:val="2CB537B0"/>
    <w:rsid w:val="2CC568CD"/>
    <w:rsid w:val="2CC85953"/>
    <w:rsid w:val="2CCB65DF"/>
    <w:rsid w:val="2CDE06F5"/>
    <w:rsid w:val="2CE1077A"/>
    <w:rsid w:val="2CE21A38"/>
    <w:rsid w:val="2CE75A2B"/>
    <w:rsid w:val="2CFA3055"/>
    <w:rsid w:val="2D1B777C"/>
    <w:rsid w:val="2D3A2723"/>
    <w:rsid w:val="2D4973F6"/>
    <w:rsid w:val="2D4A004D"/>
    <w:rsid w:val="2D52241C"/>
    <w:rsid w:val="2D7918D9"/>
    <w:rsid w:val="2D8923EA"/>
    <w:rsid w:val="2D9E56F5"/>
    <w:rsid w:val="2D9E79CC"/>
    <w:rsid w:val="2DB152F1"/>
    <w:rsid w:val="2DB344F5"/>
    <w:rsid w:val="2DBA2A40"/>
    <w:rsid w:val="2DD67855"/>
    <w:rsid w:val="2DEC1B49"/>
    <w:rsid w:val="2DEC22A7"/>
    <w:rsid w:val="2DF278F3"/>
    <w:rsid w:val="2E143129"/>
    <w:rsid w:val="2E387E16"/>
    <w:rsid w:val="2E416702"/>
    <w:rsid w:val="2E426A62"/>
    <w:rsid w:val="2E667F96"/>
    <w:rsid w:val="2E69138B"/>
    <w:rsid w:val="2E7037F2"/>
    <w:rsid w:val="2E737E3A"/>
    <w:rsid w:val="2E764632"/>
    <w:rsid w:val="2E78096D"/>
    <w:rsid w:val="2E8226AB"/>
    <w:rsid w:val="2E8B380E"/>
    <w:rsid w:val="2EAA302D"/>
    <w:rsid w:val="2EAF1E5F"/>
    <w:rsid w:val="2EB15996"/>
    <w:rsid w:val="2EB52A65"/>
    <w:rsid w:val="2EBC2976"/>
    <w:rsid w:val="2ED3134A"/>
    <w:rsid w:val="2ED84870"/>
    <w:rsid w:val="2EEA5E3F"/>
    <w:rsid w:val="2EED56B7"/>
    <w:rsid w:val="2F444137"/>
    <w:rsid w:val="2F4F200B"/>
    <w:rsid w:val="2F5E25F0"/>
    <w:rsid w:val="2F7E4854"/>
    <w:rsid w:val="2F832C79"/>
    <w:rsid w:val="2F9A2CA1"/>
    <w:rsid w:val="2FCA6CA2"/>
    <w:rsid w:val="2FEA49AA"/>
    <w:rsid w:val="2FEF2D58"/>
    <w:rsid w:val="30011C5E"/>
    <w:rsid w:val="300A6626"/>
    <w:rsid w:val="30113460"/>
    <w:rsid w:val="30121FB0"/>
    <w:rsid w:val="301D4D37"/>
    <w:rsid w:val="30481810"/>
    <w:rsid w:val="304940D8"/>
    <w:rsid w:val="304C40DD"/>
    <w:rsid w:val="30580BC9"/>
    <w:rsid w:val="305A54BE"/>
    <w:rsid w:val="306F30FF"/>
    <w:rsid w:val="306F58FD"/>
    <w:rsid w:val="30926091"/>
    <w:rsid w:val="30962946"/>
    <w:rsid w:val="30C81DC9"/>
    <w:rsid w:val="30CE0A81"/>
    <w:rsid w:val="30D50061"/>
    <w:rsid w:val="30D528C7"/>
    <w:rsid w:val="30DD487F"/>
    <w:rsid w:val="30E67B79"/>
    <w:rsid w:val="30F6078C"/>
    <w:rsid w:val="30FA62B6"/>
    <w:rsid w:val="310D69B5"/>
    <w:rsid w:val="311530C4"/>
    <w:rsid w:val="31156C18"/>
    <w:rsid w:val="311E2ED7"/>
    <w:rsid w:val="31290B04"/>
    <w:rsid w:val="31391F1F"/>
    <w:rsid w:val="31467D62"/>
    <w:rsid w:val="314F477F"/>
    <w:rsid w:val="315C449C"/>
    <w:rsid w:val="31766F10"/>
    <w:rsid w:val="317759AD"/>
    <w:rsid w:val="31AD1098"/>
    <w:rsid w:val="31AD58C3"/>
    <w:rsid w:val="31AE7A3B"/>
    <w:rsid w:val="31B82709"/>
    <w:rsid w:val="31BE4A4C"/>
    <w:rsid w:val="31C64FD5"/>
    <w:rsid w:val="31DA55AA"/>
    <w:rsid w:val="31E004B3"/>
    <w:rsid w:val="31E71DFA"/>
    <w:rsid w:val="32004CAC"/>
    <w:rsid w:val="322B1F07"/>
    <w:rsid w:val="3231788D"/>
    <w:rsid w:val="32400B34"/>
    <w:rsid w:val="32457477"/>
    <w:rsid w:val="325B4A55"/>
    <w:rsid w:val="3260451D"/>
    <w:rsid w:val="326368DB"/>
    <w:rsid w:val="32645858"/>
    <w:rsid w:val="326C67A3"/>
    <w:rsid w:val="32796F70"/>
    <w:rsid w:val="327E0CC1"/>
    <w:rsid w:val="32803FFD"/>
    <w:rsid w:val="32852EE6"/>
    <w:rsid w:val="32890DA0"/>
    <w:rsid w:val="328E04C8"/>
    <w:rsid w:val="329E6876"/>
    <w:rsid w:val="32A74B46"/>
    <w:rsid w:val="32A93289"/>
    <w:rsid w:val="32B85947"/>
    <w:rsid w:val="32BD7C95"/>
    <w:rsid w:val="32C251CE"/>
    <w:rsid w:val="32C319C7"/>
    <w:rsid w:val="32C50B14"/>
    <w:rsid w:val="32CA7B56"/>
    <w:rsid w:val="32EF2346"/>
    <w:rsid w:val="32F50547"/>
    <w:rsid w:val="33025736"/>
    <w:rsid w:val="330E33B7"/>
    <w:rsid w:val="33234C82"/>
    <w:rsid w:val="33311DD8"/>
    <w:rsid w:val="3332573D"/>
    <w:rsid w:val="33453FC4"/>
    <w:rsid w:val="33472FB5"/>
    <w:rsid w:val="334849DE"/>
    <w:rsid w:val="335C22BD"/>
    <w:rsid w:val="3369683F"/>
    <w:rsid w:val="33721193"/>
    <w:rsid w:val="33797244"/>
    <w:rsid w:val="33824B11"/>
    <w:rsid w:val="33831E88"/>
    <w:rsid w:val="33AB50A9"/>
    <w:rsid w:val="33D01A75"/>
    <w:rsid w:val="33D934D4"/>
    <w:rsid w:val="33DC6096"/>
    <w:rsid w:val="33FE2F6A"/>
    <w:rsid w:val="34107FDB"/>
    <w:rsid w:val="342174AA"/>
    <w:rsid w:val="34237336"/>
    <w:rsid w:val="342D576F"/>
    <w:rsid w:val="34387AC9"/>
    <w:rsid w:val="344845F8"/>
    <w:rsid w:val="344A5198"/>
    <w:rsid w:val="344E4897"/>
    <w:rsid w:val="345968B4"/>
    <w:rsid w:val="348203CC"/>
    <w:rsid w:val="349703F9"/>
    <w:rsid w:val="3499149E"/>
    <w:rsid w:val="349D2C44"/>
    <w:rsid w:val="34A55F9D"/>
    <w:rsid w:val="34AB44C8"/>
    <w:rsid w:val="34C0717C"/>
    <w:rsid w:val="34CA155F"/>
    <w:rsid w:val="34D157E5"/>
    <w:rsid w:val="34D2025D"/>
    <w:rsid w:val="34D30777"/>
    <w:rsid w:val="34DD362D"/>
    <w:rsid w:val="34DF16EF"/>
    <w:rsid w:val="34E91FA1"/>
    <w:rsid w:val="34EA39B0"/>
    <w:rsid w:val="34F07218"/>
    <w:rsid w:val="34F30333"/>
    <w:rsid w:val="35125C3C"/>
    <w:rsid w:val="351E54A7"/>
    <w:rsid w:val="352B0E08"/>
    <w:rsid w:val="35314339"/>
    <w:rsid w:val="354D466A"/>
    <w:rsid w:val="35553F22"/>
    <w:rsid w:val="355B7EB7"/>
    <w:rsid w:val="3577060E"/>
    <w:rsid w:val="3579545F"/>
    <w:rsid w:val="357E0CC8"/>
    <w:rsid w:val="358B19A4"/>
    <w:rsid w:val="35933CBE"/>
    <w:rsid w:val="35A86386"/>
    <w:rsid w:val="35D642FA"/>
    <w:rsid w:val="35DF49AB"/>
    <w:rsid w:val="35EB3E83"/>
    <w:rsid w:val="35EE1FED"/>
    <w:rsid w:val="35F72600"/>
    <w:rsid w:val="35F76AB2"/>
    <w:rsid w:val="36074A7F"/>
    <w:rsid w:val="361D31D8"/>
    <w:rsid w:val="362420BE"/>
    <w:rsid w:val="36260A17"/>
    <w:rsid w:val="3627310D"/>
    <w:rsid w:val="364F35D4"/>
    <w:rsid w:val="36594DE4"/>
    <w:rsid w:val="36621956"/>
    <w:rsid w:val="36716224"/>
    <w:rsid w:val="367D2D2D"/>
    <w:rsid w:val="36923549"/>
    <w:rsid w:val="36947B18"/>
    <w:rsid w:val="36B56D28"/>
    <w:rsid w:val="36B75FBF"/>
    <w:rsid w:val="36BB3856"/>
    <w:rsid w:val="36C66189"/>
    <w:rsid w:val="36DF5918"/>
    <w:rsid w:val="36E27034"/>
    <w:rsid w:val="36FB4891"/>
    <w:rsid w:val="37113DA8"/>
    <w:rsid w:val="37115F69"/>
    <w:rsid w:val="372638FC"/>
    <w:rsid w:val="37490B77"/>
    <w:rsid w:val="37575C49"/>
    <w:rsid w:val="37711912"/>
    <w:rsid w:val="37977FFB"/>
    <w:rsid w:val="379E11AD"/>
    <w:rsid w:val="37B61321"/>
    <w:rsid w:val="37BE3CCC"/>
    <w:rsid w:val="37CF2ED3"/>
    <w:rsid w:val="37E56149"/>
    <w:rsid w:val="37E776C2"/>
    <w:rsid w:val="37EB56E1"/>
    <w:rsid w:val="37EC1EE0"/>
    <w:rsid w:val="37EF775E"/>
    <w:rsid w:val="38156F95"/>
    <w:rsid w:val="382465DF"/>
    <w:rsid w:val="385E6B8E"/>
    <w:rsid w:val="386A1343"/>
    <w:rsid w:val="38726196"/>
    <w:rsid w:val="38727707"/>
    <w:rsid w:val="389425B0"/>
    <w:rsid w:val="389B1A54"/>
    <w:rsid w:val="389E342F"/>
    <w:rsid w:val="389F73CF"/>
    <w:rsid w:val="38AE5C7C"/>
    <w:rsid w:val="38B50391"/>
    <w:rsid w:val="38B60726"/>
    <w:rsid w:val="38CD2EAD"/>
    <w:rsid w:val="38F12CD3"/>
    <w:rsid w:val="38F77DC9"/>
    <w:rsid w:val="38F94775"/>
    <w:rsid w:val="390E133F"/>
    <w:rsid w:val="3914724D"/>
    <w:rsid w:val="39172711"/>
    <w:rsid w:val="391B5813"/>
    <w:rsid w:val="392971ED"/>
    <w:rsid w:val="392C78A8"/>
    <w:rsid w:val="392F5A72"/>
    <w:rsid w:val="394138F6"/>
    <w:rsid w:val="3948612E"/>
    <w:rsid w:val="394B46EA"/>
    <w:rsid w:val="394E275F"/>
    <w:rsid w:val="39506E15"/>
    <w:rsid w:val="398A30B4"/>
    <w:rsid w:val="398A3122"/>
    <w:rsid w:val="39977847"/>
    <w:rsid w:val="399B2773"/>
    <w:rsid w:val="399C7ECC"/>
    <w:rsid w:val="39A65EE0"/>
    <w:rsid w:val="39BC5AD0"/>
    <w:rsid w:val="39CD4F59"/>
    <w:rsid w:val="39D54E8F"/>
    <w:rsid w:val="39E84962"/>
    <w:rsid w:val="3A0E7E3E"/>
    <w:rsid w:val="3A191058"/>
    <w:rsid w:val="3A300FF5"/>
    <w:rsid w:val="3A461F8A"/>
    <w:rsid w:val="3A4742B7"/>
    <w:rsid w:val="3A67612F"/>
    <w:rsid w:val="3A7C791B"/>
    <w:rsid w:val="3A856654"/>
    <w:rsid w:val="3A94153C"/>
    <w:rsid w:val="3A9649ED"/>
    <w:rsid w:val="3A9B19D4"/>
    <w:rsid w:val="3AA27206"/>
    <w:rsid w:val="3AB16FE5"/>
    <w:rsid w:val="3AB436CA"/>
    <w:rsid w:val="3AB737DF"/>
    <w:rsid w:val="3AC0768C"/>
    <w:rsid w:val="3AC66A0E"/>
    <w:rsid w:val="3AD849D6"/>
    <w:rsid w:val="3AFB5CD8"/>
    <w:rsid w:val="3B161A45"/>
    <w:rsid w:val="3B3763D1"/>
    <w:rsid w:val="3B410B1F"/>
    <w:rsid w:val="3B5F441B"/>
    <w:rsid w:val="3B672AAE"/>
    <w:rsid w:val="3B684AFD"/>
    <w:rsid w:val="3B6B35CE"/>
    <w:rsid w:val="3B6C511E"/>
    <w:rsid w:val="3B7900AF"/>
    <w:rsid w:val="3B8A45C9"/>
    <w:rsid w:val="3B8A6F41"/>
    <w:rsid w:val="3B8E2986"/>
    <w:rsid w:val="3BA85AE9"/>
    <w:rsid w:val="3BF514BB"/>
    <w:rsid w:val="3BF86D30"/>
    <w:rsid w:val="3C0815AA"/>
    <w:rsid w:val="3C541430"/>
    <w:rsid w:val="3C6504EB"/>
    <w:rsid w:val="3C6E4EC6"/>
    <w:rsid w:val="3C8D6E3C"/>
    <w:rsid w:val="3CA0645A"/>
    <w:rsid w:val="3CAA7E15"/>
    <w:rsid w:val="3CAC611A"/>
    <w:rsid w:val="3CC045E4"/>
    <w:rsid w:val="3CC1212F"/>
    <w:rsid w:val="3CC97F27"/>
    <w:rsid w:val="3CD016DD"/>
    <w:rsid w:val="3CDA245A"/>
    <w:rsid w:val="3CDC3E2B"/>
    <w:rsid w:val="3CEA487B"/>
    <w:rsid w:val="3CEB61B9"/>
    <w:rsid w:val="3CEE0A37"/>
    <w:rsid w:val="3CFA185B"/>
    <w:rsid w:val="3CFB49AC"/>
    <w:rsid w:val="3D25781A"/>
    <w:rsid w:val="3D3879AE"/>
    <w:rsid w:val="3D4C148D"/>
    <w:rsid w:val="3D566086"/>
    <w:rsid w:val="3D5A265A"/>
    <w:rsid w:val="3D701448"/>
    <w:rsid w:val="3D7C2E18"/>
    <w:rsid w:val="3D8B7A94"/>
    <w:rsid w:val="3DA40910"/>
    <w:rsid w:val="3DA91C38"/>
    <w:rsid w:val="3DA96496"/>
    <w:rsid w:val="3DBF2B54"/>
    <w:rsid w:val="3DC477D1"/>
    <w:rsid w:val="3DEA6063"/>
    <w:rsid w:val="3DF81AB3"/>
    <w:rsid w:val="3DF87E32"/>
    <w:rsid w:val="3E0520C7"/>
    <w:rsid w:val="3E2D1849"/>
    <w:rsid w:val="3E362009"/>
    <w:rsid w:val="3E3F1D93"/>
    <w:rsid w:val="3E506BD6"/>
    <w:rsid w:val="3E535A21"/>
    <w:rsid w:val="3E667CDE"/>
    <w:rsid w:val="3E686888"/>
    <w:rsid w:val="3E7836DD"/>
    <w:rsid w:val="3E842E86"/>
    <w:rsid w:val="3E84376B"/>
    <w:rsid w:val="3E94330A"/>
    <w:rsid w:val="3E9B4F3C"/>
    <w:rsid w:val="3EAF0C80"/>
    <w:rsid w:val="3ECE7C0D"/>
    <w:rsid w:val="3ED70DA0"/>
    <w:rsid w:val="3EE753E4"/>
    <w:rsid w:val="3F0829C0"/>
    <w:rsid w:val="3F210D3D"/>
    <w:rsid w:val="3F282D0B"/>
    <w:rsid w:val="3F444B6B"/>
    <w:rsid w:val="3F4E5D7C"/>
    <w:rsid w:val="3F660E74"/>
    <w:rsid w:val="3F6C5190"/>
    <w:rsid w:val="3F7C1874"/>
    <w:rsid w:val="3F890995"/>
    <w:rsid w:val="3F8A6236"/>
    <w:rsid w:val="3FAC34FD"/>
    <w:rsid w:val="3FB53538"/>
    <w:rsid w:val="3FB54769"/>
    <w:rsid w:val="3FDA39A1"/>
    <w:rsid w:val="3FE40EF4"/>
    <w:rsid w:val="3FFE0BC0"/>
    <w:rsid w:val="3FFF7CFC"/>
    <w:rsid w:val="40010708"/>
    <w:rsid w:val="40167D4F"/>
    <w:rsid w:val="40217047"/>
    <w:rsid w:val="403B1563"/>
    <w:rsid w:val="405D597D"/>
    <w:rsid w:val="407A6407"/>
    <w:rsid w:val="408B290C"/>
    <w:rsid w:val="408B3E46"/>
    <w:rsid w:val="408D1DBF"/>
    <w:rsid w:val="408E6E09"/>
    <w:rsid w:val="40B07636"/>
    <w:rsid w:val="40C90CF4"/>
    <w:rsid w:val="40D3785B"/>
    <w:rsid w:val="40E46790"/>
    <w:rsid w:val="410D73A4"/>
    <w:rsid w:val="413466DE"/>
    <w:rsid w:val="413C2BF8"/>
    <w:rsid w:val="41420E26"/>
    <w:rsid w:val="41430E6F"/>
    <w:rsid w:val="414561C2"/>
    <w:rsid w:val="41523727"/>
    <w:rsid w:val="416F3F7E"/>
    <w:rsid w:val="41744645"/>
    <w:rsid w:val="418C651A"/>
    <w:rsid w:val="41A22D70"/>
    <w:rsid w:val="41A3224A"/>
    <w:rsid w:val="41BB2B5E"/>
    <w:rsid w:val="41BC3B53"/>
    <w:rsid w:val="41E61A7C"/>
    <w:rsid w:val="41F83BB0"/>
    <w:rsid w:val="4201007E"/>
    <w:rsid w:val="4206515C"/>
    <w:rsid w:val="420F3692"/>
    <w:rsid w:val="42100EF9"/>
    <w:rsid w:val="4213162E"/>
    <w:rsid w:val="421D7172"/>
    <w:rsid w:val="422B23CE"/>
    <w:rsid w:val="422B7AE1"/>
    <w:rsid w:val="422E7B30"/>
    <w:rsid w:val="423A3BCC"/>
    <w:rsid w:val="42533AB7"/>
    <w:rsid w:val="4259773D"/>
    <w:rsid w:val="425A0117"/>
    <w:rsid w:val="426D2BDB"/>
    <w:rsid w:val="42723962"/>
    <w:rsid w:val="427D6F5C"/>
    <w:rsid w:val="428746B9"/>
    <w:rsid w:val="42914FE4"/>
    <w:rsid w:val="42974546"/>
    <w:rsid w:val="42980EEF"/>
    <w:rsid w:val="429F6298"/>
    <w:rsid w:val="42A52BEB"/>
    <w:rsid w:val="42D42037"/>
    <w:rsid w:val="42D93C9B"/>
    <w:rsid w:val="42E46F7E"/>
    <w:rsid w:val="42E70C35"/>
    <w:rsid w:val="42F03815"/>
    <w:rsid w:val="42F503E1"/>
    <w:rsid w:val="42F51B08"/>
    <w:rsid w:val="42F65387"/>
    <w:rsid w:val="42F875ED"/>
    <w:rsid w:val="430F032A"/>
    <w:rsid w:val="43125C86"/>
    <w:rsid w:val="43143BC9"/>
    <w:rsid w:val="431B6CE2"/>
    <w:rsid w:val="431F12FF"/>
    <w:rsid w:val="4328568B"/>
    <w:rsid w:val="432F67AC"/>
    <w:rsid w:val="433A6FE6"/>
    <w:rsid w:val="433B3B7E"/>
    <w:rsid w:val="43445A7B"/>
    <w:rsid w:val="434555B7"/>
    <w:rsid w:val="4350713C"/>
    <w:rsid w:val="436653E0"/>
    <w:rsid w:val="4373475A"/>
    <w:rsid w:val="437E00E5"/>
    <w:rsid w:val="438B13D1"/>
    <w:rsid w:val="43934972"/>
    <w:rsid w:val="43B12466"/>
    <w:rsid w:val="43BE3F4D"/>
    <w:rsid w:val="43BE4324"/>
    <w:rsid w:val="43D601BA"/>
    <w:rsid w:val="43DD1A79"/>
    <w:rsid w:val="43DF6932"/>
    <w:rsid w:val="441F4041"/>
    <w:rsid w:val="4423397A"/>
    <w:rsid w:val="444B3524"/>
    <w:rsid w:val="444E1335"/>
    <w:rsid w:val="44694BDC"/>
    <w:rsid w:val="44A07E66"/>
    <w:rsid w:val="44CC653B"/>
    <w:rsid w:val="44CD14E0"/>
    <w:rsid w:val="44CD42CD"/>
    <w:rsid w:val="44CD43FD"/>
    <w:rsid w:val="44E66574"/>
    <w:rsid w:val="44F124E4"/>
    <w:rsid w:val="44F26D60"/>
    <w:rsid w:val="44F3065E"/>
    <w:rsid w:val="44FE7D50"/>
    <w:rsid w:val="45093793"/>
    <w:rsid w:val="45122928"/>
    <w:rsid w:val="4512577F"/>
    <w:rsid w:val="45595B61"/>
    <w:rsid w:val="455C26A8"/>
    <w:rsid w:val="45631749"/>
    <w:rsid w:val="457C0654"/>
    <w:rsid w:val="458330B6"/>
    <w:rsid w:val="458946E9"/>
    <w:rsid w:val="458C7E4F"/>
    <w:rsid w:val="45A17C5F"/>
    <w:rsid w:val="45AE04A7"/>
    <w:rsid w:val="45B1654F"/>
    <w:rsid w:val="45F679AD"/>
    <w:rsid w:val="46011C8D"/>
    <w:rsid w:val="461B3652"/>
    <w:rsid w:val="462036D5"/>
    <w:rsid w:val="46210897"/>
    <w:rsid w:val="462346E4"/>
    <w:rsid w:val="46257056"/>
    <w:rsid w:val="46362867"/>
    <w:rsid w:val="46364CA7"/>
    <w:rsid w:val="464C5B3C"/>
    <w:rsid w:val="464D7AD1"/>
    <w:rsid w:val="46644335"/>
    <w:rsid w:val="4676107B"/>
    <w:rsid w:val="467F493D"/>
    <w:rsid w:val="468C446B"/>
    <w:rsid w:val="4699195A"/>
    <w:rsid w:val="469D7460"/>
    <w:rsid w:val="46AB5C9A"/>
    <w:rsid w:val="46AB731F"/>
    <w:rsid w:val="46B138F5"/>
    <w:rsid w:val="46CD62F9"/>
    <w:rsid w:val="46D66D73"/>
    <w:rsid w:val="46D955A7"/>
    <w:rsid w:val="46EE1E81"/>
    <w:rsid w:val="46EE5581"/>
    <w:rsid w:val="46F31855"/>
    <w:rsid w:val="47133957"/>
    <w:rsid w:val="47152B0E"/>
    <w:rsid w:val="471A1403"/>
    <w:rsid w:val="471E5F4B"/>
    <w:rsid w:val="47264693"/>
    <w:rsid w:val="472A1D97"/>
    <w:rsid w:val="4734568A"/>
    <w:rsid w:val="47462CC7"/>
    <w:rsid w:val="4779329E"/>
    <w:rsid w:val="47831386"/>
    <w:rsid w:val="478441BD"/>
    <w:rsid w:val="479325BA"/>
    <w:rsid w:val="47A034BC"/>
    <w:rsid w:val="47A07E0C"/>
    <w:rsid w:val="47A143A2"/>
    <w:rsid w:val="47AC3472"/>
    <w:rsid w:val="47B669FA"/>
    <w:rsid w:val="47D43EB2"/>
    <w:rsid w:val="47E04ECA"/>
    <w:rsid w:val="47EC5295"/>
    <w:rsid w:val="47EF2F5A"/>
    <w:rsid w:val="47EF64DD"/>
    <w:rsid w:val="47F35FB2"/>
    <w:rsid w:val="47F46227"/>
    <w:rsid w:val="47FD0A89"/>
    <w:rsid w:val="48032EBB"/>
    <w:rsid w:val="48046F93"/>
    <w:rsid w:val="48124FFE"/>
    <w:rsid w:val="481614A7"/>
    <w:rsid w:val="48220181"/>
    <w:rsid w:val="485A1F15"/>
    <w:rsid w:val="4870272E"/>
    <w:rsid w:val="487B21B1"/>
    <w:rsid w:val="4885268B"/>
    <w:rsid w:val="48982125"/>
    <w:rsid w:val="489F6F9E"/>
    <w:rsid w:val="48A018E9"/>
    <w:rsid w:val="48A103AE"/>
    <w:rsid w:val="48B35E22"/>
    <w:rsid w:val="48B768EB"/>
    <w:rsid w:val="48BC29A8"/>
    <w:rsid w:val="48CB2E34"/>
    <w:rsid w:val="48D13D93"/>
    <w:rsid w:val="48DB72FE"/>
    <w:rsid w:val="48DF0ABA"/>
    <w:rsid w:val="48E56510"/>
    <w:rsid w:val="48E922DD"/>
    <w:rsid w:val="48F12B17"/>
    <w:rsid w:val="48FF4D57"/>
    <w:rsid w:val="490715C7"/>
    <w:rsid w:val="490F7582"/>
    <w:rsid w:val="491C652F"/>
    <w:rsid w:val="491E4F4E"/>
    <w:rsid w:val="492D2EF8"/>
    <w:rsid w:val="49303C2F"/>
    <w:rsid w:val="49382305"/>
    <w:rsid w:val="495C444F"/>
    <w:rsid w:val="49854A14"/>
    <w:rsid w:val="498939DA"/>
    <w:rsid w:val="499213BB"/>
    <w:rsid w:val="499237EC"/>
    <w:rsid w:val="499A554C"/>
    <w:rsid w:val="499D049E"/>
    <w:rsid w:val="49A343E8"/>
    <w:rsid w:val="49A468C1"/>
    <w:rsid w:val="49BA5B52"/>
    <w:rsid w:val="49BD7579"/>
    <w:rsid w:val="49C11C8B"/>
    <w:rsid w:val="49CD147E"/>
    <w:rsid w:val="49DC7715"/>
    <w:rsid w:val="49E8275C"/>
    <w:rsid w:val="49EB5DA8"/>
    <w:rsid w:val="49EB720C"/>
    <w:rsid w:val="49F7474D"/>
    <w:rsid w:val="4A023139"/>
    <w:rsid w:val="4A11358F"/>
    <w:rsid w:val="4A1B2930"/>
    <w:rsid w:val="4A1F50C2"/>
    <w:rsid w:val="4A203206"/>
    <w:rsid w:val="4A2D2041"/>
    <w:rsid w:val="4A4D3D1D"/>
    <w:rsid w:val="4A592BDA"/>
    <w:rsid w:val="4A5E1E1B"/>
    <w:rsid w:val="4A6242BC"/>
    <w:rsid w:val="4A634174"/>
    <w:rsid w:val="4A7B576F"/>
    <w:rsid w:val="4A7C4B24"/>
    <w:rsid w:val="4A84222B"/>
    <w:rsid w:val="4AC00E34"/>
    <w:rsid w:val="4AC76815"/>
    <w:rsid w:val="4AD93E52"/>
    <w:rsid w:val="4AE9678B"/>
    <w:rsid w:val="4AEA5CB4"/>
    <w:rsid w:val="4AF91BE5"/>
    <w:rsid w:val="4AF9244B"/>
    <w:rsid w:val="4AFE31A9"/>
    <w:rsid w:val="4B031300"/>
    <w:rsid w:val="4B09298A"/>
    <w:rsid w:val="4B0E50EA"/>
    <w:rsid w:val="4B1C090F"/>
    <w:rsid w:val="4B257DF3"/>
    <w:rsid w:val="4B29588E"/>
    <w:rsid w:val="4B361242"/>
    <w:rsid w:val="4B3B555D"/>
    <w:rsid w:val="4B3D13B4"/>
    <w:rsid w:val="4B406334"/>
    <w:rsid w:val="4B4F7F80"/>
    <w:rsid w:val="4B52518D"/>
    <w:rsid w:val="4B5856BF"/>
    <w:rsid w:val="4B764378"/>
    <w:rsid w:val="4B9761E7"/>
    <w:rsid w:val="4BA22810"/>
    <w:rsid w:val="4BAB57EF"/>
    <w:rsid w:val="4BAD5A0B"/>
    <w:rsid w:val="4BB23021"/>
    <w:rsid w:val="4BBF129A"/>
    <w:rsid w:val="4BCA57AC"/>
    <w:rsid w:val="4BD2790E"/>
    <w:rsid w:val="4BDE6C3E"/>
    <w:rsid w:val="4BE83DFC"/>
    <w:rsid w:val="4C1348F3"/>
    <w:rsid w:val="4C2C2DD4"/>
    <w:rsid w:val="4C3177D0"/>
    <w:rsid w:val="4C352698"/>
    <w:rsid w:val="4C3C0B3D"/>
    <w:rsid w:val="4C3C28EB"/>
    <w:rsid w:val="4C4617FE"/>
    <w:rsid w:val="4C4A0649"/>
    <w:rsid w:val="4C514ECE"/>
    <w:rsid w:val="4C5432B4"/>
    <w:rsid w:val="4C703CF9"/>
    <w:rsid w:val="4C8B1DB4"/>
    <w:rsid w:val="4C941A66"/>
    <w:rsid w:val="4CA94273"/>
    <w:rsid w:val="4CAB1B90"/>
    <w:rsid w:val="4CB73056"/>
    <w:rsid w:val="4CC07437"/>
    <w:rsid w:val="4CDD6B3C"/>
    <w:rsid w:val="4CE470D3"/>
    <w:rsid w:val="4CEA1DAA"/>
    <w:rsid w:val="4D1134C9"/>
    <w:rsid w:val="4D3643E8"/>
    <w:rsid w:val="4D3A2991"/>
    <w:rsid w:val="4D3A59D1"/>
    <w:rsid w:val="4D3C7046"/>
    <w:rsid w:val="4D461770"/>
    <w:rsid w:val="4D630F15"/>
    <w:rsid w:val="4D751EF0"/>
    <w:rsid w:val="4D9358C2"/>
    <w:rsid w:val="4DAA2299"/>
    <w:rsid w:val="4DAC6134"/>
    <w:rsid w:val="4DB64580"/>
    <w:rsid w:val="4DB722BB"/>
    <w:rsid w:val="4DD117AC"/>
    <w:rsid w:val="4DDF482E"/>
    <w:rsid w:val="4DEC4FB0"/>
    <w:rsid w:val="4DEE4A39"/>
    <w:rsid w:val="4DF84F73"/>
    <w:rsid w:val="4E075D8A"/>
    <w:rsid w:val="4E0B5BA1"/>
    <w:rsid w:val="4E120E52"/>
    <w:rsid w:val="4E165AE9"/>
    <w:rsid w:val="4E1C0A2B"/>
    <w:rsid w:val="4E2A3B8D"/>
    <w:rsid w:val="4E464485"/>
    <w:rsid w:val="4E591A1C"/>
    <w:rsid w:val="4E6B04DA"/>
    <w:rsid w:val="4E7E158F"/>
    <w:rsid w:val="4E7E543D"/>
    <w:rsid w:val="4E854A1D"/>
    <w:rsid w:val="4E897736"/>
    <w:rsid w:val="4E90493B"/>
    <w:rsid w:val="4E946BAA"/>
    <w:rsid w:val="4EA2112B"/>
    <w:rsid w:val="4EBA2D91"/>
    <w:rsid w:val="4EBC5E38"/>
    <w:rsid w:val="4ED16DBE"/>
    <w:rsid w:val="4ED17C62"/>
    <w:rsid w:val="4EE03F7E"/>
    <w:rsid w:val="4EE14F04"/>
    <w:rsid w:val="4EF233D6"/>
    <w:rsid w:val="4EF72139"/>
    <w:rsid w:val="4EFB7200"/>
    <w:rsid w:val="4EFC2DE3"/>
    <w:rsid w:val="4EFD0A57"/>
    <w:rsid w:val="4F016072"/>
    <w:rsid w:val="4F1518E5"/>
    <w:rsid w:val="4F312155"/>
    <w:rsid w:val="4F3B5394"/>
    <w:rsid w:val="4F3D7F8A"/>
    <w:rsid w:val="4F416B96"/>
    <w:rsid w:val="4F9579D0"/>
    <w:rsid w:val="4FC62A8C"/>
    <w:rsid w:val="4FDC0FD2"/>
    <w:rsid w:val="4FE20F0D"/>
    <w:rsid w:val="4FE4740B"/>
    <w:rsid w:val="50196503"/>
    <w:rsid w:val="50356DDF"/>
    <w:rsid w:val="5038735D"/>
    <w:rsid w:val="503A3BDB"/>
    <w:rsid w:val="50401CAA"/>
    <w:rsid w:val="50504C4B"/>
    <w:rsid w:val="505678DE"/>
    <w:rsid w:val="50772144"/>
    <w:rsid w:val="50842312"/>
    <w:rsid w:val="508A1E77"/>
    <w:rsid w:val="508F3887"/>
    <w:rsid w:val="509C6E7C"/>
    <w:rsid w:val="509D719B"/>
    <w:rsid w:val="50AD719C"/>
    <w:rsid w:val="50BA462F"/>
    <w:rsid w:val="50C62F5E"/>
    <w:rsid w:val="50C77758"/>
    <w:rsid w:val="50D04A65"/>
    <w:rsid w:val="50E72A62"/>
    <w:rsid w:val="50F06121"/>
    <w:rsid w:val="512825C3"/>
    <w:rsid w:val="512A4FF3"/>
    <w:rsid w:val="512E5417"/>
    <w:rsid w:val="512F2A1E"/>
    <w:rsid w:val="51495C76"/>
    <w:rsid w:val="5162104E"/>
    <w:rsid w:val="51814B82"/>
    <w:rsid w:val="51853A63"/>
    <w:rsid w:val="518A560C"/>
    <w:rsid w:val="51933489"/>
    <w:rsid w:val="519C3E9C"/>
    <w:rsid w:val="519D3291"/>
    <w:rsid w:val="51E141C2"/>
    <w:rsid w:val="51F619D4"/>
    <w:rsid w:val="52020C20"/>
    <w:rsid w:val="52024F4A"/>
    <w:rsid w:val="520420FD"/>
    <w:rsid w:val="52043EAB"/>
    <w:rsid w:val="522F6471"/>
    <w:rsid w:val="52335DB9"/>
    <w:rsid w:val="523D549B"/>
    <w:rsid w:val="524F6D72"/>
    <w:rsid w:val="52560E6D"/>
    <w:rsid w:val="526243F7"/>
    <w:rsid w:val="52787745"/>
    <w:rsid w:val="52D970E6"/>
    <w:rsid w:val="53006ED7"/>
    <w:rsid w:val="5305612D"/>
    <w:rsid w:val="531446B1"/>
    <w:rsid w:val="532A16EF"/>
    <w:rsid w:val="532F6D06"/>
    <w:rsid w:val="533C0389"/>
    <w:rsid w:val="53585FA6"/>
    <w:rsid w:val="536A5F90"/>
    <w:rsid w:val="536C4E22"/>
    <w:rsid w:val="53703136"/>
    <w:rsid w:val="53894668"/>
    <w:rsid w:val="53951F3A"/>
    <w:rsid w:val="53A039CC"/>
    <w:rsid w:val="53A1505A"/>
    <w:rsid w:val="53AE63FD"/>
    <w:rsid w:val="53AF66C5"/>
    <w:rsid w:val="53B51CD8"/>
    <w:rsid w:val="53B61633"/>
    <w:rsid w:val="53D957BB"/>
    <w:rsid w:val="53DF7256"/>
    <w:rsid w:val="53E21E5E"/>
    <w:rsid w:val="54047EDF"/>
    <w:rsid w:val="54063E08"/>
    <w:rsid w:val="5406467C"/>
    <w:rsid w:val="541E5575"/>
    <w:rsid w:val="54295E55"/>
    <w:rsid w:val="542E2CE1"/>
    <w:rsid w:val="543437E8"/>
    <w:rsid w:val="5438608E"/>
    <w:rsid w:val="543C447C"/>
    <w:rsid w:val="544C5B8F"/>
    <w:rsid w:val="546654FE"/>
    <w:rsid w:val="547E0B1D"/>
    <w:rsid w:val="54815ECB"/>
    <w:rsid w:val="54A31759"/>
    <w:rsid w:val="54AA6EBE"/>
    <w:rsid w:val="54AE0563"/>
    <w:rsid w:val="54D25293"/>
    <w:rsid w:val="54D720F8"/>
    <w:rsid w:val="54DF269D"/>
    <w:rsid w:val="55063025"/>
    <w:rsid w:val="551560C9"/>
    <w:rsid w:val="55225C51"/>
    <w:rsid w:val="55292938"/>
    <w:rsid w:val="554B00AA"/>
    <w:rsid w:val="55514BE4"/>
    <w:rsid w:val="555E22D6"/>
    <w:rsid w:val="55760C1C"/>
    <w:rsid w:val="557C47BD"/>
    <w:rsid w:val="559B174B"/>
    <w:rsid w:val="55BD7794"/>
    <w:rsid w:val="55CE0CF4"/>
    <w:rsid w:val="55CE6CAA"/>
    <w:rsid w:val="55F06C20"/>
    <w:rsid w:val="55F226D9"/>
    <w:rsid w:val="55F76A14"/>
    <w:rsid w:val="56004989"/>
    <w:rsid w:val="562763BA"/>
    <w:rsid w:val="56401843"/>
    <w:rsid w:val="564735D2"/>
    <w:rsid w:val="56503B63"/>
    <w:rsid w:val="56522E72"/>
    <w:rsid w:val="56557997"/>
    <w:rsid w:val="56725887"/>
    <w:rsid w:val="568455BA"/>
    <w:rsid w:val="56874878"/>
    <w:rsid w:val="568A229F"/>
    <w:rsid w:val="56941CA1"/>
    <w:rsid w:val="56A170C7"/>
    <w:rsid w:val="56AD3EC1"/>
    <w:rsid w:val="56AF67AF"/>
    <w:rsid w:val="56B22A9C"/>
    <w:rsid w:val="56B736FE"/>
    <w:rsid w:val="56CC18F7"/>
    <w:rsid w:val="56D4692F"/>
    <w:rsid w:val="56F27874"/>
    <w:rsid w:val="56FB0410"/>
    <w:rsid w:val="570F30D6"/>
    <w:rsid w:val="571526B6"/>
    <w:rsid w:val="571C57F3"/>
    <w:rsid w:val="572323F9"/>
    <w:rsid w:val="57233025"/>
    <w:rsid w:val="572C4AC3"/>
    <w:rsid w:val="57330423"/>
    <w:rsid w:val="57421696"/>
    <w:rsid w:val="57517853"/>
    <w:rsid w:val="57746020"/>
    <w:rsid w:val="577D0987"/>
    <w:rsid w:val="57846818"/>
    <w:rsid w:val="5785330E"/>
    <w:rsid w:val="578B7146"/>
    <w:rsid w:val="579F5E9B"/>
    <w:rsid w:val="57B72A76"/>
    <w:rsid w:val="57B75541"/>
    <w:rsid w:val="57BA6B3A"/>
    <w:rsid w:val="57C05C9A"/>
    <w:rsid w:val="57D76F09"/>
    <w:rsid w:val="57EA64DD"/>
    <w:rsid w:val="58355028"/>
    <w:rsid w:val="5845437E"/>
    <w:rsid w:val="584C313A"/>
    <w:rsid w:val="58676F42"/>
    <w:rsid w:val="586924F6"/>
    <w:rsid w:val="587577D4"/>
    <w:rsid w:val="587B6D54"/>
    <w:rsid w:val="589A471A"/>
    <w:rsid w:val="589D0BB5"/>
    <w:rsid w:val="58A5398D"/>
    <w:rsid w:val="58AF73DD"/>
    <w:rsid w:val="58B672DF"/>
    <w:rsid w:val="58B82C8C"/>
    <w:rsid w:val="58B85A68"/>
    <w:rsid w:val="58BD4DB3"/>
    <w:rsid w:val="58C67F85"/>
    <w:rsid w:val="58DB76CE"/>
    <w:rsid w:val="58DE3487"/>
    <w:rsid w:val="58DF11CE"/>
    <w:rsid w:val="58E26287"/>
    <w:rsid w:val="58E32A6C"/>
    <w:rsid w:val="590B1FC3"/>
    <w:rsid w:val="592C5935"/>
    <w:rsid w:val="593E59C0"/>
    <w:rsid w:val="59424BA9"/>
    <w:rsid w:val="59441730"/>
    <w:rsid w:val="59486D73"/>
    <w:rsid w:val="596651E2"/>
    <w:rsid w:val="597464F4"/>
    <w:rsid w:val="597D3283"/>
    <w:rsid w:val="598820C9"/>
    <w:rsid w:val="598A6F43"/>
    <w:rsid w:val="598D6817"/>
    <w:rsid w:val="59BC5631"/>
    <w:rsid w:val="59BD1B51"/>
    <w:rsid w:val="59C06908"/>
    <w:rsid w:val="59D135EC"/>
    <w:rsid w:val="59D34E6F"/>
    <w:rsid w:val="59DF76D7"/>
    <w:rsid w:val="59F45346"/>
    <w:rsid w:val="5A0B6AE3"/>
    <w:rsid w:val="5A172EBD"/>
    <w:rsid w:val="5A200871"/>
    <w:rsid w:val="5A2511ED"/>
    <w:rsid w:val="5A3C747D"/>
    <w:rsid w:val="5A3F403D"/>
    <w:rsid w:val="5A421A06"/>
    <w:rsid w:val="5A435576"/>
    <w:rsid w:val="5A4C30D6"/>
    <w:rsid w:val="5A5836E3"/>
    <w:rsid w:val="5A5D05FC"/>
    <w:rsid w:val="5A613125"/>
    <w:rsid w:val="5A6C083F"/>
    <w:rsid w:val="5A7208F3"/>
    <w:rsid w:val="5A722934"/>
    <w:rsid w:val="5A8365DE"/>
    <w:rsid w:val="5A896635"/>
    <w:rsid w:val="5AA35468"/>
    <w:rsid w:val="5AB15BEF"/>
    <w:rsid w:val="5AB744D0"/>
    <w:rsid w:val="5ABB03A3"/>
    <w:rsid w:val="5ABE2233"/>
    <w:rsid w:val="5AC27052"/>
    <w:rsid w:val="5ADD601D"/>
    <w:rsid w:val="5B0121FA"/>
    <w:rsid w:val="5B0E64F3"/>
    <w:rsid w:val="5B12588A"/>
    <w:rsid w:val="5B196B41"/>
    <w:rsid w:val="5B246C23"/>
    <w:rsid w:val="5B276D18"/>
    <w:rsid w:val="5B2810A9"/>
    <w:rsid w:val="5B2E46B5"/>
    <w:rsid w:val="5B3361D7"/>
    <w:rsid w:val="5B743368"/>
    <w:rsid w:val="5B7D4954"/>
    <w:rsid w:val="5B82150F"/>
    <w:rsid w:val="5B9844C5"/>
    <w:rsid w:val="5BA536E7"/>
    <w:rsid w:val="5BD169BF"/>
    <w:rsid w:val="5BD80363"/>
    <w:rsid w:val="5BD827B7"/>
    <w:rsid w:val="5BDF5D95"/>
    <w:rsid w:val="5BF25ED6"/>
    <w:rsid w:val="5C0A0310"/>
    <w:rsid w:val="5C161431"/>
    <w:rsid w:val="5C223D56"/>
    <w:rsid w:val="5C2615FA"/>
    <w:rsid w:val="5C302BB6"/>
    <w:rsid w:val="5C310B22"/>
    <w:rsid w:val="5C357387"/>
    <w:rsid w:val="5C43498F"/>
    <w:rsid w:val="5C471564"/>
    <w:rsid w:val="5C5477DD"/>
    <w:rsid w:val="5C8D6D36"/>
    <w:rsid w:val="5C9967DA"/>
    <w:rsid w:val="5C9A3B9B"/>
    <w:rsid w:val="5CAF70D8"/>
    <w:rsid w:val="5CB1629C"/>
    <w:rsid w:val="5CB935BD"/>
    <w:rsid w:val="5CC11F40"/>
    <w:rsid w:val="5CC44962"/>
    <w:rsid w:val="5CC6692D"/>
    <w:rsid w:val="5CE334AD"/>
    <w:rsid w:val="5CE62EDC"/>
    <w:rsid w:val="5CE77D90"/>
    <w:rsid w:val="5CF529FE"/>
    <w:rsid w:val="5CF72FCD"/>
    <w:rsid w:val="5CFA13D5"/>
    <w:rsid w:val="5D0119E6"/>
    <w:rsid w:val="5D0F6EB0"/>
    <w:rsid w:val="5D1B350D"/>
    <w:rsid w:val="5D1B7BE6"/>
    <w:rsid w:val="5D1D0FB9"/>
    <w:rsid w:val="5D26561D"/>
    <w:rsid w:val="5D2F54D1"/>
    <w:rsid w:val="5D39407C"/>
    <w:rsid w:val="5D531843"/>
    <w:rsid w:val="5D732A85"/>
    <w:rsid w:val="5D735756"/>
    <w:rsid w:val="5D814309"/>
    <w:rsid w:val="5D8B5ADB"/>
    <w:rsid w:val="5DBA7B13"/>
    <w:rsid w:val="5DD4590E"/>
    <w:rsid w:val="5DDB7F0E"/>
    <w:rsid w:val="5DF87A0F"/>
    <w:rsid w:val="5DFD2379"/>
    <w:rsid w:val="5E163C5A"/>
    <w:rsid w:val="5E26763F"/>
    <w:rsid w:val="5E287354"/>
    <w:rsid w:val="5E2C0A11"/>
    <w:rsid w:val="5E2E1494"/>
    <w:rsid w:val="5E2F3045"/>
    <w:rsid w:val="5E4171FC"/>
    <w:rsid w:val="5E4526D3"/>
    <w:rsid w:val="5E533E3B"/>
    <w:rsid w:val="5E6201C3"/>
    <w:rsid w:val="5E671D5C"/>
    <w:rsid w:val="5E6A778C"/>
    <w:rsid w:val="5E8D74CF"/>
    <w:rsid w:val="5E963074"/>
    <w:rsid w:val="5EB65CE0"/>
    <w:rsid w:val="5EB8235D"/>
    <w:rsid w:val="5ED66A9D"/>
    <w:rsid w:val="5EDA221B"/>
    <w:rsid w:val="5EDE1AAD"/>
    <w:rsid w:val="5EE7042C"/>
    <w:rsid w:val="5EF3322C"/>
    <w:rsid w:val="5F047E0F"/>
    <w:rsid w:val="5F1A2B43"/>
    <w:rsid w:val="5F3774E7"/>
    <w:rsid w:val="5F4F4CBD"/>
    <w:rsid w:val="5F51027F"/>
    <w:rsid w:val="5F53130C"/>
    <w:rsid w:val="5F6E01A7"/>
    <w:rsid w:val="5F7408C2"/>
    <w:rsid w:val="5F744F2B"/>
    <w:rsid w:val="5F7C3C4C"/>
    <w:rsid w:val="5F7F21C9"/>
    <w:rsid w:val="5F8605F5"/>
    <w:rsid w:val="5F8C53FF"/>
    <w:rsid w:val="5F903222"/>
    <w:rsid w:val="5F952827"/>
    <w:rsid w:val="5F9A75CB"/>
    <w:rsid w:val="5FA3091E"/>
    <w:rsid w:val="5FA85386"/>
    <w:rsid w:val="5FB837BB"/>
    <w:rsid w:val="5FDF3861"/>
    <w:rsid w:val="5FE56C11"/>
    <w:rsid w:val="5FE80FE0"/>
    <w:rsid w:val="5FF22A2D"/>
    <w:rsid w:val="5FFB4B3F"/>
    <w:rsid w:val="600D6620"/>
    <w:rsid w:val="60163727"/>
    <w:rsid w:val="601C5F42"/>
    <w:rsid w:val="60274C72"/>
    <w:rsid w:val="60310561"/>
    <w:rsid w:val="603931F8"/>
    <w:rsid w:val="6045400C"/>
    <w:rsid w:val="605204D7"/>
    <w:rsid w:val="6056508F"/>
    <w:rsid w:val="6057239C"/>
    <w:rsid w:val="60575AEE"/>
    <w:rsid w:val="606371D9"/>
    <w:rsid w:val="606755CE"/>
    <w:rsid w:val="60680979"/>
    <w:rsid w:val="607A31C3"/>
    <w:rsid w:val="607A54CE"/>
    <w:rsid w:val="60842414"/>
    <w:rsid w:val="608D7B4A"/>
    <w:rsid w:val="60956D42"/>
    <w:rsid w:val="60A44A07"/>
    <w:rsid w:val="60B02E06"/>
    <w:rsid w:val="60BB0E53"/>
    <w:rsid w:val="60CA6446"/>
    <w:rsid w:val="60D71D62"/>
    <w:rsid w:val="60F4333C"/>
    <w:rsid w:val="6105248C"/>
    <w:rsid w:val="610619ED"/>
    <w:rsid w:val="610F6396"/>
    <w:rsid w:val="61113776"/>
    <w:rsid w:val="6122236B"/>
    <w:rsid w:val="61260B0D"/>
    <w:rsid w:val="612B7AD9"/>
    <w:rsid w:val="614823A4"/>
    <w:rsid w:val="614A0EEC"/>
    <w:rsid w:val="61500EBB"/>
    <w:rsid w:val="6152499D"/>
    <w:rsid w:val="616B2119"/>
    <w:rsid w:val="61742942"/>
    <w:rsid w:val="61781CB4"/>
    <w:rsid w:val="61792F21"/>
    <w:rsid w:val="618251ED"/>
    <w:rsid w:val="61857550"/>
    <w:rsid w:val="619F7026"/>
    <w:rsid w:val="61B01E94"/>
    <w:rsid w:val="61C50D8F"/>
    <w:rsid w:val="61CF00AE"/>
    <w:rsid w:val="61D30753"/>
    <w:rsid w:val="61D755FD"/>
    <w:rsid w:val="61DA5BB5"/>
    <w:rsid w:val="61F25EAD"/>
    <w:rsid w:val="621237CD"/>
    <w:rsid w:val="62364782"/>
    <w:rsid w:val="623954AB"/>
    <w:rsid w:val="626C11F0"/>
    <w:rsid w:val="627961EF"/>
    <w:rsid w:val="62883D71"/>
    <w:rsid w:val="62895F4A"/>
    <w:rsid w:val="628B4D70"/>
    <w:rsid w:val="629D3C8C"/>
    <w:rsid w:val="62AD4A9B"/>
    <w:rsid w:val="62B40B84"/>
    <w:rsid w:val="62B46B06"/>
    <w:rsid w:val="62CC16CF"/>
    <w:rsid w:val="62D05047"/>
    <w:rsid w:val="62F86559"/>
    <w:rsid w:val="62FA7D23"/>
    <w:rsid w:val="63020FB6"/>
    <w:rsid w:val="63040AFF"/>
    <w:rsid w:val="63093ABF"/>
    <w:rsid w:val="6328675A"/>
    <w:rsid w:val="63332842"/>
    <w:rsid w:val="633A6324"/>
    <w:rsid w:val="633C13A1"/>
    <w:rsid w:val="633D5341"/>
    <w:rsid w:val="634C2D92"/>
    <w:rsid w:val="6353140A"/>
    <w:rsid w:val="63676152"/>
    <w:rsid w:val="637B1AF3"/>
    <w:rsid w:val="637F4610"/>
    <w:rsid w:val="637F724A"/>
    <w:rsid w:val="63802EF6"/>
    <w:rsid w:val="63991152"/>
    <w:rsid w:val="63B611E1"/>
    <w:rsid w:val="63C139AA"/>
    <w:rsid w:val="63C56E39"/>
    <w:rsid w:val="63C62CA4"/>
    <w:rsid w:val="63D40BE9"/>
    <w:rsid w:val="63E0211F"/>
    <w:rsid w:val="63E66BB8"/>
    <w:rsid w:val="63F40E77"/>
    <w:rsid w:val="63F93A56"/>
    <w:rsid w:val="64103F57"/>
    <w:rsid w:val="64340620"/>
    <w:rsid w:val="643C3F5A"/>
    <w:rsid w:val="64444FF8"/>
    <w:rsid w:val="645E44CD"/>
    <w:rsid w:val="645E569D"/>
    <w:rsid w:val="64811712"/>
    <w:rsid w:val="648429F3"/>
    <w:rsid w:val="648D5F82"/>
    <w:rsid w:val="64902B36"/>
    <w:rsid w:val="6492623B"/>
    <w:rsid w:val="6492774D"/>
    <w:rsid w:val="649722D7"/>
    <w:rsid w:val="649C3287"/>
    <w:rsid w:val="64B92F7D"/>
    <w:rsid w:val="64BE730A"/>
    <w:rsid w:val="64C0045D"/>
    <w:rsid w:val="64CF40FC"/>
    <w:rsid w:val="64D01BDB"/>
    <w:rsid w:val="64D077B3"/>
    <w:rsid w:val="64E546C5"/>
    <w:rsid w:val="64EB6587"/>
    <w:rsid w:val="64EF6F06"/>
    <w:rsid w:val="64F2575D"/>
    <w:rsid w:val="65137B32"/>
    <w:rsid w:val="65245870"/>
    <w:rsid w:val="652C12F7"/>
    <w:rsid w:val="65373578"/>
    <w:rsid w:val="655B47A9"/>
    <w:rsid w:val="656A23EA"/>
    <w:rsid w:val="656E5FF8"/>
    <w:rsid w:val="657F1906"/>
    <w:rsid w:val="658805D6"/>
    <w:rsid w:val="658E7E37"/>
    <w:rsid w:val="65905D2A"/>
    <w:rsid w:val="65920AE6"/>
    <w:rsid w:val="65B30758"/>
    <w:rsid w:val="65BB5B39"/>
    <w:rsid w:val="65C864B9"/>
    <w:rsid w:val="65C94086"/>
    <w:rsid w:val="65C94FD0"/>
    <w:rsid w:val="65E434AB"/>
    <w:rsid w:val="65EE59AC"/>
    <w:rsid w:val="65EF127F"/>
    <w:rsid w:val="65F36696"/>
    <w:rsid w:val="66081D64"/>
    <w:rsid w:val="660C7021"/>
    <w:rsid w:val="6622194F"/>
    <w:rsid w:val="66332A1A"/>
    <w:rsid w:val="663B2324"/>
    <w:rsid w:val="665C5179"/>
    <w:rsid w:val="665E7BD6"/>
    <w:rsid w:val="666020C7"/>
    <w:rsid w:val="666703C9"/>
    <w:rsid w:val="668049C1"/>
    <w:rsid w:val="668313EA"/>
    <w:rsid w:val="6695125A"/>
    <w:rsid w:val="66A001EE"/>
    <w:rsid w:val="66A25300"/>
    <w:rsid w:val="66C13CC1"/>
    <w:rsid w:val="66C752EA"/>
    <w:rsid w:val="66EB4477"/>
    <w:rsid w:val="66F20AFF"/>
    <w:rsid w:val="67033487"/>
    <w:rsid w:val="670C65FD"/>
    <w:rsid w:val="6716225F"/>
    <w:rsid w:val="67185F28"/>
    <w:rsid w:val="672C1A82"/>
    <w:rsid w:val="673234D2"/>
    <w:rsid w:val="67364928"/>
    <w:rsid w:val="673653D6"/>
    <w:rsid w:val="673F2C7A"/>
    <w:rsid w:val="67493615"/>
    <w:rsid w:val="674D0172"/>
    <w:rsid w:val="6751773B"/>
    <w:rsid w:val="678F7607"/>
    <w:rsid w:val="67B14761"/>
    <w:rsid w:val="67BF2365"/>
    <w:rsid w:val="67C93856"/>
    <w:rsid w:val="67CD5A5C"/>
    <w:rsid w:val="67D12A73"/>
    <w:rsid w:val="67EB657A"/>
    <w:rsid w:val="67F043ED"/>
    <w:rsid w:val="67F5630D"/>
    <w:rsid w:val="67F930C1"/>
    <w:rsid w:val="681F6961"/>
    <w:rsid w:val="68224C33"/>
    <w:rsid w:val="682824FA"/>
    <w:rsid w:val="683010FE"/>
    <w:rsid w:val="683E498D"/>
    <w:rsid w:val="68425693"/>
    <w:rsid w:val="6845720C"/>
    <w:rsid w:val="68522D10"/>
    <w:rsid w:val="6852795D"/>
    <w:rsid w:val="685A42AA"/>
    <w:rsid w:val="68610A2F"/>
    <w:rsid w:val="686236C1"/>
    <w:rsid w:val="68751207"/>
    <w:rsid w:val="68805514"/>
    <w:rsid w:val="68971E68"/>
    <w:rsid w:val="68BE670A"/>
    <w:rsid w:val="68E32614"/>
    <w:rsid w:val="690F51B7"/>
    <w:rsid w:val="69103963"/>
    <w:rsid w:val="6912442A"/>
    <w:rsid w:val="69197DE4"/>
    <w:rsid w:val="691A0DB0"/>
    <w:rsid w:val="693678D5"/>
    <w:rsid w:val="694E2071"/>
    <w:rsid w:val="695D2520"/>
    <w:rsid w:val="69636314"/>
    <w:rsid w:val="696848C8"/>
    <w:rsid w:val="697A3B33"/>
    <w:rsid w:val="697B1828"/>
    <w:rsid w:val="697D13BD"/>
    <w:rsid w:val="698A2A90"/>
    <w:rsid w:val="699328A3"/>
    <w:rsid w:val="699E2456"/>
    <w:rsid w:val="69A02AE4"/>
    <w:rsid w:val="69C62D8F"/>
    <w:rsid w:val="69CC74B9"/>
    <w:rsid w:val="69CF3276"/>
    <w:rsid w:val="69DF5D68"/>
    <w:rsid w:val="69EB2EDA"/>
    <w:rsid w:val="69EC35B0"/>
    <w:rsid w:val="6A010B65"/>
    <w:rsid w:val="6A0E20EA"/>
    <w:rsid w:val="6A1C4030"/>
    <w:rsid w:val="6A293F99"/>
    <w:rsid w:val="6A344594"/>
    <w:rsid w:val="6A3824EC"/>
    <w:rsid w:val="6A475399"/>
    <w:rsid w:val="6A481109"/>
    <w:rsid w:val="6A83383C"/>
    <w:rsid w:val="6A8353C1"/>
    <w:rsid w:val="6A913943"/>
    <w:rsid w:val="6A95264A"/>
    <w:rsid w:val="6AC36259"/>
    <w:rsid w:val="6ACB51D4"/>
    <w:rsid w:val="6AE034F4"/>
    <w:rsid w:val="6AEC5054"/>
    <w:rsid w:val="6AF61749"/>
    <w:rsid w:val="6B056397"/>
    <w:rsid w:val="6B076753"/>
    <w:rsid w:val="6B0E443B"/>
    <w:rsid w:val="6B1A76A9"/>
    <w:rsid w:val="6B1D0F08"/>
    <w:rsid w:val="6B2729A2"/>
    <w:rsid w:val="6B322639"/>
    <w:rsid w:val="6B3D318B"/>
    <w:rsid w:val="6B41211F"/>
    <w:rsid w:val="6B513A95"/>
    <w:rsid w:val="6B5959B6"/>
    <w:rsid w:val="6B881251"/>
    <w:rsid w:val="6B8A01A0"/>
    <w:rsid w:val="6BAF2C82"/>
    <w:rsid w:val="6BC32D51"/>
    <w:rsid w:val="6BC905D3"/>
    <w:rsid w:val="6BD02ED9"/>
    <w:rsid w:val="6BD328E0"/>
    <w:rsid w:val="6BEC7608"/>
    <w:rsid w:val="6C135379"/>
    <w:rsid w:val="6C1B7172"/>
    <w:rsid w:val="6C1D408F"/>
    <w:rsid w:val="6C2462FD"/>
    <w:rsid w:val="6C2E1CD8"/>
    <w:rsid w:val="6C3C5262"/>
    <w:rsid w:val="6C3E7D12"/>
    <w:rsid w:val="6C464B5B"/>
    <w:rsid w:val="6C5E41AC"/>
    <w:rsid w:val="6C636C38"/>
    <w:rsid w:val="6C670992"/>
    <w:rsid w:val="6C7612BF"/>
    <w:rsid w:val="6C782657"/>
    <w:rsid w:val="6C9500C9"/>
    <w:rsid w:val="6C9D1138"/>
    <w:rsid w:val="6CB13C77"/>
    <w:rsid w:val="6CB66A8E"/>
    <w:rsid w:val="6CB70F1F"/>
    <w:rsid w:val="6CB95B66"/>
    <w:rsid w:val="6CBC4610"/>
    <w:rsid w:val="6CC15333"/>
    <w:rsid w:val="6CE17DB7"/>
    <w:rsid w:val="6CE241F7"/>
    <w:rsid w:val="6CFA5B29"/>
    <w:rsid w:val="6CFF5543"/>
    <w:rsid w:val="6D0A63C2"/>
    <w:rsid w:val="6D0C1D8D"/>
    <w:rsid w:val="6D1F0965"/>
    <w:rsid w:val="6D2900BF"/>
    <w:rsid w:val="6D2D399A"/>
    <w:rsid w:val="6D3D76B7"/>
    <w:rsid w:val="6D43455C"/>
    <w:rsid w:val="6D4C2C7C"/>
    <w:rsid w:val="6D534B5A"/>
    <w:rsid w:val="6D646989"/>
    <w:rsid w:val="6D881C5D"/>
    <w:rsid w:val="6D9914F3"/>
    <w:rsid w:val="6D9B5502"/>
    <w:rsid w:val="6DA73C10"/>
    <w:rsid w:val="6DB34098"/>
    <w:rsid w:val="6DB4457F"/>
    <w:rsid w:val="6DB545B6"/>
    <w:rsid w:val="6DC21DEE"/>
    <w:rsid w:val="6DD06E7D"/>
    <w:rsid w:val="6DFC344B"/>
    <w:rsid w:val="6E0203FD"/>
    <w:rsid w:val="6E156513"/>
    <w:rsid w:val="6E1901FC"/>
    <w:rsid w:val="6E194DA7"/>
    <w:rsid w:val="6E2571C1"/>
    <w:rsid w:val="6E296D1B"/>
    <w:rsid w:val="6E380E3C"/>
    <w:rsid w:val="6E3A33B0"/>
    <w:rsid w:val="6E400511"/>
    <w:rsid w:val="6E4375A0"/>
    <w:rsid w:val="6E514CED"/>
    <w:rsid w:val="6E686AEC"/>
    <w:rsid w:val="6E79491A"/>
    <w:rsid w:val="6E7F5565"/>
    <w:rsid w:val="6E810051"/>
    <w:rsid w:val="6E8126B3"/>
    <w:rsid w:val="6E826156"/>
    <w:rsid w:val="6E8E1B1A"/>
    <w:rsid w:val="6E920135"/>
    <w:rsid w:val="6EB563D5"/>
    <w:rsid w:val="6EB73C33"/>
    <w:rsid w:val="6EB86848"/>
    <w:rsid w:val="6EC03BD0"/>
    <w:rsid w:val="6EEF1D13"/>
    <w:rsid w:val="6EF0123E"/>
    <w:rsid w:val="6EF410D7"/>
    <w:rsid w:val="6F077552"/>
    <w:rsid w:val="6F0E5589"/>
    <w:rsid w:val="6F225983"/>
    <w:rsid w:val="6F2F65B3"/>
    <w:rsid w:val="6F2F75DD"/>
    <w:rsid w:val="6F3D1560"/>
    <w:rsid w:val="6F457101"/>
    <w:rsid w:val="6F60051B"/>
    <w:rsid w:val="6F643A10"/>
    <w:rsid w:val="6F6D2C37"/>
    <w:rsid w:val="6F7044D6"/>
    <w:rsid w:val="6F73060F"/>
    <w:rsid w:val="6F736397"/>
    <w:rsid w:val="6FB41E6D"/>
    <w:rsid w:val="6FB92376"/>
    <w:rsid w:val="6FD769DD"/>
    <w:rsid w:val="6FD86F48"/>
    <w:rsid w:val="6FDC0E13"/>
    <w:rsid w:val="6FE237A6"/>
    <w:rsid w:val="6FE516EF"/>
    <w:rsid w:val="6FED2C7F"/>
    <w:rsid w:val="6FFC5590"/>
    <w:rsid w:val="700853C0"/>
    <w:rsid w:val="70273E2D"/>
    <w:rsid w:val="70301DA3"/>
    <w:rsid w:val="703222F5"/>
    <w:rsid w:val="70397725"/>
    <w:rsid w:val="70517C1F"/>
    <w:rsid w:val="706D1DD0"/>
    <w:rsid w:val="706D5464"/>
    <w:rsid w:val="706E4102"/>
    <w:rsid w:val="70721085"/>
    <w:rsid w:val="70787AE6"/>
    <w:rsid w:val="707A1AB0"/>
    <w:rsid w:val="70856B87"/>
    <w:rsid w:val="70877D29"/>
    <w:rsid w:val="708B4886"/>
    <w:rsid w:val="70926DFA"/>
    <w:rsid w:val="709C268C"/>
    <w:rsid w:val="70AE1D8F"/>
    <w:rsid w:val="70AE3508"/>
    <w:rsid w:val="70D527EE"/>
    <w:rsid w:val="70DE1152"/>
    <w:rsid w:val="70E605BB"/>
    <w:rsid w:val="70F017BF"/>
    <w:rsid w:val="710D336E"/>
    <w:rsid w:val="71126879"/>
    <w:rsid w:val="711C2B67"/>
    <w:rsid w:val="712F67BF"/>
    <w:rsid w:val="715B5300"/>
    <w:rsid w:val="715F4BD7"/>
    <w:rsid w:val="716E3F02"/>
    <w:rsid w:val="717A4662"/>
    <w:rsid w:val="71A07C6F"/>
    <w:rsid w:val="71A84467"/>
    <w:rsid w:val="71AD7C63"/>
    <w:rsid w:val="71D27F8A"/>
    <w:rsid w:val="71E10307"/>
    <w:rsid w:val="71E61C32"/>
    <w:rsid w:val="71F744C6"/>
    <w:rsid w:val="71F960CF"/>
    <w:rsid w:val="72023A09"/>
    <w:rsid w:val="72025DFD"/>
    <w:rsid w:val="721A2429"/>
    <w:rsid w:val="721E24B8"/>
    <w:rsid w:val="721F39CB"/>
    <w:rsid w:val="7224761D"/>
    <w:rsid w:val="7238577F"/>
    <w:rsid w:val="723A727D"/>
    <w:rsid w:val="72434260"/>
    <w:rsid w:val="72496A1D"/>
    <w:rsid w:val="72541A83"/>
    <w:rsid w:val="72591E73"/>
    <w:rsid w:val="727D5888"/>
    <w:rsid w:val="72A34D66"/>
    <w:rsid w:val="72B37A7E"/>
    <w:rsid w:val="72E651DB"/>
    <w:rsid w:val="72F43D97"/>
    <w:rsid w:val="72FE3945"/>
    <w:rsid w:val="73047407"/>
    <w:rsid w:val="731F2276"/>
    <w:rsid w:val="731F5D5E"/>
    <w:rsid w:val="732E427E"/>
    <w:rsid w:val="7330769E"/>
    <w:rsid w:val="733628E7"/>
    <w:rsid w:val="73375A36"/>
    <w:rsid w:val="733921A9"/>
    <w:rsid w:val="733A5C9D"/>
    <w:rsid w:val="733A7F9C"/>
    <w:rsid w:val="734777BA"/>
    <w:rsid w:val="735B155C"/>
    <w:rsid w:val="735B541B"/>
    <w:rsid w:val="73644352"/>
    <w:rsid w:val="737200C3"/>
    <w:rsid w:val="7379690C"/>
    <w:rsid w:val="738F385B"/>
    <w:rsid w:val="739A5FC5"/>
    <w:rsid w:val="73AD3F4B"/>
    <w:rsid w:val="73AE4B95"/>
    <w:rsid w:val="73CB4634"/>
    <w:rsid w:val="73D5080C"/>
    <w:rsid w:val="73D54874"/>
    <w:rsid w:val="73F64FDE"/>
    <w:rsid w:val="73FC27DC"/>
    <w:rsid w:val="741E793C"/>
    <w:rsid w:val="7420296E"/>
    <w:rsid w:val="74257F85"/>
    <w:rsid w:val="742858C9"/>
    <w:rsid w:val="743158DA"/>
    <w:rsid w:val="7433131C"/>
    <w:rsid w:val="7435667E"/>
    <w:rsid w:val="743568D8"/>
    <w:rsid w:val="74587EDA"/>
    <w:rsid w:val="74592AFE"/>
    <w:rsid w:val="746C1710"/>
    <w:rsid w:val="748064FC"/>
    <w:rsid w:val="74920934"/>
    <w:rsid w:val="74B07E9F"/>
    <w:rsid w:val="74B621BA"/>
    <w:rsid w:val="74CE5F27"/>
    <w:rsid w:val="75226272"/>
    <w:rsid w:val="75273889"/>
    <w:rsid w:val="75427FD9"/>
    <w:rsid w:val="7548217D"/>
    <w:rsid w:val="75630D65"/>
    <w:rsid w:val="75640639"/>
    <w:rsid w:val="75684714"/>
    <w:rsid w:val="758C5A1E"/>
    <w:rsid w:val="758D75E2"/>
    <w:rsid w:val="759E3B4B"/>
    <w:rsid w:val="75A57FFD"/>
    <w:rsid w:val="75B34224"/>
    <w:rsid w:val="75B74C0D"/>
    <w:rsid w:val="75C75C09"/>
    <w:rsid w:val="75DE129D"/>
    <w:rsid w:val="75FF3E4E"/>
    <w:rsid w:val="76037E52"/>
    <w:rsid w:val="760466CB"/>
    <w:rsid w:val="76182022"/>
    <w:rsid w:val="762160EE"/>
    <w:rsid w:val="762D7824"/>
    <w:rsid w:val="762E6831"/>
    <w:rsid w:val="76392291"/>
    <w:rsid w:val="76685904"/>
    <w:rsid w:val="76767C50"/>
    <w:rsid w:val="76824A56"/>
    <w:rsid w:val="768B6D3C"/>
    <w:rsid w:val="76AD15FC"/>
    <w:rsid w:val="76AD7DBE"/>
    <w:rsid w:val="76BA049B"/>
    <w:rsid w:val="76CD07E9"/>
    <w:rsid w:val="76D96E05"/>
    <w:rsid w:val="76DD4DE8"/>
    <w:rsid w:val="76FC30F7"/>
    <w:rsid w:val="77004391"/>
    <w:rsid w:val="770B5616"/>
    <w:rsid w:val="771172FD"/>
    <w:rsid w:val="77327C57"/>
    <w:rsid w:val="7738674E"/>
    <w:rsid w:val="7748483C"/>
    <w:rsid w:val="77674410"/>
    <w:rsid w:val="77762421"/>
    <w:rsid w:val="779051E6"/>
    <w:rsid w:val="77955960"/>
    <w:rsid w:val="779A040C"/>
    <w:rsid w:val="77B709F0"/>
    <w:rsid w:val="77BC200C"/>
    <w:rsid w:val="77CC0FEC"/>
    <w:rsid w:val="77D777E8"/>
    <w:rsid w:val="77DF794B"/>
    <w:rsid w:val="77E30ED3"/>
    <w:rsid w:val="77E617D9"/>
    <w:rsid w:val="77EA6309"/>
    <w:rsid w:val="78037C1F"/>
    <w:rsid w:val="78065279"/>
    <w:rsid w:val="780A51E2"/>
    <w:rsid w:val="780F09F4"/>
    <w:rsid w:val="78104AA8"/>
    <w:rsid w:val="78202C5A"/>
    <w:rsid w:val="78432169"/>
    <w:rsid w:val="784B3E01"/>
    <w:rsid w:val="786819F4"/>
    <w:rsid w:val="78835C19"/>
    <w:rsid w:val="788F1E71"/>
    <w:rsid w:val="789C4F47"/>
    <w:rsid w:val="78A6288F"/>
    <w:rsid w:val="78A87337"/>
    <w:rsid w:val="78A90480"/>
    <w:rsid w:val="78AF4B55"/>
    <w:rsid w:val="78B53424"/>
    <w:rsid w:val="78BB3C7E"/>
    <w:rsid w:val="78CB2A38"/>
    <w:rsid w:val="78D3440D"/>
    <w:rsid w:val="78DD3C87"/>
    <w:rsid w:val="78ED02C3"/>
    <w:rsid w:val="78EE6031"/>
    <w:rsid w:val="790879EB"/>
    <w:rsid w:val="790C35B5"/>
    <w:rsid w:val="79554E68"/>
    <w:rsid w:val="796933E0"/>
    <w:rsid w:val="796E7CD8"/>
    <w:rsid w:val="79811327"/>
    <w:rsid w:val="79846B67"/>
    <w:rsid w:val="79994D14"/>
    <w:rsid w:val="79A0164B"/>
    <w:rsid w:val="79A44D96"/>
    <w:rsid w:val="79B8629D"/>
    <w:rsid w:val="79BD2A0E"/>
    <w:rsid w:val="79CC49FF"/>
    <w:rsid w:val="7A034535"/>
    <w:rsid w:val="7A187C44"/>
    <w:rsid w:val="7A2C1D3F"/>
    <w:rsid w:val="7A362F79"/>
    <w:rsid w:val="7A364017"/>
    <w:rsid w:val="7A4A5BFA"/>
    <w:rsid w:val="7A4F4A04"/>
    <w:rsid w:val="7A523036"/>
    <w:rsid w:val="7A5E549B"/>
    <w:rsid w:val="7A782F9B"/>
    <w:rsid w:val="7A8265E1"/>
    <w:rsid w:val="7AA07DB3"/>
    <w:rsid w:val="7AB556D2"/>
    <w:rsid w:val="7ABB3636"/>
    <w:rsid w:val="7AC754CB"/>
    <w:rsid w:val="7AFC4FF5"/>
    <w:rsid w:val="7AFC50D3"/>
    <w:rsid w:val="7B09415C"/>
    <w:rsid w:val="7B4652E0"/>
    <w:rsid w:val="7B562D29"/>
    <w:rsid w:val="7B5B300F"/>
    <w:rsid w:val="7B686D42"/>
    <w:rsid w:val="7B7407D1"/>
    <w:rsid w:val="7B750663"/>
    <w:rsid w:val="7B7E900D"/>
    <w:rsid w:val="7B841746"/>
    <w:rsid w:val="7B843C9C"/>
    <w:rsid w:val="7B8B4B71"/>
    <w:rsid w:val="7B905183"/>
    <w:rsid w:val="7B9079EA"/>
    <w:rsid w:val="7B9261DD"/>
    <w:rsid w:val="7B952EE6"/>
    <w:rsid w:val="7B9F6A50"/>
    <w:rsid w:val="7BC831C1"/>
    <w:rsid w:val="7BC92C9C"/>
    <w:rsid w:val="7BD638F8"/>
    <w:rsid w:val="7BD952FD"/>
    <w:rsid w:val="7BE05977"/>
    <w:rsid w:val="7BE21695"/>
    <w:rsid w:val="7BE6712F"/>
    <w:rsid w:val="7C116F6A"/>
    <w:rsid w:val="7C1A4AA1"/>
    <w:rsid w:val="7C232FFC"/>
    <w:rsid w:val="7C2A1D0F"/>
    <w:rsid w:val="7C2B0102"/>
    <w:rsid w:val="7C460A98"/>
    <w:rsid w:val="7C610529"/>
    <w:rsid w:val="7C6333F8"/>
    <w:rsid w:val="7C86679A"/>
    <w:rsid w:val="7CBC28B6"/>
    <w:rsid w:val="7CC55E61"/>
    <w:rsid w:val="7CF02002"/>
    <w:rsid w:val="7D012713"/>
    <w:rsid w:val="7D0239FF"/>
    <w:rsid w:val="7D050A09"/>
    <w:rsid w:val="7D195803"/>
    <w:rsid w:val="7D36281A"/>
    <w:rsid w:val="7D5E40CD"/>
    <w:rsid w:val="7D693BED"/>
    <w:rsid w:val="7D6F0819"/>
    <w:rsid w:val="7D7A30EF"/>
    <w:rsid w:val="7D7B06FD"/>
    <w:rsid w:val="7D906C7C"/>
    <w:rsid w:val="7D944F65"/>
    <w:rsid w:val="7DA4016C"/>
    <w:rsid w:val="7DCF4ABD"/>
    <w:rsid w:val="7DD72550"/>
    <w:rsid w:val="7DDB3062"/>
    <w:rsid w:val="7DDC6585"/>
    <w:rsid w:val="7DE665C8"/>
    <w:rsid w:val="7DE93DD1"/>
    <w:rsid w:val="7DEA6C6A"/>
    <w:rsid w:val="7DF62B06"/>
    <w:rsid w:val="7DFE36AF"/>
    <w:rsid w:val="7E076236"/>
    <w:rsid w:val="7E0B669B"/>
    <w:rsid w:val="7E1A57AD"/>
    <w:rsid w:val="7E21356B"/>
    <w:rsid w:val="7E447594"/>
    <w:rsid w:val="7E543940"/>
    <w:rsid w:val="7E5E6E19"/>
    <w:rsid w:val="7E646034"/>
    <w:rsid w:val="7E6F60C2"/>
    <w:rsid w:val="7E7603FC"/>
    <w:rsid w:val="7E900275"/>
    <w:rsid w:val="7EA5712D"/>
    <w:rsid w:val="7EBF36B3"/>
    <w:rsid w:val="7EF62CEF"/>
    <w:rsid w:val="7F0D6144"/>
    <w:rsid w:val="7F1E72AE"/>
    <w:rsid w:val="7F2D5F40"/>
    <w:rsid w:val="7F48189C"/>
    <w:rsid w:val="7F6F6558"/>
    <w:rsid w:val="7F720B44"/>
    <w:rsid w:val="7F744ED1"/>
    <w:rsid w:val="7F8A58A4"/>
    <w:rsid w:val="7F914720"/>
    <w:rsid w:val="7F995383"/>
    <w:rsid w:val="7FE47E50"/>
    <w:rsid w:val="EFE3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nhideWhenUsed="0" w:uiPriority="99" w:semiHidden="0" w:name="heading 3" w:locked="1"/>
    <w:lsdException w:qFormat="1" w:unhideWhenUsed="0" w:uiPriority="0" w:semiHidden="0" w:name="heading 4" w:locked="1"/>
    <w:lsdException w:qFormat="1" w:uiPriority="0" w:name="heading 5" w:locked="1"/>
    <w:lsdException w:qFormat="1" w:uiPriority="0" w:name="heading 6" w:locked="1"/>
    <w:lsdException w:qFormat="1" w:unhideWhenUsed="0" w:uiPriority="9" w:semiHidden="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4"/>
      <w:lang w:val="en-US" w:eastAsia="zh-CN" w:bidi="ar-SA"/>
    </w:rPr>
  </w:style>
  <w:style w:type="paragraph" w:styleId="2">
    <w:name w:val="heading 1"/>
    <w:basedOn w:val="1"/>
    <w:next w:val="1"/>
    <w:link w:val="8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173"/>
    <w:qFormat/>
    <w:locked/>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1"/>
    <w:qFormat/>
    <w:locked/>
    <w:uiPriority w:val="99"/>
    <w:pPr>
      <w:keepNext/>
      <w:keepLines/>
      <w:outlineLvl w:val="2"/>
    </w:pPr>
    <w:rPr>
      <w:rFonts w:ascii="等线" w:hAnsi="等线"/>
      <w:b/>
      <w:bCs/>
      <w:sz w:val="32"/>
      <w:szCs w:val="32"/>
    </w:rPr>
  </w:style>
  <w:style w:type="paragraph" w:styleId="5">
    <w:name w:val="heading 4"/>
    <w:basedOn w:val="1"/>
    <w:next w:val="1"/>
    <w:link w:val="124"/>
    <w:qFormat/>
    <w:locked/>
    <w:uiPriority w:val="0"/>
    <w:pPr>
      <w:keepNext/>
      <w:keepLines/>
      <w:spacing w:before="280" w:after="290" w:line="376" w:lineRule="auto"/>
      <w:outlineLvl w:val="3"/>
    </w:pPr>
    <w:rPr>
      <w:rFonts w:ascii="等线 Light" w:hAnsi="等线 Light" w:eastAsia="等线 Light"/>
      <w:b/>
      <w:bCs/>
      <w:sz w:val="28"/>
      <w:szCs w:val="28"/>
    </w:rPr>
  </w:style>
  <w:style w:type="paragraph" w:styleId="6">
    <w:name w:val="heading 7"/>
    <w:basedOn w:val="1"/>
    <w:next w:val="1"/>
    <w:link w:val="175"/>
    <w:qFormat/>
    <w:locked/>
    <w:uiPriority w:val="9"/>
    <w:pPr>
      <w:keepNext/>
      <w:keepLines/>
      <w:spacing w:before="240" w:after="64" w:line="320" w:lineRule="auto"/>
      <w:outlineLvl w:val="6"/>
    </w:pPr>
    <w:rPr>
      <w:rFonts w:ascii="等线" w:hAnsi="等线"/>
      <w:b/>
      <w:bCs/>
      <w:kern w:val="0"/>
      <w:sz w:val="24"/>
    </w:rPr>
  </w:style>
  <w:style w:type="character" w:default="1" w:styleId="39">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7">
    <w:name w:val="toc 7"/>
    <w:basedOn w:val="1"/>
    <w:next w:val="1"/>
    <w:qFormat/>
    <w:locked/>
    <w:uiPriority w:val="0"/>
    <w:pPr>
      <w:ind w:left="1260"/>
    </w:pPr>
    <w:rPr>
      <w:rFonts w:cs="Calibri"/>
      <w:sz w:val="18"/>
      <w:szCs w:val="18"/>
    </w:rPr>
  </w:style>
  <w:style w:type="paragraph" w:styleId="8">
    <w:name w:val="Normal Indent"/>
    <w:basedOn w:val="1"/>
    <w:link w:val="117"/>
    <w:qFormat/>
    <w:uiPriority w:val="0"/>
    <w:pPr>
      <w:ind w:firstLine="420"/>
    </w:pPr>
    <w:rPr>
      <w:szCs w:val="20"/>
    </w:rPr>
  </w:style>
  <w:style w:type="paragraph" w:styleId="9">
    <w:name w:val="caption"/>
    <w:basedOn w:val="1"/>
    <w:next w:val="1"/>
    <w:link w:val="49"/>
    <w:qFormat/>
    <w:locked/>
    <w:uiPriority w:val="0"/>
    <w:pPr>
      <w:spacing w:line="300" w:lineRule="exact"/>
      <w:jc w:val="center"/>
    </w:pPr>
    <w:rPr>
      <w:rFonts w:ascii="黑体" w:hAnsi="黑体" w:eastAsia="黑体"/>
      <w:b/>
      <w:szCs w:val="20"/>
    </w:rPr>
  </w:style>
  <w:style w:type="paragraph" w:styleId="10">
    <w:name w:val="Document Map"/>
    <w:basedOn w:val="1"/>
    <w:link w:val="52"/>
    <w:qFormat/>
    <w:uiPriority w:val="99"/>
    <w:rPr>
      <w:rFonts w:ascii="宋体"/>
      <w:sz w:val="18"/>
      <w:szCs w:val="18"/>
    </w:rPr>
  </w:style>
  <w:style w:type="paragraph" w:styleId="11">
    <w:name w:val="annotation text"/>
    <w:basedOn w:val="1"/>
    <w:link w:val="60"/>
    <w:qFormat/>
    <w:uiPriority w:val="99"/>
    <w:rPr>
      <w:kern w:val="0"/>
      <w:sz w:val="20"/>
    </w:rPr>
  </w:style>
  <w:style w:type="paragraph" w:styleId="12">
    <w:name w:val="Body Text 3"/>
    <w:basedOn w:val="1"/>
    <w:link w:val="119"/>
    <w:qFormat/>
    <w:uiPriority w:val="99"/>
    <w:rPr>
      <w:kern w:val="0"/>
      <w:sz w:val="16"/>
      <w:szCs w:val="16"/>
    </w:rPr>
  </w:style>
  <w:style w:type="paragraph" w:styleId="13">
    <w:name w:val="Body Text"/>
    <w:basedOn w:val="1"/>
    <w:link w:val="177"/>
    <w:qFormat/>
    <w:uiPriority w:val="99"/>
    <w:pPr>
      <w:snapToGrid w:val="0"/>
      <w:spacing w:before="60" w:after="160" w:line="259" w:lineRule="auto"/>
      <w:ind w:right="113"/>
    </w:pPr>
    <w:rPr>
      <w:kern w:val="0"/>
      <w:sz w:val="18"/>
      <w:szCs w:val="18"/>
    </w:rPr>
  </w:style>
  <w:style w:type="paragraph" w:styleId="14">
    <w:name w:val="Body Text Indent"/>
    <w:basedOn w:val="1"/>
    <w:link w:val="122"/>
    <w:qFormat/>
    <w:uiPriority w:val="99"/>
    <w:pPr>
      <w:spacing w:after="120"/>
      <w:ind w:left="420" w:leftChars="200"/>
    </w:pPr>
  </w:style>
  <w:style w:type="paragraph" w:styleId="15">
    <w:name w:val="Block Text"/>
    <w:basedOn w:val="1"/>
    <w:qFormat/>
    <w:uiPriority w:val="0"/>
    <w:pPr>
      <w:spacing w:line="480" w:lineRule="exact"/>
      <w:ind w:left="-125" w:right="-56" w:firstLine="570"/>
    </w:pPr>
    <w:rPr>
      <w:rFonts w:ascii="等线" w:hAnsi="等线"/>
      <w:sz w:val="28"/>
    </w:rPr>
  </w:style>
  <w:style w:type="paragraph" w:styleId="16">
    <w:name w:val="toc 5"/>
    <w:basedOn w:val="1"/>
    <w:next w:val="1"/>
    <w:qFormat/>
    <w:locked/>
    <w:uiPriority w:val="0"/>
    <w:pPr>
      <w:ind w:left="840"/>
    </w:pPr>
    <w:rPr>
      <w:rFonts w:cs="Calibri"/>
      <w:sz w:val="18"/>
      <w:szCs w:val="18"/>
    </w:rPr>
  </w:style>
  <w:style w:type="paragraph" w:styleId="17">
    <w:name w:val="toc 3"/>
    <w:basedOn w:val="1"/>
    <w:next w:val="1"/>
    <w:qFormat/>
    <w:locked/>
    <w:uiPriority w:val="0"/>
    <w:pPr>
      <w:ind w:left="420"/>
    </w:pPr>
    <w:rPr>
      <w:rFonts w:cs="Calibri"/>
      <w:i/>
      <w:iCs/>
      <w:sz w:val="20"/>
      <w:szCs w:val="20"/>
    </w:rPr>
  </w:style>
  <w:style w:type="paragraph" w:styleId="18">
    <w:name w:val="Plain Text"/>
    <w:basedOn w:val="1"/>
    <w:link w:val="91"/>
    <w:qFormat/>
    <w:uiPriority w:val="0"/>
    <w:rPr>
      <w:rFonts w:ascii="宋体" w:hAnsi="Courier New" w:cs="Courier New"/>
      <w:szCs w:val="21"/>
    </w:rPr>
  </w:style>
  <w:style w:type="paragraph" w:styleId="19">
    <w:name w:val="toc 8"/>
    <w:basedOn w:val="1"/>
    <w:next w:val="1"/>
    <w:qFormat/>
    <w:locked/>
    <w:uiPriority w:val="0"/>
    <w:pPr>
      <w:ind w:left="1470"/>
    </w:pPr>
    <w:rPr>
      <w:rFonts w:cs="Calibri"/>
      <w:sz w:val="18"/>
      <w:szCs w:val="18"/>
    </w:rPr>
  </w:style>
  <w:style w:type="paragraph" w:styleId="20">
    <w:name w:val="Date"/>
    <w:basedOn w:val="1"/>
    <w:next w:val="1"/>
    <w:link w:val="79"/>
    <w:qFormat/>
    <w:uiPriority w:val="0"/>
    <w:pPr>
      <w:ind w:left="100" w:leftChars="2500"/>
    </w:pPr>
    <w:rPr>
      <w:kern w:val="0"/>
      <w:sz w:val="20"/>
    </w:rPr>
  </w:style>
  <w:style w:type="paragraph" w:styleId="21">
    <w:name w:val="Body Text Indent 2"/>
    <w:basedOn w:val="1"/>
    <w:link w:val="126"/>
    <w:qFormat/>
    <w:uiPriority w:val="99"/>
    <w:pPr>
      <w:spacing w:line="480" w:lineRule="exact"/>
      <w:ind w:firstLine="573"/>
    </w:pPr>
    <w:rPr>
      <w:kern w:val="0"/>
      <w:sz w:val="20"/>
      <w:szCs w:val="20"/>
    </w:rPr>
  </w:style>
  <w:style w:type="paragraph" w:styleId="22">
    <w:name w:val="Balloon Text"/>
    <w:basedOn w:val="1"/>
    <w:link w:val="153"/>
    <w:qFormat/>
    <w:uiPriority w:val="99"/>
    <w:rPr>
      <w:sz w:val="18"/>
      <w:szCs w:val="18"/>
    </w:rPr>
  </w:style>
  <w:style w:type="paragraph" w:styleId="23">
    <w:name w:val="footer"/>
    <w:basedOn w:val="1"/>
    <w:link w:val="170"/>
    <w:qFormat/>
    <w:uiPriority w:val="99"/>
    <w:pPr>
      <w:tabs>
        <w:tab w:val="center" w:pos="4153"/>
        <w:tab w:val="right" w:pos="8306"/>
      </w:tabs>
      <w:snapToGrid w:val="0"/>
    </w:pPr>
    <w:rPr>
      <w:sz w:val="18"/>
      <w:szCs w:val="18"/>
    </w:rPr>
  </w:style>
  <w:style w:type="paragraph" w:styleId="24">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locked/>
    <w:uiPriority w:val="39"/>
    <w:pPr>
      <w:spacing w:before="120" w:after="120"/>
    </w:pPr>
    <w:rPr>
      <w:rFonts w:cs="Calibri"/>
      <w:b/>
      <w:bCs/>
      <w:caps/>
      <w:sz w:val="20"/>
      <w:szCs w:val="20"/>
    </w:rPr>
  </w:style>
  <w:style w:type="paragraph" w:styleId="26">
    <w:name w:val="toc 4"/>
    <w:basedOn w:val="1"/>
    <w:next w:val="1"/>
    <w:qFormat/>
    <w:locked/>
    <w:uiPriority w:val="0"/>
    <w:pPr>
      <w:ind w:left="630"/>
    </w:pPr>
    <w:rPr>
      <w:rFonts w:cs="Calibri"/>
      <w:sz w:val="18"/>
      <w:szCs w:val="18"/>
    </w:rPr>
  </w:style>
  <w:style w:type="paragraph" w:styleId="27">
    <w:name w:val="toc 6"/>
    <w:basedOn w:val="1"/>
    <w:next w:val="1"/>
    <w:qFormat/>
    <w:locked/>
    <w:uiPriority w:val="0"/>
    <w:pPr>
      <w:ind w:left="1050"/>
    </w:pPr>
    <w:rPr>
      <w:rFonts w:cs="Calibri"/>
      <w:sz w:val="18"/>
      <w:szCs w:val="18"/>
    </w:rPr>
  </w:style>
  <w:style w:type="paragraph" w:styleId="28">
    <w:name w:val="Body Text Indent 3"/>
    <w:basedOn w:val="1"/>
    <w:link w:val="155"/>
    <w:qFormat/>
    <w:uiPriority w:val="99"/>
    <w:pPr>
      <w:spacing w:line="480" w:lineRule="exact"/>
      <w:ind w:firstLine="720" w:firstLineChars="300"/>
    </w:pPr>
    <w:rPr>
      <w:sz w:val="24"/>
    </w:rPr>
  </w:style>
  <w:style w:type="paragraph" w:styleId="29">
    <w:name w:val="toc 2"/>
    <w:basedOn w:val="1"/>
    <w:next w:val="1"/>
    <w:qFormat/>
    <w:locked/>
    <w:uiPriority w:val="39"/>
    <w:pPr>
      <w:ind w:left="210"/>
    </w:pPr>
    <w:rPr>
      <w:rFonts w:cs="Calibri"/>
      <w:smallCaps/>
      <w:sz w:val="20"/>
      <w:szCs w:val="20"/>
    </w:rPr>
  </w:style>
  <w:style w:type="paragraph" w:styleId="30">
    <w:name w:val="toc 9"/>
    <w:basedOn w:val="1"/>
    <w:next w:val="1"/>
    <w:qFormat/>
    <w:locked/>
    <w:uiPriority w:val="0"/>
    <w:pPr>
      <w:ind w:left="1680"/>
    </w:pPr>
    <w:rPr>
      <w:rFonts w:cs="Calibri"/>
      <w:sz w:val="18"/>
      <w:szCs w:val="18"/>
    </w:rPr>
  </w:style>
  <w:style w:type="paragraph" w:styleId="31">
    <w:name w:val="Body Text 2"/>
    <w:basedOn w:val="1"/>
    <w:link w:val="89"/>
    <w:qFormat/>
    <w:uiPriority w:val="99"/>
    <w:pPr>
      <w:spacing w:after="120" w:line="480" w:lineRule="auto"/>
    </w:pPr>
  </w:style>
  <w:style w:type="paragraph" w:styleId="32">
    <w:name w:val="HTML Preformatted"/>
    <w:basedOn w:val="1"/>
    <w:link w:val="14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paragraph" w:styleId="33">
    <w:name w:val="Normal (Web)"/>
    <w:basedOn w:val="1"/>
    <w:link w:val="179"/>
    <w:qFormat/>
    <w:uiPriority w:val="99"/>
    <w:pPr>
      <w:spacing w:before="100" w:beforeAutospacing="1" w:after="100" w:afterAutospacing="1"/>
    </w:pPr>
    <w:rPr>
      <w:rFonts w:ascii="宋体" w:hAnsi="宋体"/>
      <w:kern w:val="0"/>
      <w:sz w:val="24"/>
    </w:rPr>
  </w:style>
  <w:style w:type="paragraph" w:styleId="34">
    <w:name w:val="annotation subject"/>
    <w:basedOn w:val="11"/>
    <w:next w:val="11"/>
    <w:link w:val="181"/>
    <w:qFormat/>
    <w:uiPriority w:val="99"/>
    <w:rPr>
      <w:b/>
      <w:bCs/>
    </w:rPr>
  </w:style>
  <w:style w:type="paragraph" w:styleId="35">
    <w:name w:val="Body Text First Indent"/>
    <w:basedOn w:val="1"/>
    <w:link w:val="128"/>
    <w:qFormat/>
    <w:uiPriority w:val="0"/>
    <w:pPr>
      <w:widowControl w:val="0"/>
      <w:spacing w:after="120"/>
      <w:ind w:firstLine="420" w:firstLineChars="100"/>
    </w:pPr>
    <w:rPr>
      <w:sz w:val="28"/>
      <w:szCs w:val="20"/>
    </w:rPr>
  </w:style>
  <w:style w:type="paragraph" w:styleId="36">
    <w:name w:val="Body Text First Indent 2"/>
    <w:basedOn w:val="1"/>
    <w:next w:val="1"/>
    <w:qFormat/>
    <w:uiPriority w:val="0"/>
    <w:pPr>
      <w:jc w:val="center"/>
    </w:pPr>
    <w:rPr>
      <w:b/>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qFormat/>
    <w:uiPriority w:val="99"/>
  </w:style>
  <w:style w:type="character" w:styleId="41">
    <w:name w:val="Hyperlink"/>
    <w:qFormat/>
    <w:uiPriority w:val="99"/>
    <w:rPr>
      <w:rFonts w:cs="Times New Roman"/>
      <w:color w:val="0066CC"/>
      <w:u w:val="none"/>
    </w:rPr>
  </w:style>
  <w:style w:type="character" w:styleId="42">
    <w:name w:val="annotation reference"/>
    <w:qFormat/>
    <w:uiPriority w:val="99"/>
    <w:rPr>
      <w:sz w:val="21"/>
    </w:rPr>
  </w:style>
  <w:style w:type="paragraph" w:customStyle="1" w:styleId="43">
    <w:name w:val="表格内"/>
    <w:basedOn w:val="1"/>
    <w:link w:val="92"/>
    <w:qFormat/>
    <w:uiPriority w:val="0"/>
    <w:pPr>
      <w:spacing w:line="300" w:lineRule="exact"/>
      <w:jc w:val="center"/>
      <w:textAlignment w:val="center"/>
    </w:pPr>
    <w:rPr>
      <w:rFonts w:ascii="宋体" w:hAnsi="等线"/>
      <w:szCs w:val="22"/>
    </w:rPr>
  </w:style>
  <w:style w:type="character" w:customStyle="1" w:styleId="44">
    <w:name w:val="刘群正文文本 Char"/>
    <w:link w:val="45"/>
    <w:qFormat/>
    <w:locked/>
    <w:uiPriority w:val="99"/>
    <w:rPr>
      <w:rFonts w:eastAsia="楷体_GB2312"/>
      <w:snapToGrid/>
      <w:sz w:val="24"/>
    </w:rPr>
  </w:style>
  <w:style w:type="paragraph" w:customStyle="1" w:styleId="45">
    <w:name w:val="刘群正文文本"/>
    <w:basedOn w:val="8"/>
    <w:link w:val="44"/>
    <w:qFormat/>
    <w:uiPriority w:val="99"/>
    <w:pPr>
      <w:tabs>
        <w:tab w:val="left" w:pos="8176"/>
      </w:tabs>
      <w:spacing w:line="520" w:lineRule="exact"/>
      <w:ind w:firstLine="480" w:firstLineChars="200"/>
    </w:pPr>
    <w:rPr>
      <w:rFonts w:eastAsia="楷体_GB2312"/>
      <w:snapToGrid w:val="0"/>
      <w:kern w:val="0"/>
      <w:sz w:val="24"/>
    </w:rPr>
  </w:style>
  <w:style w:type="character" w:customStyle="1" w:styleId="46">
    <w:name w:val="寇 字符"/>
    <w:link w:val="47"/>
    <w:qFormat/>
    <w:uiPriority w:val="0"/>
    <w:rPr>
      <w:rFonts w:ascii="宋体" w:hAnsi="宋体"/>
      <w:color w:val="FF0000"/>
      <w:kern w:val="2"/>
      <w:sz w:val="24"/>
      <w:szCs w:val="24"/>
    </w:rPr>
  </w:style>
  <w:style w:type="paragraph" w:customStyle="1" w:styleId="47">
    <w:name w:val="寇"/>
    <w:basedOn w:val="48"/>
    <w:link w:val="46"/>
    <w:qFormat/>
    <w:uiPriority w:val="0"/>
    <w:pPr>
      <w:ind w:firstLine="480"/>
    </w:pPr>
    <w:rPr>
      <w:color w:val="FF0000"/>
    </w:rPr>
  </w:style>
  <w:style w:type="paragraph" w:customStyle="1" w:styleId="48">
    <w:name w:val="YJ正文*"/>
    <w:basedOn w:val="1"/>
    <w:link w:val="50"/>
    <w:qFormat/>
    <w:uiPriority w:val="0"/>
    <w:pPr>
      <w:spacing w:line="500" w:lineRule="exact"/>
      <w:ind w:firstLine="200" w:firstLineChars="200"/>
    </w:pPr>
    <w:rPr>
      <w:rFonts w:ascii="宋体" w:hAnsi="宋体"/>
      <w:sz w:val="24"/>
    </w:rPr>
  </w:style>
  <w:style w:type="character" w:customStyle="1" w:styleId="49">
    <w:name w:val="题注 字符"/>
    <w:link w:val="9"/>
    <w:qFormat/>
    <w:uiPriority w:val="0"/>
    <w:rPr>
      <w:rFonts w:ascii="黑体" w:hAnsi="黑体" w:eastAsia="黑体"/>
      <w:b/>
      <w:kern w:val="2"/>
      <w:sz w:val="21"/>
    </w:rPr>
  </w:style>
  <w:style w:type="character" w:customStyle="1" w:styleId="50">
    <w:name w:val="YJ正文* 字符"/>
    <w:link w:val="48"/>
    <w:qFormat/>
    <w:uiPriority w:val="0"/>
    <w:rPr>
      <w:rFonts w:ascii="宋体" w:hAnsi="宋体"/>
      <w:kern w:val="2"/>
      <w:sz w:val="24"/>
      <w:szCs w:val="24"/>
    </w:rPr>
  </w:style>
  <w:style w:type="character" w:customStyle="1" w:styleId="51">
    <w:name w:val="正文缩进 Char1"/>
    <w:qFormat/>
    <w:uiPriority w:val="0"/>
    <w:rPr>
      <w:rFonts w:eastAsia="宋体"/>
      <w:kern w:val="2"/>
      <w:sz w:val="21"/>
      <w:lang w:val="en-US" w:eastAsia="zh-CN" w:bidi="ar-SA"/>
    </w:rPr>
  </w:style>
  <w:style w:type="character" w:customStyle="1" w:styleId="52">
    <w:name w:val="文档结构图 字符"/>
    <w:link w:val="10"/>
    <w:qFormat/>
    <w:locked/>
    <w:uiPriority w:val="99"/>
    <w:rPr>
      <w:rFonts w:ascii="宋体"/>
      <w:kern w:val="2"/>
      <w:sz w:val="18"/>
      <w:szCs w:val="18"/>
    </w:rPr>
  </w:style>
  <w:style w:type="character" w:customStyle="1" w:styleId="53">
    <w:name w:val="正文文本缩进 字符"/>
    <w:semiHidden/>
    <w:qFormat/>
    <w:uiPriority w:val="99"/>
    <w:rPr>
      <w:szCs w:val="20"/>
    </w:rPr>
  </w:style>
  <w:style w:type="character" w:customStyle="1" w:styleId="54">
    <w:name w:val="CDD正文 Char Char"/>
    <w:qFormat/>
    <w:uiPriority w:val="0"/>
    <w:rPr>
      <w:rFonts w:ascii="宋体"/>
      <w:kern w:val="2"/>
      <w:sz w:val="24"/>
      <w:szCs w:val="24"/>
    </w:rPr>
  </w:style>
  <w:style w:type="character" w:customStyle="1" w:styleId="55">
    <w:name w:val="正文文本 3 字符1"/>
    <w:qFormat/>
    <w:uiPriority w:val="0"/>
    <w:rPr>
      <w:kern w:val="2"/>
      <w:sz w:val="16"/>
      <w:szCs w:val="16"/>
    </w:rPr>
  </w:style>
  <w:style w:type="character" w:customStyle="1" w:styleId="56">
    <w:name w:val="正文文本 Char1"/>
    <w:link w:val="57"/>
    <w:qFormat/>
    <w:locked/>
    <w:uiPriority w:val="99"/>
    <w:rPr>
      <w:rFonts w:eastAsia="黑体"/>
      <w:kern w:val="2"/>
      <w:sz w:val="28"/>
    </w:rPr>
  </w:style>
  <w:style w:type="paragraph" w:customStyle="1" w:styleId="57">
    <w:name w:val="正文文本1"/>
    <w:basedOn w:val="1"/>
    <w:link w:val="56"/>
    <w:qFormat/>
    <w:uiPriority w:val="99"/>
    <w:pPr>
      <w:spacing w:line="360" w:lineRule="auto"/>
    </w:pPr>
    <w:rPr>
      <w:rFonts w:eastAsia="黑体"/>
      <w:sz w:val="28"/>
      <w:szCs w:val="20"/>
    </w:rPr>
  </w:style>
  <w:style w:type="character" w:customStyle="1" w:styleId="58">
    <w:name w:val="表头 字符"/>
    <w:link w:val="59"/>
    <w:qFormat/>
    <w:locked/>
    <w:uiPriority w:val="0"/>
    <w:rPr>
      <w:rFonts w:ascii="黑体" w:eastAsia="黑体"/>
      <w:kern w:val="2"/>
      <w:sz w:val="21"/>
    </w:rPr>
  </w:style>
  <w:style w:type="paragraph" w:customStyle="1" w:styleId="59">
    <w:name w:val="表头"/>
    <w:basedOn w:val="1"/>
    <w:link w:val="58"/>
    <w:qFormat/>
    <w:uiPriority w:val="0"/>
    <w:pPr>
      <w:spacing w:before="50" w:beforeLines="50" w:after="25" w:afterLines="25" w:line="300" w:lineRule="exact"/>
      <w:jc w:val="center"/>
      <w:textAlignment w:val="center"/>
    </w:pPr>
    <w:rPr>
      <w:rFonts w:ascii="黑体" w:eastAsia="黑体"/>
      <w:szCs w:val="20"/>
    </w:rPr>
  </w:style>
  <w:style w:type="character" w:customStyle="1" w:styleId="60">
    <w:name w:val="批注文字 字符2"/>
    <w:link w:val="11"/>
    <w:qFormat/>
    <w:locked/>
    <w:uiPriority w:val="99"/>
    <w:rPr>
      <w:rFonts w:ascii="Times New Roman" w:hAnsi="Times New Roman" w:eastAsia="宋体"/>
      <w:sz w:val="24"/>
    </w:rPr>
  </w:style>
  <w:style w:type="character" w:customStyle="1" w:styleId="61">
    <w:name w:val="标题 3 字符"/>
    <w:link w:val="4"/>
    <w:qFormat/>
    <w:uiPriority w:val="99"/>
    <w:rPr>
      <w:rFonts w:ascii="等线" w:hAnsi="等线"/>
      <w:b/>
      <w:bCs/>
      <w:kern w:val="2"/>
      <w:sz w:val="32"/>
      <w:szCs w:val="32"/>
    </w:rPr>
  </w:style>
  <w:style w:type="character" w:customStyle="1" w:styleId="62">
    <w:name w:val="报告题注 字符"/>
    <w:link w:val="63"/>
    <w:qFormat/>
    <w:uiPriority w:val="0"/>
    <w:rPr>
      <w:rFonts w:ascii="宋体" w:hAnsi="宋体"/>
      <w:b/>
    </w:rPr>
  </w:style>
  <w:style w:type="paragraph" w:customStyle="1" w:styleId="63">
    <w:name w:val="报告题注"/>
    <w:basedOn w:val="9"/>
    <w:link w:val="62"/>
    <w:qFormat/>
    <w:uiPriority w:val="0"/>
    <w:pPr>
      <w:spacing w:line="520" w:lineRule="exact"/>
    </w:pPr>
    <w:rPr>
      <w:rFonts w:ascii="宋体" w:hAnsi="宋体" w:eastAsia="宋体"/>
      <w:kern w:val="0"/>
      <w:sz w:val="20"/>
    </w:rPr>
  </w:style>
  <w:style w:type="character" w:customStyle="1" w:styleId="64">
    <w:name w:val="正文文本 字符"/>
    <w:qFormat/>
    <w:locked/>
    <w:uiPriority w:val="99"/>
    <w:rPr>
      <w:rFonts w:eastAsia="宋体" w:cs="Times New Roman"/>
      <w:kern w:val="2"/>
      <w:sz w:val="28"/>
      <w:lang w:val="en-US" w:eastAsia="zh-CN" w:bidi="ar-SA"/>
    </w:rPr>
  </w:style>
  <w:style w:type="character" w:customStyle="1" w:styleId="65">
    <w:name w:val="正文(首行缩进) Char Char"/>
    <w:link w:val="66"/>
    <w:qFormat/>
    <w:locked/>
    <w:uiPriority w:val="99"/>
    <w:rPr>
      <w:rFonts w:hAnsi="宋体"/>
      <w:spacing w:val="-2"/>
      <w:sz w:val="24"/>
      <w:szCs w:val="24"/>
    </w:rPr>
  </w:style>
  <w:style w:type="paragraph" w:customStyle="1" w:styleId="66">
    <w:name w:val="正文(首行缩进)"/>
    <w:basedOn w:val="1"/>
    <w:next w:val="1"/>
    <w:link w:val="65"/>
    <w:qFormat/>
    <w:uiPriority w:val="0"/>
    <w:pPr>
      <w:tabs>
        <w:tab w:val="left" w:pos="4584"/>
      </w:tabs>
      <w:adjustRightInd w:val="0"/>
      <w:snapToGrid w:val="0"/>
      <w:spacing w:line="520" w:lineRule="exact"/>
      <w:ind w:firstLine="531" w:firstLineChars="225"/>
    </w:pPr>
    <w:rPr>
      <w:rFonts w:hAnsi="宋体"/>
      <w:spacing w:val="-2"/>
      <w:kern w:val="0"/>
      <w:sz w:val="24"/>
    </w:rPr>
  </w:style>
  <w:style w:type="character" w:customStyle="1" w:styleId="67">
    <w:name w:val="4刘群正文* Char"/>
    <w:link w:val="68"/>
    <w:qFormat/>
    <w:uiPriority w:val="0"/>
    <w:rPr>
      <w:rFonts w:ascii="等线" w:hAnsi="等线"/>
      <w:kern w:val="2"/>
      <w:sz w:val="24"/>
      <w:szCs w:val="24"/>
    </w:rPr>
  </w:style>
  <w:style w:type="paragraph" w:customStyle="1" w:styleId="68">
    <w:name w:val="4刘群正文*"/>
    <w:basedOn w:val="1"/>
    <w:link w:val="67"/>
    <w:qFormat/>
    <w:uiPriority w:val="0"/>
    <w:pPr>
      <w:spacing w:line="520" w:lineRule="exact"/>
      <w:ind w:firstLine="480" w:firstLineChars="200"/>
    </w:pPr>
    <w:rPr>
      <w:rFonts w:ascii="等线" w:hAnsi="等线"/>
      <w:sz w:val="24"/>
    </w:rPr>
  </w:style>
  <w:style w:type="character" w:customStyle="1" w:styleId="69">
    <w:name w:val="题注 字符2"/>
    <w:qFormat/>
    <w:uiPriority w:val="0"/>
    <w:rPr>
      <w:rFonts w:ascii="宋体" w:hAnsi="宋体"/>
      <w:b/>
      <w:kern w:val="2"/>
      <w:sz w:val="21"/>
    </w:rPr>
  </w:style>
  <w:style w:type="character" w:customStyle="1" w:styleId="70">
    <w:name w:val="表内文字 字符"/>
    <w:link w:val="71"/>
    <w:qFormat/>
    <w:locked/>
    <w:uiPriority w:val="0"/>
    <w:rPr>
      <w:rFonts w:ascii="宋体" w:hAnsi="宋体"/>
      <w:sz w:val="21"/>
      <w:szCs w:val="22"/>
    </w:rPr>
  </w:style>
  <w:style w:type="paragraph" w:customStyle="1" w:styleId="71">
    <w:name w:val="表内文字"/>
    <w:basedOn w:val="72"/>
    <w:link w:val="70"/>
    <w:qFormat/>
    <w:uiPriority w:val="99"/>
    <w:pPr>
      <w:spacing w:line="300" w:lineRule="exact"/>
    </w:pPr>
    <w:rPr>
      <w:rFonts w:ascii="宋体" w:hAnsi="宋体"/>
      <w:szCs w:val="22"/>
    </w:rPr>
  </w:style>
  <w:style w:type="paragraph" w:customStyle="1" w:styleId="72">
    <w:name w:val="表文字"/>
    <w:basedOn w:val="1"/>
    <w:qFormat/>
    <w:uiPriority w:val="0"/>
    <w:pPr>
      <w:overflowPunct w:val="0"/>
      <w:autoSpaceDE w:val="0"/>
      <w:autoSpaceDN w:val="0"/>
      <w:adjustRightInd w:val="0"/>
      <w:spacing w:line="240" w:lineRule="atLeast"/>
      <w:jc w:val="center"/>
      <w:textAlignment w:val="baseline"/>
    </w:pPr>
    <w:rPr>
      <w:rFonts w:ascii="等线" w:hAnsi="等线"/>
      <w:kern w:val="0"/>
      <w:sz w:val="24"/>
      <w:szCs w:val="20"/>
    </w:rPr>
  </w:style>
  <w:style w:type="character" w:customStyle="1" w:styleId="73">
    <w:name w:val="YJ-正文 Char"/>
    <w:link w:val="74"/>
    <w:qFormat/>
    <w:uiPriority w:val="0"/>
    <w:rPr>
      <w:sz w:val="24"/>
      <w:szCs w:val="22"/>
    </w:rPr>
  </w:style>
  <w:style w:type="paragraph" w:customStyle="1" w:styleId="74">
    <w:name w:val="YJ-正文"/>
    <w:basedOn w:val="75"/>
    <w:link w:val="73"/>
    <w:qFormat/>
    <w:uiPriority w:val="0"/>
    <w:pPr>
      <w:ind w:firstLine="200" w:firstLineChars="200"/>
    </w:pPr>
    <w:rPr>
      <w:sz w:val="24"/>
    </w:rPr>
  </w:style>
  <w:style w:type="paragraph" w:customStyle="1" w:styleId="75">
    <w:name w:val="YJ-表标题1"/>
    <w:basedOn w:val="1"/>
    <w:link w:val="131"/>
    <w:qFormat/>
    <w:uiPriority w:val="0"/>
    <w:pPr>
      <w:spacing w:line="520" w:lineRule="exact"/>
      <w:outlineLvl w:val="1"/>
    </w:pPr>
    <w:rPr>
      <w:b/>
      <w:kern w:val="0"/>
      <w:sz w:val="30"/>
      <w:szCs w:val="22"/>
    </w:rPr>
  </w:style>
  <w:style w:type="character" w:customStyle="1" w:styleId="76">
    <w:name w:val="正文文本缩进 3 字符1"/>
    <w:qFormat/>
    <w:uiPriority w:val="0"/>
    <w:rPr>
      <w:kern w:val="2"/>
      <w:sz w:val="16"/>
      <w:szCs w:val="16"/>
    </w:rPr>
  </w:style>
  <w:style w:type="character" w:customStyle="1" w:styleId="77">
    <w:name w:val="页眉 字符1"/>
    <w:link w:val="24"/>
    <w:qFormat/>
    <w:locked/>
    <w:uiPriority w:val="0"/>
    <w:rPr>
      <w:rFonts w:cs="Times New Roman"/>
      <w:sz w:val="18"/>
      <w:szCs w:val="18"/>
    </w:rPr>
  </w:style>
  <w:style w:type="character" w:customStyle="1" w:styleId="78">
    <w:name w:val="HTML 预设格式 字符1"/>
    <w:qFormat/>
    <w:uiPriority w:val="0"/>
    <w:rPr>
      <w:rFonts w:ascii="Courier New" w:hAnsi="Courier New" w:cs="Courier New"/>
      <w:kern w:val="2"/>
    </w:rPr>
  </w:style>
  <w:style w:type="character" w:customStyle="1" w:styleId="79">
    <w:name w:val="日期 字符2"/>
    <w:link w:val="20"/>
    <w:qFormat/>
    <w:locked/>
    <w:uiPriority w:val="0"/>
    <w:rPr>
      <w:rFonts w:ascii="Times New Roman" w:hAnsi="Times New Roman" w:eastAsia="宋体"/>
      <w:sz w:val="24"/>
    </w:rPr>
  </w:style>
  <w:style w:type="character" w:customStyle="1" w:styleId="80">
    <w:name w:val="Document Map Char1"/>
    <w:semiHidden/>
    <w:qFormat/>
    <w:uiPriority w:val="99"/>
    <w:rPr>
      <w:sz w:val="16"/>
      <w:szCs w:val="16"/>
    </w:rPr>
  </w:style>
  <w:style w:type="character" w:customStyle="1" w:styleId="81">
    <w:name w:val="标题 1 字符"/>
    <w:link w:val="2"/>
    <w:qFormat/>
    <w:locked/>
    <w:uiPriority w:val="99"/>
    <w:rPr>
      <w:rFonts w:eastAsia="黑体"/>
      <w:b/>
      <w:bCs/>
      <w:color w:val="000000"/>
      <w:kern w:val="44"/>
      <w:sz w:val="30"/>
      <w:szCs w:val="30"/>
    </w:rPr>
  </w:style>
  <w:style w:type="character" w:customStyle="1" w:styleId="82">
    <w:name w:val="日期 字符"/>
    <w:qFormat/>
    <w:uiPriority w:val="0"/>
    <w:rPr>
      <w:rFonts w:ascii="Times New Roman" w:hAnsi="Times New Roman" w:eastAsia="宋体" w:cs="Times New Roman"/>
      <w:sz w:val="24"/>
      <w:szCs w:val="24"/>
    </w:rPr>
  </w:style>
  <w:style w:type="character" w:customStyle="1" w:styleId="83">
    <w:name w:val="ZQL-表图标题 Char"/>
    <w:link w:val="84"/>
    <w:qFormat/>
    <w:uiPriority w:val="0"/>
    <w:rPr>
      <w:b/>
      <w:sz w:val="21"/>
      <w:szCs w:val="22"/>
    </w:rPr>
  </w:style>
  <w:style w:type="paragraph" w:customStyle="1" w:styleId="84">
    <w:name w:val="ZQL-表图标题"/>
    <w:basedOn w:val="1"/>
    <w:link w:val="83"/>
    <w:qFormat/>
    <w:uiPriority w:val="0"/>
    <w:pPr>
      <w:adjustRightInd w:val="0"/>
      <w:snapToGrid w:val="0"/>
      <w:spacing w:line="500" w:lineRule="exact"/>
      <w:jc w:val="center"/>
      <w:outlineLvl w:val="1"/>
    </w:pPr>
    <w:rPr>
      <w:b/>
      <w:kern w:val="0"/>
      <w:szCs w:val="22"/>
    </w:rPr>
  </w:style>
  <w:style w:type="character" w:customStyle="1" w:styleId="85">
    <w:name w:val="MEL表字-书 字符"/>
    <w:link w:val="86"/>
    <w:qFormat/>
    <w:uiPriority w:val="0"/>
    <w:rPr>
      <w:rFonts w:ascii="宋体" w:hAnsi="宋体"/>
      <w:sz w:val="21"/>
      <w:szCs w:val="21"/>
    </w:rPr>
  </w:style>
  <w:style w:type="paragraph" w:customStyle="1" w:styleId="86">
    <w:name w:val="MEL表字-书"/>
    <w:basedOn w:val="1"/>
    <w:link w:val="85"/>
    <w:qFormat/>
    <w:uiPriority w:val="0"/>
    <w:pPr>
      <w:spacing w:line="300" w:lineRule="exact"/>
      <w:contextualSpacing/>
      <w:jc w:val="center"/>
    </w:pPr>
    <w:rPr>
      <w:rFonts w:ascii="宋体" w:hAnsi="宋体"/>
      <w:kern w:val="0"/>
      <w:szCs w:val="21"/>
    </w:rPr>
  </w:style>
  <w:style w:type="character" w:customStyle="1" w:styleId="87">
    <w:name w:val="Header Char1"/>
    <w:semiHidden/>
    <w:qFormat/>
    <w:uiPriority w:val="99"/>
    <w:rPr>
      <w:sz w:val="18"/>
      <w:szCs w:val="18"/>
    </w:rPr>
  </w:style>
  <w:style w:type="character" w:customStyle="1" w:styleId="88">
    <w:name w:val="题注 字符3"/>
    <w:qFormat/>
    <w:uiPriority w:val="0"/>
    <w:rPr>
      <w:b/>
      <w:kern w:val="2"/>
      <w:sz w:val="21"/>
    </w:rPr>
  </w:style>
  <w:style w:type="character" w:customStyle="1" w:styleId="89">
    <w:name w:val="正文文本 2 字符"/>
    <w:link w:val="31"/>
    <w:qFormat/>
    <w:uiPriority w:val="99"/>
    <w:rPr>
      <w:kern w:val="2"/>
      <w:sz w:val="21"/>
      <w:szCs w:val="24"/>
    </w:rPr>
  </w:style>
  <w:style w:type="character" w:customStyle="1" w:styleId="90">
    <w:name w:val="Body Text Indent 3 Char1"/>
    <w:semiHidden/>
    <w:qFormat/>
    <w:uiPriority w:val="99"/>
    <w:rPr>
      <w:sz w:val="16"/>
      <w:szCs w:val="16"/>
    </w:rPr>
  </w:style>
  <w:style w:type="character" w:customStyle="1" w:styleId="91">
    <w:name w:val="纯文本 字符"/>
    <w:link w:val="18"/>
    <w:qFormat/>
    <w:locked/>
    <w:uiPriority w:val="0"/>
    <w:rPr>
      <w:rFonts w:ascii="宋体" w:hAnsi="Courier New" w:cs="Courier New"/>
      <w:kern w:val="2"/>
      <w:sz w:val="21"/>
      <w:szCs w:val="21"/>
    </w:rPr>
  </w:style>
  <w:style w:type="character" w:customStyle="1" w:styleId="92">
    <w:name w:val="表格内 字符"/>
    <w:link w:val="43"/>
    <w:qFormat/>
    <w:uiPriority w:val="0"/>
    <w:rPr>
      <w:rFonts w:ascii="宋体" w:hAnsi="等线"/>
      <w:kern w:val="2"/>
      <w:sz w:val="21"/>
      <w:szCs w:val="22"/>
    </w:rPr>
  </w:style>
  <w:style w:type="character" w:customStyle="1" w:styleId="93">
    <w:name w:val="YJ附图附件 Char"/>
    <w:link w:val="94"/>
    <w:qFormat/>
    <w:uiPriority w:val="99"/>
    <w:rPr>
      <w:rFonts w:ascii="Calibri" w:hAnsi="Calibri"/>
      <w:b/>
      <w:sz w:val="28"/>
      <w:szCs w:val="22"/>
    </w:rPr>
  </w:style>
  <w:style w:type="paragraph" w:customStyle="1" w:styleId="94">
    <w:name w:val="YJ附图附件"/>
    <w:basedOn w:val="95"/>
    <w:link w:val="93"/>
    <w:qFormat/>
    <w:uiPriority w:val="99"/>
    <w:pPr>
      <w:outlineLvl w:val="1"/>
    </w:pPr>
    <w:rPr>
      <w:sz w:val="28"/>
    </w:rPr>
  </w:style>
  <w:style w:type="paragraph" w:customStyle="1" w:styleId="95">
    <w:name w:val="YJ-标题2"/>
    <w:basedOn w:val="1"/>
    <w:link w:val="135"/>
    <w:qFormat/>
    <w:uiPriority w:val="0"/>
    <w:pPr>
      <w:spacing w:line="520" w:lineRule="exact"/>
      <w:ind w:firstLine="200" w:firstLineChars="200"/>
    </w:pPr>
    <w:rPr>
      <w:b/>
      <w:kern w:val="0"/>
      <w:sz w:val="24"/>
      <w:szCs w:val="22"/>
    </w:rPr>
  </w:style>
  <w:style w:type="character" w:customStyle="1" w:styleId="96">
    <w:name w:val="unnamed11"/>
    <w:qFormat/>
    <w:uiPriority w:val="99"/>
    <w:rPr>
      <w:rFonts w:cs="Times New Roman"/>
      <w:sz w:val="18"/>
      <w:szCs w:val="18"/>
    </w:rPr>
  </w:style>
  <w:style w:type="character" w:customStyle="1" w:styleId="97">
    <w:name w:val="页脚 字符"/>
    <w:qFormat/>
    <w:uiPriority w:val="99"/>
  </w:style>
  <w:style w:type="character" w:customStyle="1" w:styleId="98">
    <w:name w:val="标题 3 Char"/>
    <w:qFormat/>
    <w:uiPriority w:val="0"/>
    <w:rPr>
      <w:b/>
      <w:kern w:val="2"/>
      <w:sz w:val="28"/>
      <w:szCs w:val="32"/>
    </w:rPr>
  </w:style>
  <w:style w:type="character" w:customStyle="1" w:styleId="99">
    <w:name w:val="5 表字-书 字符"/>
    <w:link w:val="100"/>
    <w:qFormat/>
    <w:uiPriority w:val="0"/>
    <w:rPr>
      <w:rFonts w:ascii="宋体" w:hAnsi="等线"/>
      <w:sz w:val="21"/>
      <w:szCs w:val="21"/>
    </w:rPr>
  </w:style>
  <w:style w:type="paragraph" w:customStyle="1" w:styleId="100">
    <w:name w:val="5 表字-书"/>
    <w:basedOn w:val="1"/>
    <w:link w:val="99"/>
    <w:qFormat/>
    <w:uiPriority w:val="0"/>
    <w:pPr>
      <w:spacing w:line="300" w:lineRule="atLeast"/>
      <w:jc w:val="center"/>
      <w:textAlignment w:val="center"/>
    </w:pPr>
    <w:rPr>
      <w:rFonts w:ascii="宋体" w:hAnsi="等线"/>
      <w:kern w:val="0"/>
      <w:szCs w:val="21"/>
    </w:rPr>
  </w:style>
  <w:style w:type="character" w:customStyle="1" w:styleId="101">
    <w:name w:val="二级标题-书 Char Char"/>
    <w:link w:val="102"/>
    <w:qFormat/>
    <w:uiPriority w:val="0"/>
    <w:rPr>
      <w:b/>
      <w:sz w:val="30"/>
    </w:rPr>
  </w:style>
  <w:style w:type="paragraph" w:customStyle="1" w:styleId="102">
    <w:name w:val="二级标题-书"/>
    <w:basedOn w:val="1"/>
    <w:link w:val="101"/>
    <w:qFormat/>
    <w:uiPriority w:val="0"/>
    <w:pPr>
      <w:keepNext/>
      <w:spacing w:before="260" w:after="260" w:line="415" w:lineRule="auto"/>
      <w:outlineLvl w:val="1"/>
    </w:pPr>
    <w:rPr>
      <w:b/>
      <w:kern w:val="0"/>
      <w:sz w:val="30"/>
      <w:szCs w:val="20"/>
    </w:rPr>
  </w:style>
  <w:style w:type="character" w:customStyle="1" w:styleId="103">
    <w:name w:val="标题 字符1"/>
    <w:qFormat/>
    <w:uiPriority w:val="0"/>
    <w:rPr>
      <w:rFonts w:ascii="等线 Light" w:hAnsi="等线 Light" w:cs="Times New Roman"/>
      <w:b/>
      <w:bCs/>
      <w:kern w:val="2"/>
      <w:sz w:val="32"/>
      <w:szCs w:val="32"/>
    </w:rPr>
  </w:style>
  <w:style w:type="character" w:customStyle="1" w:styleId="104">
    <w:name w:val="表字-书 Char"/>
    <w:link w:val="105"/>
    <w:qFormat/>
    <w:uiPriority w:val="0"/>
    <w:rPr>
      <w:rFonts w:ascii="宋体" w:hAnsi="宋体"/>
      <w:sz w:val="21"/>
    </w:rPr>
  </w:style>
  <w:style w:type="paragraph" w:customStyle="1" w:styleId="105">
    <w:name w:val="表字-书"/>
    <w:basedOn w:val="1"/>
    <w:link w:val="104"/>
    <w:qFormat/>
    <w:uiPriority w:val="0"/>
    <w:pPr>
      <w:spacing w:line="240" w:lineRule="exact"/>
      <w:jc w:val="center"/>
    </w:pPr>
    <w:rPr>
      <w:rFonts w:ascii="宋体" w:hAnsi="宋体"/>
      <w:kern w:val="0"/>
      <w:szCs w:val="20"/>
    </w:rPr>
  </w:style>
  <w:style w:type="character" w:customStyle="1" w:styleId="106">
    <w:name w:val="批注文字 字符1"/>
    <w:semiHidden/>
    <w:qFormat/>
    <w:uiPriority w:val="0"/>
    <w:rPr>
      <w:rFonts w:ascii="Times New Roman" w:hAnsi="Times New Roman" w:eastAsia="宋体" w:cs="Times New Roman"/>
      <w:sz w:val="24"/>
      <w:szCs w:val="24"/>
    </w:rPr>
  </w:style>
  <w:style w:type="character" w:customStyle="1" w:styleId="107">
    <w:name w:val="图名1 Char Char"/>
    <w:link w:val="108"/>
    <w:qFormat/>
    <w:locked/>
    <w:uiPriority w:val="99"/>
    <w:rPr>
      <w:rFonts w:eastAsia="楷体"/>
      <w:b/>
      <w:kern w:val="2"/>
      <w:sz w:val="24"/>
      <w:szCs w:val="24"/>
    </w:rPr>
  </w:style>
  <w:style w:type="paragraph" w:customStyle="1" w:styleId="108">
    <w:name w:val="图名1"/>
    <w:basedOn w:val="1"/>
    <w:next w:val="1"/>
    <w:link w:val="107"/>
    <w:qFormat/>
    <w:uiPriority w:val="99"/>
    <w:pPr>
      <w:jc w:val="center"/>
    </w:pPr>
    <w:rPr>
      <w:rFonts w:eastAsia="楷体"/>
      <w:b/>
      <w:sz w:val="24"/>
    </w:rPr>
  </w:style>
  <w:style w:type="character" w:customStyle="1" w:styleId="109">
    <w:name w:val="日期 字符1"/>
    <w:qFormat/>
    <w:uiPriority w:val="0"/>
    <w:rPr>
      <w:szCs w:val="20"/>
    </w:rPr>
  </w:style>
  <w:style w:type="character" w:customStyle="1" w:styleId="110">
    <w:name w:val="表格 Char"/>
    <w:link w:val="111"/>
    <w:qFormat/>
    <w:locked/>
    <w:uiPriority w:val="0"/>
    <w:rPr>
      <w:rFonts w:ascii="宋体"/>
      <w:sz w:val="21"/>
    </w:rPr>
  </w:style>
  <w:style w:type="paragraph" w:customStyle="1" w:styleId="111">
    <w:name w:val="表格"/>
    <w:basedOn w:val="1"/>
    <w:next w:val="1"/>
    <w:link w:val="110"/>
    <w:qFormat/>
    <w:uiPriority w:val="0"/>
    <w:pPr>
      <w:adjustRightInd w:val="0"/>
      <w:snapToGrid w:val="0"/>
      <w:spacing w:beforeLines="10" w:afterLines="10" w:line="259" w:lineRule="auto"/>
      <w:jc w:val="center"/>
    </w:pPr>
    <w:rPr>
      <w:rFonts w:ascii="宋体"/>
      <w:kern w:val="0"/>
      <w:sz w:val="20"/>
      <w:szCs w:val="21"/>
    </w:rPr>
  </w:style>
  <w:style w:type="character" w:customStyle="1" w:styleId="112">
    <w:name w:val="YJ表中字体 Char"/>
    <w:link w:val="113"/>
    <w:qFormat/>
    <w:uiPriority w:val="0"/>
    <w:rPr>
      <w:sz w:val="21"/>
    </w:rPr>
  </w:style>
  <w:style w:type="paragraph" w:customStyle="1" w:styleId="113">
    <w:name w:val="YJ表中字体"/>
    <w:basedOn w:val="8"/>
    <w:link w:val="112"/>
    <w:qFormat/>
    <w:uiPriority w:val="0"/>
    <w:pPr>
      <w:spacing w:line="240" w:lineRule="exact"/>
      <w:ind w:firstLine="0"/>
      <w:jc w:val="center"/>
    </w:pPr>
    <w:rPr>
      <w:kern w:val="0"/>
    </w:rPr>
  </w:style>
  <w:style w:type="character" w:customStyle="1" w:styleId="114">
    <w:name w:val="YJ题注 Char"/>
    <w:link w:val="115"/>
    <w:qFormat/>
    <w:uiPriority w:val="0"/>
    <w:rPr>
      <w:rFonts w:ascii="黑体" w:hAnsi="黑体" w:eastAsia="黑体"/>
      <w:kern w:val="2"/>
      <w:sz w:val="21"/>
    </w:rPr>
  </w:style>
  <w:style w:type="paragraph" w:customStyle="1" w:styleId="115">
    <w:name w:val="YJ题注"/>
    <w:basedOn w:val="9"/>
    <w:link w:val="114"/>
    <w:qFormat/>
    <w:uiPriority w:val="0"/>
    <w:pPr>
      <w:spacing w:line="500" w:lineRule="exact"/>
      <w:contextualSpacing/>
    </w:pPr>
    <w:rPr>
      <w:b w:val="0"/>
    </w:rPr>
  </w:style>
  <w:style w:type="character" w:customStyle="1" w:styleId="116">
    <w:name w:val="正文文本首行缩进 字符1"/>
    <w:qFormat/>
    <w:uiPriority w:val="0"/>
    <w:rPr>
      <w:kern w:val="2"/>
      <w:sz w:val="21"/>
      <w:szCs w:val="24"/>
    </w:rPr>
  </w:style>
  <w:style w:type="character" w:customStyle="1" w:styleId="117">
    <w:name w:val="正文缩进 字符"/>
    <w:link w:val="8"/>
    <w:qFormat/>
    <w:locked/>
    <w:uiPriority w:val="99"/>
    <w:rPr>
      <w:kern w:val="2"/>
      <w:sz w:val="21"/>
    </w:rPr>
  </w:style>
  <w:style w:type="character" w:customStyle="1" w:styleId="118">
    <w:name w:val="普通(网站) Char1"/>
    <w:qFormat/>
    <w:locked/>
    <w:uiPriority w:val="0"/>
    <w:rPr>
      <w:rFonts w:ascii="宋体" w:hAnsi="宋体" w:eastAsia="宋体"/>
      <w:sz w:val="24"/>
    </w:rPr>
  </w:style>
  <w:style w:type="character" w:customStyle="1" w:styleId="119">
    <w:name w:val="正文文本 3 字符"/>
    <w:link w:val="12"/>
    <w:qFormat/>
    <w:uiPriority w:val="99"/>
    <w:rPr>
      <w:sz w:val="16"/>
      <w:szCs w:val="16"/>
    </w:rPr>
  </w:style>
  <w:style w:type="character" w:customStyle="1" w:styleId="120">
    <w:name w:val="正文 CDD 字符"/>
    <w:link w:val="121"/>
    <w:qFormat/>
    <w:uiPriority w:val="0"/>
    <w:rPr>
      <w:kern w:val="2"/>
      <w:sz w:val="24"/>
    </w:rPr>
  </w:style>
  <w:style w:type="paragraph" w:customStyle="1" w:styleId="121">
    <w:name w:val="正文 CDD"/>
    <w:basedOn w:val="1"/>
    <w:link w:val="120"/>
    <w:qFormat/>
    <w:uiPriority w:val="0"/>
    <w:pPr>
      <w:spacing w:line="520" w:lineRule="exact"/>
      <w:ind w:firstLine="200" w:firstLineChars="200"/>
    </w:pPr>
    <w:rPr>
      <w:sz w:val="24"/>
      <w:szCs w:val="20"/>
    </w:rPr>
  </w:style>
  <w:style w:type="character" w:customStyle="1" w:styleId="122">
    <w:name w:val="正文文本缩进 字符1"/>
    <w:link w:val="14"/>
    <w:semiHidden/>
    <w:qFormat/>
    <w:locked/>
    <w:uiPriority w:val="0"/>
    <w:rPr>
      <w:rFonts w:ascii="Times New Roman" w:hAnsi="Times New Roman" w:eastAsia="宋体" w:cs="Times New Roman"/>
      <w:sz w:val="24"/>
      <w:szCs w:val="24"/>
    </w:rPr>
  </w:style>
  <w:style w:type="character" w:customStyle="1" w:styleId="123">
    <w:name w:val="题注 字符1"/>
    <w:qFormat/>
    <w:uiPriority w:val="0"/>
    <w:rPr>
      <w:rFonts w:ascii="宋体"/>
      <w:b/>
      <w:kern w:val="2"/>
      <w:sz w:val="21"/>
    </w:rPr>
  </w:style>
  <w:style w:type="character" w:customStyle="1" w:styleId="124">
    <w:name w:val="标题 4 字符"/>
    <w:link w:val="5"/>
    <w:qFormat/>
    <w:uiPriority w:val="0"/>
    <w:rPr>
      <w:rFonts w:ascii="等线 Light" w:hAnsi="等线 Light" w:eastAsia="等线 Light"/>
      <w:b/>
      <w:bCs/>
      <w:kern w:val="2"/>
      <w:sz w:val="28"/>
      <w:szCs w:val="28"/>
    </w:rPr>
  </w:style>
  <w:style w:type="character" w:customStyle="1" w:styleId="125">
    <w:name w:val="文档结构图 字符1"/>
    <w:qFormat/>
    <w:uiPriority w:val="0"/>
    <w:rPr>
      <w:rFonts w:ascii="Microsoft YaHei UI" w:eastAsia="Microsoft YaHei UI"/>
      <w:kern w:val="2"/>
      <w:sz w:val="18"/>
      <w:szCs w:val="18"/>
    </w:rPr>
  </w:style>
  <w:style w:type="character" w:customStyle="1" w:styleId="126">
    <w:name w:val="正文文本缩进 2 字符"/>
    <w:link w:val="21"/>
    <w:qFormat/>
    <w:uiPriority w:val="99"/>
  </w:style>
  <w:style w:type="character" w:customStyle="1" w:styleId="127">
    <w:name w:val="Body Text Char1"/>
    <w:semiHidden/>
    <w:qFormat/>
    <w:uiPriority w:val="99"/>
    <w:rPr>
      <w:szCs w:val="20"/>
    </w:rPr>
  </w:style>
  <w:style w:type="character" w:customStyle="1" w:styleId="128">
    <w:name w:val="正文文本首行缩进 字符"/>
    <w:link w:val="35"/>
    <w:qFormat/>
    <w:uiPriority w:val="0"/>
    <w:rPr>
      <w:kern w:val="2"/>
      <w:sz w:val="28"/>
    </w:rPr>
  </w:style>
  <w:style w:type="character" w:customStyle="1" w:styleId="129">
    <w:name w:val="文字 字符"/>
    <w:link w:val="130"/>
    <w:qFormat/>
    <w:uiPriority w:val="0"/>
    <w:rPr>
      <w:rFonts w:ascii="宋体" w:hAnsi="宋体"/>
      <w:kern w:val="2"/>
      <w:sz w:val="24"/>
      <w:szCs w:val="24"/>
    </w:rPr>
  </w:style>
  <w:style w:type="paragraph" w:customStyle="1" w:styleId="130">
    <w:name w:val="文字"/>
    <w:basedOn w:val="48"/>
    <w:link w:val="129"/>
    <w:qFormat/>
    <w:uiPriority w:val="0"/>
    <w:pPr>
      <w:spacing w:line="520" w:lineRule="exact"/>
    </w:pPr>
  </w:style>
  <w:style w:type="character" w:customStyle="1" w:styleId="131">
    <w:name w:val="YJ-表标题1 Char"/>
    <w:link w:val="75"/>
    <w:qFormat/>
    <w:uiPriority w:val="0"/>
    <w:rPr>
      <w:b/>
      <w:sz w:val="30"/>
      <w:szCs w:val="22"/>
    </w:rPr>
  </w:style>
  <w:style w:type="character" w:customStyle="1" w:styleId="132">
    <w:name w:val="吴正文 Char Char"/>
    <w:link w:val="133"/>
    <w:qFormat/>
    <w:locked/>
    <w:uiPriority w:val="99"/>
    <w:rPr>
      <w:rFonts w:ascii="宋体" w:hAnsi="宋体"/>
      <w:spacing w:val="20"/>
      <w:kern w:val="2"/>
      <w:sz w:val="24"/>
      <w:szCs w:val="24"/>
    </w:rPr>
  </w:style>
  <w:style w:type="paragraph" w:customStyle="1" w:styleId="133">
    <w:name w:val="吴正文"/>
    <w:basedOn w:val="1"/>
    <w:link w:val="132"/>
    <w:qFormat/>
    <w:uiPriority w:val="99"/>
    <w:pPr>
      <w:snapToGrid w:val="0"/>
      <w:spacing w:line="520" w:lineRule="exact"/>
      <w:ind w:right="-178" w:rightChars="-60" w:firstLine="623"/>
      <w:textAlignment w:val="baseline"/>
    </w:pPr>
    <w:rPr>
      <w:rFonts w:ascii="宋体" w:hAnsi="宋体"/>
      <w:spacing w:val="20"/>
      <w:sz w:val="24"/>
    </w:rPr>
  </w:style>
  <w:style w:type="character" w:customStyle="1" w:styleId="134">
    <w:name w:val="样式 小四 加粗"/>
    <w:qFormat/>
    <w:uiPriority w:val="99"/>
    <w:rPr>
      <w:rFonts w:ascii="仿宋_GB2312" w:eastAsia="宋体" w:cs="Times New Roman"/>
      <w:b/>
      <w:bCs/>
      <w:kern w:val="2"/>
      <w:sz w:val="28"/>
      <w:szCs w:val="28"/>
      <w:lang w:val="en-US" w:eastAsia="zh-CN" w:bidi="ar-SA"/>
    </w:rPr>
  </w:style>
  <w:style w:type="character" w:customStyle="1" w:styleId="135">
    <w:name w:val="YJ-标题2 Char"/>
    <w:link w:val="95"/>
    <w:qFormat/>
    <w:uiPriority w:val="0"/>
    <w:rPr>
      <w:rFonts w:ascii="Calibri" w:hAnsi="Calibri"/>
      <w:b/>
      <w:sz w:val="24"/>
      <w:szCs w:val="22"/>
    </w:rPr>
  </w:style>
  <w:style w:type="character" w:customStyle="1" w:styleId="136">
    <w:name w:val="未处理的提及1"/>
    <w:unhideWhenUsed/>
    <w:qFormat/>
    <w:uiPriority w:val="99"/>
    <w:rPr>
      <w:color w:val="605E5C"/>
      <w:shd w:val="clear" w:color="auto" w:fill="E1DFDD"/>
    </w:rPr>
  </w:style>
  <w:style w:type="character" w:customStyle="1" w:styleId="137">
    <w:name w:val="表格标题秦斐 Char Char"/>
    <w:link w:val="138"/>
    <w:qFormat/>
    <w:locked/>
    <w:uiPriority w:val="99"/>
    <w:rPr>
      <w:rFonts w:ascii="宋体" w:hAnsi="宋体"/>
      <w:b/>
      <w:bCs/>
      <w:kern w:val="2"/>
      <w:sz w:val="24"/>
      <w:szCs w:val="24"/>
    </w:rPr>
  </w:style>
  <w:style w:type="paragraph" w:customStyle="1" w:styleId="138">
    <w:name w:val="表格标题秦斐"/>
    <w:basedOn w:val="1"/>
    <w:link w:val="137"/>
    <w:qFormat/>
    <w:uiPriority w:val="99"/>
    <w:pPr>
      <w:spacing w:line="500" w:lineRule="exact"/>
      <w:jc w:val="center"/>
    </w:pPr>
    <w:rPr>
      <w:rFonts w:ascii="宋体" w:hAnsi="宋体"/>
      <w:b/>
      <w:bCs/>
      <w:sz w:val="24"/>
    </w:rPr>
  </w:style>
  <w:style w:type="character" w:customStyle="1" w:styleId="139">
    <w:name w:val="页眉 字符"/>
    <w:qFormat/>
    <w:locked/>
    <w:uiPriority w:val="99"/>
    <w:rPr>
      <w:rFonts w:eastAsia="宋体" w:cs="Times New Roman"/>
      <w:kern w:val="2"/>
      <w:sz w:val="18"/>
      <w:lang w:val="en-US" w:eastAsia="zh-CN" w:bidi="ar-SA"/>
    </w:rPr>
  </w:style>
  <w:style w:type="character" w:customStyle="1" w:styleId="140">
    <w:name w:val="MEL正文* 字符"/>
    <w:link w:val="141"/>
    <w:qFormat/>
    <w:uiPriority w:val="0"/>
    <w:rPr>
      <w:rFonts w:ascii="宋体" w:hAnsi="宋体"/>
      <w:sz w:val="24"/>
      <w:szCs w:val="24"/>
    </w:rPr>
  </w:style>
  <w:style w:type="paragraph" w:customStyle="1" w:styleId="141">
    <w:name w:val="MEL正文*"/>
    <w:basedOn w:val="1"/>
    <w:link w:val="140"/>
    <w:qFormat/>
    <w:uiPriority w:val="0"/>
    <w:pPr>
      <w:spacing w:line="500" w:lineRule="exact"/>
      <w:ind w:firstLine="200" w:firstLineChars="200"/>
    </w:pPr>
    <w:rPr>
      <w:rFonts w:ascii="宋体" w:hAnsi="宋体"/>
      <w:kern w:val="0"/>
      <w:sz w:val="24"/>
    </w:rPr>
  </w:style>
  <w:style w:type="character" w:customStyle="1" w:styleId="142">
    <w:name w:val="批注框文本 字符"/>
    <w:semiHidden/>
    <w:qFormat/>
    <w:uiPriority w:val="99"/>
    <w:rPr>
      <w:sz w:val="16"/>
      <w:szCs w:val="16"/>
    </w:rPr>
  </w:style>
  <w:style w:type="character" w:customStyle="1" w:styleId="143">
    <w:name w:val="样式 表内小5 + 黑体 加粗 倾斜 下划线 Char"/>
    <w:link w:val="144"/>
    <w:semiHidden/>
    <w:qFormat/>
    <w:locked/>
    <w:uiPriority w:val="99"/>
    <w:rPr>
      <w:rFonts w:ascii="黑体" w:hAnsi="黑体" w:eastAsia="黑体"/>
      <w:b/>
      <w:bCs/>
      <w:i/>
      <w:iCs/>
      <w:sz w:val="24"/>
      <w:szCs w:val="24"/>
      <w:u w:val="single"/>
    </w:rPr>
  </w:style>
  <w:style w:type="paragraph" w:customStyle="1" w:styleId="144">
    <w:name w:val="样式 表内小5 + 黑体 加粗 倾斜 下划线"/>
    <w:basedOn w:val="1"/>
    <w:link w:val="143"/>
    <w:semiHidden/>
    <w:qFormat/>
    <w:uiPriority w:val="99"/>
    <w:pPr>
      <w:adjustRightInd w:val="0"/>
      <w:snapToGrid w:val="0"/>
      <w:spacing w:line="300" w:lineRule="auto"/>
    </w:pPr>
    <w:rPr>
      <w:rFonts w:ascii="黑体" w:hAnsi="黑体" w:eastAsia="黑体"/>
      <w:b/>
      <w:bCs/>
      <w:i/>
      <w:iCs/>
      <w:kern w:val="0"/>
      <w:sz w:val="24"/>
      <w:u w:val="single"/>
    </w:rPr>
  </w:style>
  <w:style w:type="character" w:customStyle="1" w:styleId="145">
    <w:name w:val="批注主题 字符"/>
    <w:semiHidden/>
    <w:qFormat/>
    <w:uiPriority w:val="99"/>
    <w:rPr>
      <w:b/>
      <w:bCs/>
      <w:szCs w:val="20"/>
    </w:rPr>
  </w:style>
  <w:style w:type="character" w:customStyle="1" w:styleId="146">
    <w:name w:val="HTML 预设格式 字符"/>
    <w:link w:val="32"/>
    <w:qFormat/>
    <w:uiPriority w:val="99"/>
    <w:rPr>
      <w:rFonts w:ascii="Courier New" w:hAnsi="Courier New" w:cs="Courier New"/>
    </w:rPr>
  </w:style>
  <w:style w:type="character" w:customStyle="1" w:styleId="147">
    <w:name w:val="批注文字 Char Char"/>
    <w:link w:val="148"/>
    <w:qFormat/>
    <w:locked/>
    <w:uiPriority w:val="99"/>
    <w:rPr>
      <w:kern w:val="2"/>
      <w:sz w:val="24"/>
      <w:szCs w:val="24"/>
    </w:rPr>
  </w:style>
  <w:style w:type="paragraph" w:customStyle="1" w:styleId="148">
    <w:name w:val="批注文字1"/>
    <w:basedOn w:val="1"/>
    <w:link w:val="147"/>
    <w:qFormat/>
    <w:uiPriority w:val="99"/>
    <w:rPr>
      <w:sz w:val="24"/>
    </w:rPr>
  </w:style>
  <w:style w:type="character" w:customStyle="1" w:styleId="149">
    <w:name w:val="表中字体 Char"/>
    <w:link w:val="150"/>
    <w:qFormat/>
    <w:uiPriority w:val="0"/>
    <w:rPr>
      <w:sz w:val="21"/>
    </w:rPr>
  </w:style>
  <w:style w:type="paragraph" w:customStyle="1" w:styleId="150">
    <w:name w:val="表中字体"/>
    <w:basedOn w:val="8"/>
    <w:link w:val="149"/>
    <w:qFormat/>
    <w:uiPriority w:val="0"/>
    <w:pPr>
      <w:tabs>
        <w:tab w:val="left" w:pos="8176"/>
      </w:tabs>
      <w:spacing w:line="240" w:lineRule="exact"/>
      <w:jc w:val="center"/>
    </w:pPr>
    <w:rPr>
      <w:kern w:val="0"/>
    </w:rPr>
  </w:style>
  <w:style w:type="character" w:customStyle="1" w:styleId="151">
    <w:name w:val="1111 Char"/>
    <w:link w:val="152"/>
    <w:qFormat/>
    <w:uiPriority w:val="0"/>
    <w:rPr>
      <w:snapToGrid/>
      <w:sz w:val="24"/>
      <w:szCs w:val="22"/>
    </w:rPr>
  </w:style>
  <w:style w:type="paragraph" w:customStyle="1" w:styleId="152">
    <w:name w:val="1111"/>
    <w:basedOn w:val="1"/>
    <w:link w:val="151"/>
    <w:qFormat/>
    <w:uiPriority w:val="0"/>
    <w:pPr>
      <w:snapToGrid w:val="0"/>
      <w:spacing w:line="360" w:lineRule="auto"/>
      <w:ind w:firstLine="480" w:firstLineChars="200"/>
    </w:pPr>
    <w:rPr>
      <w:snapToGrid w:val="0"/>
      <w:kern w:val="0"/>
      <w:sz w:val="24"/>
      <w:szCs w:val="22"/>
    </w:rPr>
  </w:style>
  <w:style w:type="character" w:customStyle="1" w:styleId="153">
    <w:name w:val="批注框文本 字符1"/>
    <w:link w:val="22"/>
    <w:semiHidden/>
    <w:qFormat/>
    <w:locked/>
    <w:uiPriority w:val="0"/>
    <w:rPr>
      <w:rFonts w:ascii="Times New Roman" w:hAnsi="Times New Roman" w:eastAsia="宋体" w:cs="Times New Roman"/>
      <w:sz w:val="18"/>
      <w:szCs w:val="18"/>
    </w:rPr>
  </w:style>
  <w:style w:type="character" w:customStyle="1" w:styleId="154">
    <w:name w:val="正文文本缩进 2 字符1"/>
    <w:qFormat/>
    <w:uiPriority w:val="0"/>
    <w:rPr>
      <w:kern w:val="2"/>
      <w:sz w:val="21"/>
      <w:szCs w:val="24"/>
    </w:rPr>
  </w:style>
  <w:style w:type="character" w:customStyle="1" w:styleId="155">
    <w:name w:val="正文文本缩进 3 字符"/>
    <w:link w:val="28"/>
    <w:qFormat/>
    <w:locked/>
    <w:uiPriority w:val="99"/>
    <w:rPr>
      <w:kern w:val="2"/>
      <w:sz w:val="24"/>
      <w:szCs w:val="24"/>
    </w:rPr>
  </w:style>
  <w:style w:type="character" w:customStyle="1" w:styleId="156">
    <w:name w:val="fontstyle01"/>
    <w:qFormat/>
    <w:uiPriority w:val="0"/>
    <w:rPr>
      <w:rFonts w:hint="eastAsia" w:ascii="楷体_GB2312" w:eastAsia="楷体_GB2312"/>
      <w:color w:val="000000"/>
      <w:sz w:val="24"/>
      <w:szCs w:val="24"/>
    </w:rPr>
  </w:style>
  <w:style w:type="character" w:customStyle="1" w:styleId="157">
    <w:name w:val="正文文本缩进 Char Char"/>
    <w:link w:val="158"/>
    <w:qFormat/>
    <w:locked/>
    <w:uiPriority w:val="99"/>
    <w:rPr>
      <w:kern w:val="2"/>
      <w:sz w:val="24"/>
      <w:szCs w:val="24"/>
    </w:rPr>
  </w:style>
  <w:style w:type="paragraph" w:customStyle="1" w:styleId="158">
    <w:name w:val="正文文本缩进1"/>
    <w:basedOn w:val="1"/>
    <w:link w:val="157"/>
    <w:qFormat/>
    <w:uiPriority w:val="99"/>
    <w:pPr>
      <w:ind w:firstLine="648"/>
    </w:pPr>
    <w:rPr>
      <w:sz w:val="24"/>
    </w:rPr>
  </w:style>
  <w:style w:type="character" w:customStyle="1" w:styleId="159">
    <w:name w:val="纯文本 字符1"/>
    <w:qFormat/>
    <w:uiPriority w:val="0"/>
    <w:rPr>
      <w:rFonts w:ascii="宋体" w:hAnsi="Courier New" w:cs="Courier New"/>
      <w:kern w:val="2"/>
      <w:sz w:val="21"/>
      <w:szCs w:val="21"/>
    </w:rPr>
  </w:style>
  <w:style w:type="character" w:customStyle="1" w:styleId="160">
    <w:name w:val="Plain Text Char1"/>
    <w:semiHidden/>
    <w:qFormat/>
    <w:uiPriority w:val="99"/>
    <w:rPr>
      <w:rFonts w:ascii="宋体" w:hAnsi="Courier New" w:cs="Courier New"/>
      <w:szCs w:val="21"/>
    </w:rPr>
  </w:style>
  <w:style w:type="character" w:customStyle="1" w:styleId="161">
    <w:name w:val="标题 2 字符"/>
    <w:qFormat/>
    <w:uiPriority w:val="9"/>
    <w:rPr>
      <w:rFonts w:ascii="Cambria" w:hAnsi="Cambria" w:eastAsia="宋体" w:cs="黑体"/>
      <w:b/>
      <w:bCs/>
      <w:sz w:val="32"/>
      <w:szCs w:val="32"/>
    </w:rPr>
  </w:style>
  <w:style w:type="character" w:customStyle="1" w:styleId="162">
    <w:name w:val="正文 楷体 Char"/>
    <w:link w:val="163"/>
    <w:qFormat/>
    <w:uiPriority w:val="0"/>
    <w:rPr>
      <w:rFonts w:ascii="楷体_GB2312" w:hAnsi="楷体_GB2312" w:eastAsia="楷体_GB2312"/>
      <w:sz w:val="24"/>
      <w:szCs w:val="24"/>
    </w:rPr>
  </w:style>
  <w:style w:type="paragraph" w:customStyle="1" w:styleId="163">
    <w:name w:val="正文 楷体"/>
    <w:basedOn w:val="1"/>
    <w:link w:val="162"/>
    <w:qFormat/>
    <w:uiPriority w:val="0"/>
    <w:pPr>
      <w:spacing w:line="500" w:lineRule="exact"/>
      <w:ind w:firstLine="200" w:firstLineChars="200"/>
    </w:pPr>
    <w:rPr>
      <w:rFonts w:ascii="楷体_GB2312" w:hAnsi="楷体_GB2312" w:eastAsia="楷体_GB2312"/>
      <w:kern w:val="0"/>
      <w:sz w:val="24"/>
    </w:rPr>
  </w:style>
  <w:style w:type="character" w:customStyle="1" w:styleId="164">
    <w:name w:val="正文01 Char"/>
    <w:link w:val="165"/>
    <w:qFormat/>
    <w:locked/>
    <w:uiPriority w:val="0"/>
    <w:rPr>
      <w:rFonts w:ascii="等线" w:hAnsi="等线"/>
      <w:bCs/>
      <w:kern w:val="2"/>
      <w:sz w:val="24"/>
      <w:szCs w:val="24"/>
    </w:rPr>
  </w:style>
  <w:style w:type="paragraph" w:customStyle="1" w:styleId="165">
    <w:name w:val="正文01"/>
    <w:basedOn w:val="1"/>
    <w:link w:val="164"/>
    <w:qFormat/>
    <w:uiPriority w:val="0"/>
    <w:pPr>
      <w:spacing w:before="60" w:line="460" w:lineRule="exact"/>
      <w:ind w:firstLine="200" w:firstLineChars="200"/>
    </w:pPr>
    <w:rPr>
      <w:rFonts w:ascii="等线" w:hAnsi="等线"/>
      <w:bCs/>
      <w:sz w:val="24"/>
    </w:rPr>
  </w:style>
  <w:style w:type="character" w:customStyle="1" w:styleId="166">
    <w:name w:val="正文(首行缩进) Char"/>
    <w:qFormat/>
    <w:uiPriority w:val="0"/>
    <w:rPr>
      <w:rFonts w:eastAsia="宋体"/>
      <w:snapToGrid/>
      <w:color w:val="000000"/>
      <w:sz w:val="24"/>
      <w:szCs w:val="24"/>
      <w:lang w:val="en-US" w:eastAsia="zh-CN" w:bidi="ar-SA"/>
    </w:rPr>
  </w:style>
  <w:style w:type="character" w:customStyle="1" w:styleId="167">
    <w:name w:val="正文文本 字符1"/>
    <w:semiHidden/>
    <w:qFormat/>
    <w:uiPriority w:val="0"/>
    <w:rPr>
      <w:rFonts w:ascii="Times New Roman" w:hAnsi="Times New Roman" w:eastAsia="宋体" w:cs="Times New Roman"/>
      <w:sz w:val="24"/>
      <w:szCs w:val="24"/>
    </w:rPr>
  </w:style>
  <w:style w:type="character" w:customStyle="1" w:styleId="168">
    <w:name w:val="Char Char6"/>
    <w:qFormat/>
    <w:uiPriority w:val="99"/>
    <w:rPr>
      <w:rFonts w:cs="Times New Roman"/>
      <w:b/>
      <w:bCs/>
      <w:kern w:val="2"/>
      <w:sz w:val="32"/>
      <w:szCs w:val="32"/>
    </w:rPr>
  </w:style>
  <w:style w:type="character" w:customStyle="1" w:styleId="169">
    <w:name w:val="15"/>
    <w:qFormat/>
    <w:uiPriority w:val="0"/>
    <w:rPr>
      <w:rFonts w:hint="default" w:ascii="Calibri" w:hAnsi="Calibri" w:cs="Calibri"/>
      <w:color w:val="0000FF"/>
      <w:u w:val="single"/>
    </w:rPr>
  </w:style>
  <w:style w:type="character" w:customStyle="1" w:styleId="170">
    <w:name w:val="页脚 字符2"/>
    <w:link w:val="23"/>
    <w:qFormat/>
    <w:locked/>
    <w:uiPriority w:val="0"/>
    <w:rPr>
      <w:rFonts w:cs="Times New Roman"/>
      <w:sz w:val="18"/>
      <w:szCs w:val="18"/>
    </w:rPr>
  </w:style>
  <w:style w:type="character" w:customStyle="1" w:styleId="171">
    <w:name w:val="表小标题 Char"/>
    <w:link w:val="172"/>
    <w:qFormat/>
    <w:uiPriority w:val="0"/>
    <w:rPr>
      <w:rFonts w:ascii="Calibri" w:hAnsi="Calibri"/>
      <w:b/>
      <w:kern w:val="2"/>
      <w:sz w:val="24"/>
      <w:szCs w:val="22"/>
    </w:rPr>
  </w:style>
  <w:style w:type="paragraph" w:customStyle="1" w:styleId="172">
    <w:name w:val="表小标题"/>
    <w:basedOn w:val="1"/>
    <w:link w:val="171"/>
    <w:qFormat/>
    <w:uiPriority w:val="0"/>
    <w:pPr>
      <w:spacing w:line="520" w:lineRule="exact"/>
      <w:ind w:firstLine="200" w:firstLineChars="200"/>
    </w:pPr>
    <w:rPr>
      <w:b/>
      <w:sz w:val="24"/>
      <w:szCs w:val="22"/>
    </w:rPr>
  </w:style>
  <w:style w:type="character" w:customStyle="1" w:styleId="173">
    <w:name w:val="标题 2 字符1"/>
    <w:link w:val="3"/>
    <w:semiHidden/>
    <w:qFormat/>
    <w:uiPriority w:val="0"/>
    <w:rPr>
      <w:rFonts w:ascii="Cambria" w:hAnsi="Cambria" w:eastAsia="宋体" w:cs="Times New Roman"/>
      <w:b/>
      <w:bCs/>
      <w:kern w:val="2"/>
      <w:sz w:val="32"/>
      <w:szCs w:val="32"/>
    </w:rPr>
  </w:style>
  <w:style w:type="character" w:customStyle="1" w:styleId="174">
    <w:name w:val="普通(网站) Char"/>
    <w:qFormat/>
    <w:locked/>
    <w:uiPriority w:val="0"/>
    <w:rPr>
      <w:rFonts w:ascii="宋体" w:hAnsi="宋体" w:eastAsia="宋体"/>
      <w:sz w:val="24"/>
    </w:rPr>
  </w:style>
  <w:style w:type="character" w:customStyle="1" w:styleId="175">
    <w:name w:val="标题 7 字符"/>
    <w:link w:val="6"/>
    <w:qFormat/>
    <w:uiPriority w:val="9"/>
    <w:rPr>
      <w:rFonts w:ascii="等线" w:hAnsi="等线"/>
      <w:b/>
      <w:bCs/>
      <w:sz w:val="24"/>
      <w:szCs w:val="24"/>
    </w:rPr>
  </w:style>
  <w:style w:type="character" w:customStyle="1" w:styleId="176">
    <w:name w:val="标题 4 字符1"/>
    <w:qFormat/>
    <w:uiPriority w:val="0"/>
    <w:rPr>
      <w:rFonts w:ascii="Arial" w:hAnsi="Arial" w:eastAsia="黑体" w:cs="Times New Roman"/>
      <w:b/>
      <w:bCs/>
      <w:kern w:val="0"/>
      <w:sz w:val="28"/>
      <w:szCs w:val="28"/>
      <w:lang w:val="zh-CN"/>
    </w:rPr>
  </w:style>
  <w:style w:type="character" w:customStyle="1" w:styleId="177">
    <w:name w:val="正文文本 字符2"/>
    <w:link w:val="13"/>
    <w:qFormat/>
    <w:locked/>
    <w:uiPriority w:val="1"/>
    <w:rPr>
      <w:sz w:val="18"/>
    </w:rPr>
  </w:style>
  <w:style w:type="character" w:customStyle="1" w:styleId="178">
    <w:name w:val="页脚 字符1"/>
    <w:semiHidden/>
    <w:qFormat/>
    <w:uiPriority w:val="99"/>
    <w:rPr>
      <w:sz w:val="18"/>
      <w:szCs w:val="18"/>
    </w:rPr>
  </w:style>
  <w:style w:type="character" w:customStyle="1" w:styleId="179">
    <w:name w:val="普通(网站) 字符"/>
    <w:link w:val="33"/>
    <w:qFormat/>
    <w:locked/>
    <w:uiPriority w:val="0"/>
    <w:rPr>
      <w:rFonts w:ascii="宋体" w:hAnsi="宋体" w:eastAsia="宋体"/>
      <w:sz w:val="24"/>
    </w:rPr>
  </w:style>
  <w:style w:type="character" w:customStyle="1" w:styleId="180">
    <w:name w:val="题注 Char"/>
    <w:qFormat/>
    <w:uiPriority w:val="0"/>
    <w:rPr>
      <w:b/>
      <w:kern w:val="2"/>
      <w:sz w:val="21"/>
    </w:rPr>
  </w:style>
  <w:style w:type="character" w:customStyle="1" w:styleId="181">
    <w:name w:val="批注主题 字符1"/>
    <w:link w:val="34"/>
    <w:semiHidden/>
    <w:qFormat/>
    <w:locked/>
    <w:uiPriority w:val="0"/>
    <w:rPr>
      <w:rFonts w:ascii="Times New Roman" w:hAnsi="Times New Roman" w:eastAsia="宋体" w:cs="Times New Roman"/>
      <w:b/>
      <w:bCs/>
      <w:kern w:val="2"/>
      <w:sz w:val="24"/>
      <w:szCs w:val="24"/>
    </w:rPr>
  </w:style>
  <w:style w:type="character" w:customStyle="1" w:styleId="182">
    <w:name w:val="CDD正文 Char"/>
    <w:link w:val="183"/>
    <w:qFormat/>
    <w:uiPriority w:val="0"/>
    <w:rPr>
      <w:rFonts w:ascii="宋体"/>
      <w:kern w:val="2"/>
      <w:sz w:val="24"/>
      <w:szCs w:val="24"/>
    </w:rPr>
  </w:style>
  <w:style w:type="paragraph" w:customStyle="1" w:styleId="183">
    <w:name w:val="CDD正文"/>
    <w:basedOn w:val="1"/>
    <w:link w:val="182"/>
    <w:qFormat/>
    <w:uiPriority w:val="0"/>
    <w:pPr>
      <w:suppressLineNumbers/>
      <w:suppressAutoHyphens/>
      <w:snapToGrid w:val="0"/>
      <w:spacing w:line="520" w:lineRule="exact"/>
      <w:ind w:firstLine="200" w:firstLineChars="200"/>
      <w:textAlignment w:val="center"/>
      <w:outlineLvl w:val="3"/>
    </w:pPr>
    <w:rPr>
      <w:rFonts w:ascii="宋体"/>
      <w:sz w:val="24"/>
    </w:rPr>
  </w:style>
  <w:style w:type="character" w:customStyle="1" w:styleId="184">
    <w:name w:val="纯文本 Char Char"/>
    <w:qFormat/>
    <w:uiPriority w:val="0"/>
    <w:rPr>
      <w:rFonts w:ascii="宋体" w:hAnsi="Courier New" w:eastAsia="宋体" w:cs="Courier New"/>
      <w:kern w:val="2"/>
      <w:sz w:val="21"/>
      <w:szCs w:val="21"/>
      <w:lang w:val="en-US" w:eastAsia="zh-CN" w:bidi="ar-SA"/>
    </w:rPr>
  </w:style>
  <w:style w:type="character" w:customStyle="1" w:styleId="185">
    <w:name w:val="Char Char8"/>
    <w:qFormat/>
    <w:uiPriority w:val="99"/>
    <w:rPr>
      <w:rFonts w:eastAsia="宋体" w:cs="Times New Roman"/>
      <w:kern w:val="2"/>
      <w:sz w:val="28"/>
      <w:lang w:val="en-US" w:eastAsia="zh-CN" w:bidi="ar-SA"/>
    </w:rPr>
  </w:style>
  <w:style w:type="character" w:customStyle="1" w:styleId="186">
    <w:name w:val="批注文字 字符"/>
    <w:qFormat/>
    <w:uiPriority w:val="99"/>
    <w:rPr>
      <w:szCs w:val="20"/>
    </w:rPr>
  </w:style>
  <w:style w:type="paragraph" w:customStyle="1" w:styleId="187">
    <w:name w:val="表格内文"/>
    <w:basedOn w:val="1"/>
    <w:qFormat/>
    <w:uiPriority w:val="0"/>
    <w:pPr>
      <w:spacing w:line="300" w:lineRule="exact"/>
    </w:pPr>
    <w:rPr>
      <w:rFonts w:ascii="等线" w:hAnsi="宋体"/>
      <w:szCs w:val="20"/>
      <w:lang w:val="zh-CN"/>
    </w:rPr>
  </w:style>
  <w:style w:type="paragraph" w:customStyle="1" w:styleId="188">
    <w:name w:val="标题3 CDD"/>
    <w:basedOn w:val="189"/>
    <w:qFormat/>
    <w:uiPriority w:val="0"/>
    <w:pPr>
      <w:jc w:val="both"/>
    </w:pPr>
  </w:style>
  <w:style w:type="paragraph" w:customStyle="1" w:styleId="189">
    <w:name w:val="标题3"/>
    <w:basedOn w:val="1"/>
    <w:qFormat/>
    <w:uiPriority w:val="0"/>
    <w:pPr>
      <w:adjustRightInd w:val="0"/>
      <w:snapToGrid w:val="0"/>
      <w:spacing w:line="500" w:lineRule="exact"/>
      <w:ind w:firstLine="482"/>
    </w:pPr>
    <w:rPr>
      <w:rFonts w:hAnsi="宋体"/>
      <w:b/>
    </w:rPr>
  </w:style>
  <w:style w:type="paragraph" w:customStyle="1" w:styleId="190">
    <w:name w:val="Body Text1"/>
    <w:basedOn w:val="1"/>
    <w:qFormat/>
    <w:uiPriority w:val="99"/>
    <w:pPr>
      <w:spacing w:line="360" w:lineRule="auto"/>
    </w:pPr>
    <w:rPr>
      <w:rFonts w:ascii="等线" w:hAnsi="等线" w:eastAsia="黑体"/>
      <w:sz w:val="28"/>
    </w:rPr>
  </w:style>
  <w:style w:type="paragraph" w:customStyle="1" w:styleId="191">
    <w:name w:val="正文秦斐"/>
    <w:basedOn w:val="1"/>
    <w:qFormat/>
    <w:uiPriority w:val="0"/>
    <w:pPr>
      <w:spacing w:line="360" w:lineRule="auto"/>
      <w:ind w:firstLine="480" w:firstLineChars="200"/>
    </w:pPr>
    <w:rPr>
      <w:sz w:val="24"/>
    </w:rPr>
  </w:style>
  <w:style w:type="paragraph" w:customStyle="1" w:styleId="192">
    <w:name w:val="ZQL正文*"/>
    <w:basedOn w:val="1"/>
    <w:qFormat/>
    <w:uiPriority w:val="0"/>
    <w:pPr>
      <w:adjustRightInd w:val="0"/>
      <w:snapToGrid w:val="0"/>
      <w:spacing w:line="500" w:lineRule="exact"/>
      <w:ind w:firstLine="200" w:firstLineChars="200"/>
    </w:pPr>
    <w:rPr>
      <w:sz w:val="24"/>
    </w:rPr>
  </w:style>
  <w:style w:type="paragraph" w:customStyle="1" w:styleId="193">
    <w:name w:val="Char Char Char Char Char Char Char Char Char Char Char Char Char Char Char Char Char Char Char Char Char Char Char Char Char Char Char Char Char Char Char Char Char Char Char Char Char Char Char Char"/>
    <w:basedOn w:val="1"/>
    <w:qFormat/>
    <w:uiPriority w:val="0"/>
    <w:rPr>
      <w:rFonts w:ascii="等线" w:hAnsi="等线"/>
      <w:kern w:val="0"/>
      <w:szCs w:val="20"/>
    </w:rPr>
  </w:style>
  <w:style w:type="paragraph" w:customStyle="1" w:styleId="194">
    <w:name w:val="表"/>
    <w:basedOn w:val="1"/>
    <w:qFormat/>
    <w:uiPriority w:val="99"/>
    <w:pPr>
      <w:snapToGrid w:val="0"/>
      <w:spacing w:line="400" w:lineRule="exact"/>
      <w:jc w:val="center"/>
    </w:pPr>
    <w:rPr>
      <w:rFonts w:ascii="等线" w:hAnsi="等线"/>
      <w:spacing w:val="2"/>
      <w:szCs w:val="20"/>
    </w:rPr>
  </w:style>
  <w:style w:type="paragraph" w:customStyle="1" w:styleId="195">
    <w:name w:val="列出段落1"/>
    <w:basedOn w:val="1"/>
    <w:qFormat/>
    <w:uiPriority w:val="99"/>
    <w:pPr>
      <w:ind w:firstLine="420" w:firstLineChars="200"/>
    </w:pPr>
    <w:rPr>
      <w:szCs w:val="22"/>
    </w:rPr>
  </w:style>
  <w:style w:type="paragraph" w:customStyle="1" w:styleId="196">
    <w:name w:val="样式7"/>
    <w:basedOn w:val="1"/>
    <w:qFormat/>
    <w:uiPriority w:val="0"/>
    <w:pPr>
      <w:adjustRightInd w:val="0"/>
      <w:snapToGrid w:val="0"/>
      <w:spacing w:line="288" w:lineRule="auto"/>
      <w:ind w:firstLine="480" w:firstLineChars="200"/>
    </w:pPr>
    <w:rPr>
      <w:rFonts w:eastAsia="楷体_GB2312"/>
      <w:kern w:val="0"/>
      <w:sz w:val="24"/>
    </w:rPr>
  </w:style>
  <w:style w:type="paragraph" w:customStyle="1" w:styleId="197">
    <w:name w:val="环评正文"/>
    <w:basedOn w:val="1"/>
    <w:qFormat/>
    <w:uiPriority w:val="99"/>
    <w:pPr>
      <w:spacing w:before="60" w:after="60" w:line="400" w:lineRule="exact"/>
      <w:ind w:firstLine="200" w:firstLineChars="200"/>
    </w:pPr>
    <w:rPr>
      <w:rFonts w:ascii="等线" w:hAnsi="等线" w:eastAsia="仿宋_GB2312"/>
      <w:sz w:val="24"/>
    </w:rPr>
  </w:style>
  <w:style w:type="paragraph" w:customStyle="1" w:styleId="198">
    <w:name w:val="表内字"/>
    <w:qFormat/>
    <w:uiPriority w:val="99"/>
    <w:pPr>
      <w:jc w:val="center"/>
    </w:pPr>
    <w:rPr>
      <w:rFonts w:ascii="Calibri" w:hAnsi="Calibri" w:eastAsia="宋体" w:cs="Times New Roman"/>
      <w:color w:val="000000"/>
      <w:sz w:val="18"/>
      <w:lang w:val="en-US" w:eastAsia="zh-CN" w:bidi="ar-SA"/>
    </w:rPr>
  </w:style>
  <w:style w:type="paragraph" w:customStyle="1" w:styleId="199">
    <w:name w:val="2222222222"/>
    <w:basedOn w:val="1"/>
    <w:qFormat/>
    <w:uiPriority w:val="99"/>
    <w:pPr>
      <w:spacing w:line="460" w:lineRule="exact"/>
      <w:ind w:firstLine="200" w:firstLineChars="200"/>
    </w:pPr>
    <w:rPr>
      <w:rFonts w:ascii="宋体" w:hAnsi="宋体"/>
      <w:color w:val="000000"/>
      <w:sz w:val="26"/>
      <w:szCs w:val="20"/>
    </w:rPr>
  </w:style>
  <w:style w:type="paragraph" w:customStyle="1" w:styleId="200">
    <w:name w:val="表字"/>
    <w:basedOn w:val="1"/>
    <w:qFormat/>
    <w:uiPriority w:val="99"/>
    <w:pPr>
      <w:tabs>
        <w:tab w:val="center" w:pos="4153"/>
        <w:tab w:val="right" w:pos="8306"/>
      </w:tabs>
      <w:snapToGrid w:val="0"/>
      <w:spacing w:line="240" w:lineRule="exact"/>
      <w:ind w:hanging="2" w:hangingChars="1"/>
      <w:jc w:val="center"/>
    </w:pPr>
    <w:rPr>
      <w:rFonts w:ascii="宋体" w:hAnsi="宋体" w:cs="Arial"/>
      <w:bCs/>
      <w:spacing w:val="-6"/>
      <w:sz w:val="24"/>
    </w:rPr>
  </w:style>
  <w:style w:type="paragraph" w:customStyle="1" w:styleId="201">
    <w:name w:val="Table Paragraph"/>
    <w:basedOn w:val="1"/>
    <w:qFormat/>
    <w:uiPriority w:val="1"/>
    <w:pPr>
      <w:autoSpaceDE w:val="0"/>
      <w:autoSpaceDN w:val="0"/>
      <w:adjustRightInd w:val="0"/>
      <w:jc w:val="center"/>
    </w:pPr>
    <w:rPr>
      <w:rFonts w:eastAsia="等线"/>
      <w:kern w:val="0"/>
      <w:sz w:val="24"/>
    </w:rPr>
  </w:style>
  <w:style w:type="paragraph" w:customStyle="1" w:styleId="202">
    <w:name w:val="Char Char3"/>
    <w:basedOn w:val="1"/>
    <w:qFormat/>
    <w:uiPriority w:val="0"/>
    <w:rPr>
      <w:szCs w:val="20"/>
    </w:rPr>
  </w:style>
  <w:style w:type="paragraph" w:customStyle="1" w:styleId="203">
    <w:name w:val="题注报告表"/>
    <w:basedOn w:val="1"/>
    <w:qFormat/>
    <w:uiPriority w:val="0"/>
    <w:pPr>
      <w:spacing w:line="520" w:lineRule="exact"/>
      <w:jc w:val="center"/>
    </w:pPr>
    <w:rPr>
      <w:rFonts w:ascii="等线" w:hAnsi="等线"/>
      <w:b/>
      <w:kern w:val="0"/>
      <w:szCs w:val="22"/>
    </w:rPr>
  </w:style>
  <w:style w:type="paragraph" w:customStyle="1" w:styleId="204">
    <w:name w:val="5图表题注"/>
    <w:basedOn w:val="1"/>
    <w:qFormat/>
    <w:uiPriority w:val="0"/>
    <w:pPr>
      <w:keepNext/>
      <w:spacing w:before="50" w:beforeLines="50"/>
      <w:jc w:val="center"/>
      <w:textAlignment w:val="center"/>
    </w:pPr>
    <w:rPr>
      <w:rFonts w:ascii="等线" w:hAnsi="等线"/>
      <w:b/>
      <w:color w:val="000000"/>
      <w:szCs w:val="21"/>
    </w:rPr>
  </w:style>
  <w:style w:type="paragraph" w:customStyle="1" w:styleId="205">
    <w:name w:val="图表SL"/>
    <w:basedOn w:val="1"/>
    <w:qFormat/>
    <w:uiPriority w:val="0"/>
    <w:pPr>
      <w:adjustRightInd w:val="0"/>
      <w:snapToGrid w:val="0"/>
      <w:spacing w:line="0" w:lineRule="atLeast"/>
      <w:jc w:val="center"/>
    </w:pPr>
    <w:rPr>
      <w:rFonts w:cs="宋体"/>
      <w:kern w:val="0"/>
      <w:szCs w:val="20"/>
    </w:rPr>
  </w:style>
  <w:style w:type="paragraph" w:customStyle="1" w:styleId="206">
    <w:name w:val="列出段落2"/>
    <w:basedOn w:val="1"/>
    <w:qFormat/>
    <w:uiPriority w:val="99"/>
    <w:pPr>
      <w:ind w:firstLine="420" w:firstLineChars="200"/>
    </w:pPr>
    <w:rPr>
      <w:szCs w:val="22"/>
    </w:rPr>
  </w:style>
  <w:style w:type="paragraph" w:styleId="207">
    <w:name w:val="List Paragraph"/>
    <w:basedOn w:val="1"/>
    <w:qFormat/>
    <w:uiPriority w:val="34"/>
    <w:pPr>
      <w:adjustRightInd w:val="0"/>
      <w:snapToGrid w:val="0"/>
      <w:spacing w:line="500" w:lineRule="exact"/>
      <w:ind w:firstLine="420" w:firstLineChars="200"/>
    </w:pPr>
  </w:style>
  <w:style w:type="paragraph" w:customStyle="1" w:styleId="208">
    <w:name w:val="表格内文字"/>
    <w:basedOn w:val="1"/>
    <w:qFormat/>
    <w:uiPriority w:val="0"/>
    <w:pPr>
      <w:spacing w:line="280" w:lineRule="exact"/>
      <w:textAlignment w:val="center"/>
    </w:pPr>
    <w:rPr>
      <w:rFonts w:ascii="宋体" w:hAnsi="Times New Roman"/>
      <w:szCs w:val="28"/>
    </w:rPr>
  </w:style>
  <w:style w:type="paragraph" w:customStyle="1" w:styleId="209">
    <w:name w:val="普通(网站)2"/>
    <w:basedOn w:val="1"/>
    <w:qFormat/>
    <w:uiPriority w:val="0"/>
    <w:pPr>
      <w:spacing w:before="100" w:beforeAutospacing="1" w:after="100" w:afterAutospacing="1"/>
    </w:pPr>
    <w:rPr>
      <w:rFonts w:ascii="宋体" w:hAnsi="宋体"/>
      <w:sz w:val="24"/>
      <w:szCs w:val="20"/>
    </w:rPr>
  </w:style>
  <w:style w:type="paragraph" w:customStyle="1" w:styleId="210">
    <w:name w:val="6 表中字体"/>
    <w:basedOn w:val="1"/>
    <w:qFormat/>
    <w:uiPriority w:val="0"/>
    <w:pPr>
      <w:jc w:val="center"/>
      <w:textAlignment w:val="center"/>
    </w:pPr>
    <w:rPr>
      <w:rFonts w:ascii="等线" w:hAnsi="等线"/>
      <w:kern w:val="0"/>
      <w:szCs w:val="21"/>
    </w:rPr>
  </w:style>
  <w:style w:type="paragraph" w:customStyle="1" w:styleId="211">
    <w:name w:val="Char2 Char Char Char"/>
    <w:basedOn w:val="1"/>
    <w:qFormat/>
    <w:uiPriority w:val="99"/>
    <w:pPr>
      <w:autoSpaceDE w:val="0"/>
      <w:autoSpaceDN w:val="0"/>
      <w:adjustRightInd w:val="0"/>
      <w:snapToGrid w:val="0"/>
      <w:spacing w:before="50" w:after="50" w:line="360" w:lineRule="auto"/>
      <w:ind w:firstLine="560" w:firstLineChars="200"/>
    </w:pPr>
    <w:rPr>
      <w:rFonts w:ascii="宋体" w:hAnsi="宋体" w:eastAsia="仿宋_GB2312"/>
      <w:color w:val="000000"/>
      <w:sz w:val="24"/>
    </w:rPr>
  </w:style>
  <w:style w:type="paragraph" w:customStyle="1" w:styleId="212">
    <w:name w:val="1"/>
    <w:basedOn w:val="1"/>
    <w:next w:val="18"/>
    <w:qFormat/>
    <w:uiPriority w:val="99"/>
    <w:rPr>
      <w:rFonts w:ascii="宋体" w:hAnsi="Courier New" w:cs="Courier New"/>
      <w:sz w:val="24"/>
      <w:szCs w:val="21"/>
    </w:rPr>
  </w:style>
  <w:style w:type="paragraph" w:customStyle="1" w:styleId="213">
    <w:name w:val="表格样式"/>
    <w:basedOn w:val="1"/>
    <w:qFormat/>
    <w:uiPriority w:val="99"/>
    <w:pPr>
      <w:spacing w:line="240" w:lineRule="atLeast"/>
      <w:jc w:val="center"/>
    </w:pPr>
    <w:rPr>
      <w:rFonts w:ascii="楷体_GB2312" w:hAnsi="等线" w:eastAsia="楷体_GB2312"/>
      <w:spacing w:val="6"/>
      <w:szCs w:val="21"/>
    </w:rPr>
  </w:style>
  <w:style w:type="paragraph" w:customStyle="1" w:styleId="214">
    <w:name w:val="Char Char Char Char"/>
    <w:basedOn w:val="1"/>
    <w:next w:val="1"/>
    <w:qFormat/>
    <w:uiPriority w:val="99"/>
    <w:pPr>
      <w:spacing w:line="240" w:lineRule="atLeast"/>
      <w:ind w:left="420" w:firstLine="420" w:firstLineChars="200"/>
    </w:pPr>
    <w:rPr>
      <w:rFonts w:ascii="等线" w:hAnsi="等线"/>
      <w:kern w:val="0"/>
      <w:sz w:val="28"/>
      <w:szCs w:val="21"/>
    </w:rPr>
  </w:style>
  <w:style w:type="paragraph" w:customStyle="1" w:styleId="215">
    <w:name w:val="正文SK"/>
    <w:basedOn w:val="1"/>
    <w:next w:val="1"/>
    <w:qFormat/>
    <w:uiPriority w:val="0"/>
    <w:rPr>
      <w:rFonts w:ascii="等线" w:hAnsi="等线"/>
      <w:sz w:val="24"/>
    </w:rPr>
  </w:style>
  <w:style w:type="paragraph" w:customStyle="1" w:styleId="216">
    <w:name w:val="表格内容"/>
    <w:basedOn w:val="1"/>
    <w:next w:val="1"/>
    <w:qFormat/>
    <w:uiPriority w:val="99"/>
    <w:pPr>
      <w:overflowPunct w:val="0"/>
      <w:adjustRightInd w:val="0"/>
      <w:spacing w:before="40" w:after="60" w:line="200" w:lineRule="atLeast"/>
      <w:textAlignment w:val="baseline"/>
    </w:pPr>
    <w:rPr>
      <w:rFonts w:ascii="Arial" w:hAnsi="Arial" w:eastAsia="仿宋_GB2312"/>
      <w:kern w:val="0"/>
      <w:sz w:val="24"/>
      <w:szCs w:val="20"/>
    </w:rPr>
  </w:style>
  <w:style w:type="paragraph" w:customStyle="1" w:styleId="217">
    <w:name w:val="标题1"/>
    <w:basedOn w:val="75"/>
    <w:qFormat/>
    <w:uiPriority w:val="0"/>
    <w:pPr>
      <w:snapToGrid w:val="0"/>
    </w:pPr>
    <w:rPr>
      <w:rFonts w:ascii="宋体" w:hAnsi="宋体"/>
    </w:rPr>
  </w:style>
  <w:style w:type="paragraph" w:customStyle="1" w:styleId="218">
    <w:name w:val="正文缩进1"/>
    <w:basedOn w:val="1"/>
    <w:qFormat/>
    <w:uiPriority w:val="0"/>
    <w:pPr>
      <w:ind w:firstLine="420"/>
    </w:pPr>
    <w:rPr>
      <w:sz w:val="24"/>
      <w:szCs w:val="20"/>
    </w:rPr>
  </w:style>
  <w:style w:type="paragraph" w:customStyle="1" w:styleId="219">
    <w:name w:val="Char Char Char Char Char Char"/>
    <w:basedOn w:val="1"/>
    <w:qFormat/>
    <w:uiPriority w:val="0"/>
    <w:rPr>
      <w:rFonts w:ascii="等线" w:hAnsi="等线"/>
    </w:rPr>
  </w:style>
  <w:style w:type="paragraph" w:customStyle="1" w:styleId="2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1">
    <w:name w:val="报告表正文"/>
    <w:basedOn w:val="1"/>
    <w:qFormat/>
    <w:uiPriority w:val="99"/>
    <w:pPr>
      <w:adjustRightInd w:val="0"/>
      <w:spacing w:line="312" w:lineRule="auto"/>
      <w:ind w:left="113" w:right="113" w:firstLine="482"/>
      <w:textAlignment w:val="baseline"/>
    </w:pPr>
    <w:rPr>
      <w:rFonts w:ascii="等线" w:hAnsi="等线"/>
      <w:kern w:val="0"/>
      <w:sz w:val="24"/>
      <w:szCs w:val="20"/>
    </w:rPr>
  </w:style>
  <w:style w:type="paragraph" w:customStyle="1" w:styleId="222">
    <w:name w:val="报告书正文"/>
    <w:basedOn w:val="35"/>
    <w:qFormat/>
    <w:uiPriority w:val="0"/>
    <w:pPr>
      <w:adjustRightInd w:val="0"/>
      <w:spacing w:line="360" w:lineRule="atLeast"/>
    </w:pPr>
    <w:rPr>
      <w:sz w:val="24"/>
      <w:szCs w:val="24"/>
    </w:rPr>
  </w:style>
  <w:style w:type="paragraph" w:customStyle="1" w:styleId="223">
    <w:name w:val="Char Char5"/>
    <w:basedOn w:val="1"/>
    <w:qFormat/>
    <w:uiPriority w:val="0"/>
    <w:rPr>
      <w:rFonts w:ascii="宋体" w:hAnsi="宋体" w:cs="宋体"/>
      <w:kern w:val="0"/>
      <w:sz w:val="24"/>
    </w:rPr>
  </w:style>
  <w:style w:type="paragraph" w:customStyle="1" w:styleId="224">
    <w:name w:val="默认段落字体 Para Char Char Char Char"/>
    <w:basedOn w:val="1"/>
    <w:qFormat/>
    <w:uiPriority w:val="99"/>
    <w:rPr>
      <w:rFonts w:ascii="等线" w:hAnsi="等线"/>
    </w:rPr>
  </w:style>
  <w:style w:type="paragraph" w:customStyle="1" w:styleId="225">
    <w:name w:val="样式 样式 样式 样式 首行缩进:  2 字符1 + 首行缩进:  2 字符 + 首行缩进:  2 字符 + 首行缩进:  2 ..."/>
    <w:basedOn w:val="1"/>
    <w:qFormat/>
    <w:uiPriority w:val="0"/>
    <w:pPr>
      <w:ind w:firstLine="500" w:firstLineChars="200"/>
    </w:pPr>
    <w:rPr>
      <w:rFonts w:ascii="等线" w:hAnsi="等线" w:cs="宋体"/>
      <w:sz w:val="24"/>
      <w:szCs w:val="20"/>
    </w:rPr>
  </w:style>
  <w:style w:type="paragraph" w:customStyle="1" w:styleId="226">
    <w:name w:val="列出段落3"/>
    <w:basedOn w:val="1"/>
    <w:qFormat/>
    <w:uiPriority w:val="99"/>
    <w:pPr>
      <w:ind w:firstLine="420" w:firstLineChars="200"/>
    </w:pPr>
    <w:rPr>
      <w:szCs w:val="22"/>
    </w:rPr>
  </w:style>
  <w:style w:type="paragraph" w:customStyle="1" w:styleId="227">
    <w:name w:val="p0"/>
    <w:basedOn w:val="1"/>
    <w:qFormat/>
    <w:uiPriority w:val="99"/>
    <w:rPr>
      <w:rFonts w:ascii="等线" w:hAnsi="等线"/>
      <w:kern w:val="0"/>
      <w:szCs w:val="21"/>
    </w:rPr>
  </w:style>
  <w:style w:type="paragraph" w:customStyle="1" w:styleId="228">
    <w:name w:val="表格标题"/>
    <w:basedOn w:val="75"/>
    <w:qFormat/>
    <w:uiPriority w:val="0"/>
    <w:pPr>
      <w:jc w:val="center"/>
      <w:outlineLvl w:val="9"/>
    </w:pPr>
    <w:rPr>
      <w:rFonts w:ascii="宋体" w:hAnsi="Times New Roman"/>
      <w:sz w:val="21"/>
    </w:rPr>
  </w:style>
  <w:style w:type="paragraph" w:customStyle="1" w:styleId="229">
    <w:name w:val="4 正文"/>
    <w:basedOn w:val="1"/>
    <w:qFormat/>
    <w:uiPriority w:val="0"/>
    <w:pPr>
      <w:spacing w:line="500" w:lineRule="exact"/>
      <w:ind w:firstLine="480" w:firstLineChars="200"/>
    </w:pPr>
    <w:rPr>
      <w:rFonts w:ascii="等线" w:hAnsi="等线"/>
      <w:sz w:val="24"/>
      <w:lang w:val="zh-CN"/>
    </w:rPr>
  </w:style>
  <w:style w:type="paragraph" w:customStyle="1" w:styleId="230">
    <w:name w:val="表格文字2"/>
    <w:basedOn w:val="1"/>
    <w:qFormat/>
    <w:uiPriority w:val="99"/>
    <w:pPr>
      <w:adjustRightInd w:val="0"/>
      <w:spacing w:before="60"/>
      <w:jc w:val="center"/>
      <w:textAlignment w:val="baseline"/>
    </w:pPr>
    <w:rPr>
      <w:rFonts w:ascii="宋体" w:hAnsi="等线"/>
      <w:kern w:val="0"/>
      <w:sz w:val="24"/>
      <w:szCs w:val="20"/>
    </w:rPr>
  </w:style>
  <w:style w:type="paragraph" w:customStyle="1" w:styleId="231">
    <w:name w:val="Char"/>
    <w:basedOn w:val="1"/>
    <w:qFormat/>
    <w:uiPriority w:val="0"/>
    <w:pPr>
      <w:spacing w:line="360" w:lineRule="auto"/>
    </w:pPr>
    <w:rPr>
      <w:rFonts w:ascii="宋体" w:hAnsi="等线"/>
      <w:sz w:val="24"/>
      <w:szCs w:val="28"/>
    </w:rPr>
  </w:style>
  <w:style w:type="paragraph" w:customStyle="1" w:styleId="232">
    <w:name w:val="首行缩进"/>
    <w:basedOn w:val="1"/>
    <w:qFormat/>
    <w:uiPriority w:val="99"/>
    <w:pPr>
      <w:tabs>
        <w:tab w:val="left" w:pos="-238"/>
      </w:tabs>
      <w:spacing w:line="320" w:lineRule="exact"/>
      <w:jc w:val="center"/>
    </w:pPr>
    <w:rPr>
      <w:rFonts w:ascii="宋体" w:hAnsi="宋体"/>
      <w:color w:val="0D0D0D"/>
      <w:szCs w:val="21"/>
    </w:rPr>
  </w:style>
  <w:style w:type="paragraph" w:customStyle="1" w:styleId="233">
    <w:name w:val="样式2"/>
    <w:basedOn w:val="1"/>
    <w:qFormat/>
    <w:uiPriority w:val="0"/>
    <w:pPr>
      <w:adjustRightInd w:val="0"/>
      <w:ind w:left="170"/>
      <w:textAlignment w:val="baseline"/>
    </w:pPr>
    <w:rPr>
      <w:rFonts w:ascii="等线" w:hAnsi="等线"/>
      <w:b/>
      <w:kern w:val="0"/>
      <w:sz w:val="24"/>
      <w:szCs w:val="20"/>
    </w:rPr>
  </w:style>
  <w:style w:type="paragraph" w:customStyle="1" w:styleId="234">
    <w:name w:val="Char1"/>
    <w:basedOn w:val="1"/>
    <w:qFormat/>
    <w:uiPriority w:val="0"/>
    <w:pPr>
      <w:spacing w:after="160" w:line="240" w:lineRule="exact"/>
      <w:ind w:left="840" w:leftChars="300"/>
    </w:pPr>
    <w:rPr>
      <w:rFonts w:ascii="等线" w:hAnsi="等线"/>
      <w:sz w:val="28"/>
      <w:szCs w:val="20"/>
    </w:rPr>
  </w:style>
  <w:style w:type="paragraph" w:customStyle="1" w:styleId="235">
    <w:name w:val="样式 13 磅 黑色 行距: 固定值 30 磅2"/>
    <w:basedOn w:val="1"/>
    <w:qFormat/>
    <w:uiPriority w:val="99"/>
    <w:pPr>
      <w:adjustRightInd w:val="0"/>
      <w:snapToGrid w:val="0"/>
      <w:spacing w:line="520" w:lineRule="exact"/>
      <w:ind w:firstLine="480" w:firstLineChars="200"/>
    </w:pPr>
    <w:rPr>
      <w:rFonts w:ascii="等线" w:hAnsi="等线"/>
      <w:color w:val="000000"/>
      <w:sz w:val="24"/>
    </w:rPr>
  </w:style>
  <w:style w:type="paragraph" w:customStyle="1" w:styleId="236">
    <w:name w:val="页眉1"/>
    <w:basedOn w:val="1"/>
    <w:qFormat/>
    <w:uiPriority w:val="99"/>
    <w:pPr>
      <w:pBdr>
        <w:bottom w:val="single" w:color="auto" w:sz="6" w:space="1"/>
      </w:pBdr>
      <w:tabs>
        <w:tab w:val="center" w:pos="4153"/>
        <w:tab w:val="right" w:pos="8306"/>
      </w:tabs>
      <w:adjustRightInd w:val="0"/>
      <w:snapToGrid w:val="0"/>
      <w:jc w:val="center"/>
    </w:pPr>
    <w:rPr>
      <w:rFonts w:ascii="等线" w:hAnsi="等线"/>
      <w:sz w:val="18"/>
      <w:szCs w:val="18"/>
    </w:rPr>
  </w:style>
  <w:style w:type="paragraph" w:customStyle="1" w:styleId="237">
    <w:name w:val="样式 13 磅 黑色 行距: 固定值 30 磅"/>
    <w:basedOn w:val="1"/>
    <w:qFormat/>
    <w:uiPriority w:val="99"/>
    <w:pPr>
      <w:adjustRightInd w:val="0"/>
      <w:snapToGrid w:val="0"/>
      <w:spacing w:line="520" w:lineRule="exact"/>
      <w:ind w:firstLine="482" w:firstLineChars="200"/>
    </w:pPr>
    <w:rPr>
      <w:rFonts w:ascii="宋体" w:hAnsi="宋体"/>
      <w:b/>
      <w:sz w:val="24"/>
    </w:rPr>
  </w:style>
  <w:style w:type="paragraph" w:customStyle="1" w:styleId="238">
    <w:name w:val="4刘群正文 *"/>
    <w:basedOn w:val="1"/>
    <w:qFormat/>
    <w:uiPriority w:val="0"/>
    <w:pPr>
      <w:spacing w:line="520" w:lineRule="exact"/>
      <w:ind w:firstLine="480" w:firstLineChars="200"/>
    </w:pPr>
    <w:rPr>
      <w:rFonts w:ascii="Times New Roman" w:hAnsi="Times New Roman"/>
      <w:kern w:val="0"/>
      <w:sz w:val="24"/>
      <w:lang w:val="zh-CN"/>
    </w:rPr>
  </w:style>
  <w:style w:type="paragraph" w:customStyle="1" w:styleId="239">
    <w:name w:val="Char Char Char"/>
    <w:basedOn w:val="1"/>
    <w:qFormat/>
    <w:uiPriority w:val="0"/>
    <w:rPr>
      <w:rFonts w:ascii="等线" w:hAnsi="等线"/>
      <w:szCs w:val="21"/>
    </w:rPr>
  </w:style>
  <w:style w:type="paragraph" w:customStyle="1" w:styleId="240">
    <w:name w:val="样式 样式 报告书 + 黑色 + 两端对齐 首行缩进:  2 字符"/>
    <w:basedOn w:val="1"/>
    <w:qFormat/>
    <w:uiPriority w:val="99"/>
    <w:pPr>
      <w:spacing w:line="360" w:lineRule="auto"/>
      <w:ind w:firstLine="200" w:firstLineChars="200"/>
    </w:pPr>
    <w:rPr>
      <w:rFonts w:ascii="等线" w:hAnsi="等线" w:cs="宋体"/>
      <w:color w:val="000000"/>
      <w:kern w:val="24"/>
      <w:sz w:val="24"/>
      <w:szCs w:val="20"/>
    </w:rPr>
  </w:style>
  <w:style w:type="paragraph" w:customStyle="1" w:styleId="241">
    <w:name w:val="表格正文"/>
    <w:basedOn w:val="1"/>
    <w:qFormat/>
    <w:uiPriority w:val="99"/>
    <w:pPr>
      <w:spacing w:line="360" w:lineRule="exact"/>
      <w:jc w:val="center"/>
    </w:pPr>
    <w:rPr>
      <w:rFonts w:ascii="等线" w:hAnsi="等线"/>
    </w:rPr>
  </w:style>
  <w:style w:type="table" w:customStyle="1" w:styleId="242">
    <w:name w:val="报告表"/>
    <w:basedOn w:val="37"/>
    <w:qFormat/>
    <w:uiPriority w:val="99"/>
    <w:rPr>
      <w:kern w:val="2"/>
      <w:sz w:val="21"/>
      <w:szCs w:val="22"/>
    </w:rPr>
    <w:tblPr>
      <w:tblBorders>
        <w:top w:val="single" w:color="auto" w:sz="12" w:space="0"/>
        <w:bottom w:val="single" w:color="auto" w:sz="12" w:space="0"/>
        <w:insideH w:val="single" w:color="auto" w:sz="4" w:space="0"/>
        <w:insideV w:val="single" w:color="auto" w:sz="4" w:space="0"/>
      </w:tblBorders>
    </w:tblPr>
  </w:style>
  <w:style w:type="table" w:customStyle="1" w:styleId="243">
    <w:name w:val="报告书表格样式1"/>
    <w:basedOn w:val="37"/>
    <w:qFormat/>
    <w:uiPriority w:val="0"/>
    <w:pPr>
      <w:jc w:val="center"/>
    </w:pPr>
    <w:rPr>
      <w:kern w:val="2"/>
      <w:sz w:val="21"/>
      <w:szCs w:val="22"/>
    </w:rPr>
    <w:tblPr>
      <w:jc w:val="center"/>
      <w:tblBorders>
        <w:top w:val="single" w:color="auto" w:sz="12" w:space="0"/>
        <w:bottom w:val="single" w:color="auto" w:sz="12" w:space="0"/>
        <w:insideH w:val="single" w:color="auto" w:sz="6" w:space="0"/>
        <w:insideV w:val="single" w:color="auto" w:sz="6" w:space="0"/>
      </w:tblBorders>
      <w:tblCellMar>
        <w:left w:w="28" w:type="dxa"/>
        <w:right w:w="28" w:type="dxa"/>
      </w:tblCellMar>
    </w:tblPr>
    <w:trPr>
      <w:jc w:val="center"/>
    </w:trPr>
    <w:tcPr>
      <w:vAlign w:val="center"/>
    </w:tcPr>
  </w:style>
  <w:style w:type="paragraph" w:customStyle="1" w:styleId="244">
    <w:name w:val="正文_3"/>
    <w:qFormat/>
    <w:uiPriority w:val="0"/>
    <w:pPr>
      <w:widowControl w:val="0"/>
      <w:spacing w:line="300" w:lineRule="auto"/>
      <w:jc w:val="both"/>
    </w:pPr>
    <w:rPr>
      <w:rFonts w:ascii="宋体" w:hAnsi="Times New Roman" w:eastAsia="宋体" w:cs="Times New Roman"/>
      <w:kern w:val="2"/>
      <w:sz w:val="24"/>
      <w:szCs w:val="24"/>
      <w:lang w:val="en-US" w:eastAsia="zh-CN" w:bidi="ar-SA"/>
    </w:rPr>
  </w:style>
  <w:style w:type="character" w:customStyle="1" w:styleId="245">
    <w:name w:val="5 正文 Char"/>
    <w:link w:val="246"/>
    <w:qFormat/>
    <w:uiPriority w:val="0"/>
    <w:rPr>
      <w:rFonts w:cs="宋体"/>
      <w:sz w:val="24"/>
      <w:szCs w:val="24"/>
    </w:rPr>
  </w:style>
  <w:style w:type="paragraph" w:customStyle="1" w:styleId="246">
    <w:name w:val="5 正文"/>
    <w:basedOn w:val="1"/>
    <w:link w:val="245"/>
    <w:qFormat/>
    <w:uiPriority w:val="0"/>
    <w:pPr>
      <w:adjustRightInd w:val="0"/>
      <w:snapToGrid w:val="0"/>
      <w:spacing w:line="400" w:lineRule="exact"/>
      <w:ind w:firstLine="200" w:firstLineChars="200"/>
    </w:pPr>
    <w:rPr>
      <w:rFonts w:cs="宋体"/>
      <w:kern w:val="0"/>
      <w:sz w:val="24"/>
    </w:rPr>
  </w:style>
  <w:style w:type="character" w:customStyle="1" w:styleId="247">
    <w:name w:val="样式1 Char Char"/>
    <w:qFormat/>
    <w:uiPriority w:val="0"/>
    <w:rPr>
      <w:rFonts w:ascii="Times New Roman" w:hAnsi="Times New Roman" w:eastAsia="宋体" w:cs="Times New Roman"/>
      <w:b/>
      <w:bCs/>
      <w:sz w:val="28"/>
      <w:szCs w:val="28"/>
      <w:lang w:val="zh-CN"/>
    </w:rPr>
  </w:style>
  <w:style w:type="paragraph" w:customStyle="1" w:styleId="248">
    <w:name w:val="图表标题"/>
    <w:basedOn w:val="1"/>
    <w:qFormat/>
    <w:uiPriority w:val="0"/>
    <w:pPr>
      <w:widowControl w:val="0"/>
      <w:spacing w:line="600" w:lineRule="exact"/>
      <w:jc w:val="center"/>
    </w:pPr>
    <w:rPr>
      <w:rFonts w:ascii="Arial" w:hAnsi="Arial" w:eastAsia="黑体"/>
      <w:sz w:val="24"/>
    </w:rPr>
  </w:style>
  <w:style w:type="table" w:customStyle="1" w:styleId="249">
    <w:name w:val="网格型浅色1"/>
    <w:basedOn w:val="3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50">
    <w:name w:val="正文3"/>
    <w:basedOn w:val="1"/>
    <w:next w:val="1"/>
    <w:qFormat/>
    <w:uiPriority w:val="0"/>
    <w:pPr>
      <w:spacing w:line="529" w:lineRule="exact"/>
      <w:ind w:firstLine="420"/>
    </w:pPr>
    <w:rPr>
      <w:rFonts w:ascii="宋体" w:hAnsi="宋体" w:cs="宋体"/>
      <w:sz w:val="24"/>
    </w:rPr>
  </w:style>
  <w:style w:type="character" w:customStyle="1" w:styleId="251">
    <w:name w:val="font11"/>
    <w:basedOn w:val="39"/>
    <w:qFormat/>
    <w:uiPriority w:val="0"/>
    <w:rPr>
      <w:rFonts w:hint="default" w:ascii="Times New Roman" w:hAnsi="Times New Roman" w:cs="Times New Roman"/>
      <w:color w:val="000000"/>
      <w:sz w:val="21"/>
      <w:szCs w:val="21"/>
      <w:u w:val="none"/>
    </w:rPr>
  </w:style>
  <w:style w:type="character" w:customStyle="1" w:styleId="252">
    <w:name w:val="font21"/>
    <w:basedOn w:val="39"/>
    <w:qFormat/>
    <w:uiPriority w:val="0"/>
    <w:rPr>
      <w:rFonts w:hint="eastAsia" w:ascii="宋体" w:hAnsi="宋体" w:eastAsia="宋体" w:cs="宋体"/>
      <w:color w:val="000000"/>
      <w:sz w:val="21"/>
      <w:szCs w:val="21"/>
      <w:u w:val="none"/>
    </w:rPr>
  </w:style>
  <w:style w:type="paragraph" w:customStyle="1" w:styleId="253">
    <w:name w:val="00.正文格式"/>
    <w:basedOn w:val="8"/>
    <w:qFormat/>
    <w:uiPriority w:val="0"/>
    <w:pPr>
      <w:spacing w:line="360" w:lineRule="auto"/>
      <w:ind w:firstLine="480"/>
    </w:pPr>
    <w:rPr>
      <w:color w:val="000000"/>
      <w:sz w:val="24"/>
      <w:szCs w:val="24"/>
    </w:rPr>
  </w:style>
  <w:style w:type="paragraph" w:customStyle="1" w:styleId="254">
    <w:name w:val="样式 样式 (中文) 楷体_GB2312 四号 行距: 固定值 26 磅 +"/>
    <w:basedOn w:val="1"/>
    <w:qFormat/>
    <w:uiPriority w:val="0"/>
    <w:pPr>
      <w:spacing w:line="360" w:lineRule="auto"/>
      <w:ind w:firstLine="48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wmf"/><Relationship Id="rId32" Type="http://schemas.openxmlformats.org/officeDocument/2006/relationships/oleObject" Target="embeddings/oleObject2.bin"/><Relationship Id="rId31" Type="http://schemas.openxmlformats.org/officeDocument/2006/relationships/image" Target="media/image21.jpeg"/><Relationship Id="rId30" Type="http://schemas.openxmlformats.org/officeDocument/2006/relationships/image" Target="media/image20.wmf"/><Relationship Id="rId3" Type="http://schemas.openxmlformats.org/officeDocument/2006/relationships/footer" Target="footer1.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oleObject" Target="embeddings/oleObject1.bin"/><Relationship Id="rId26" Type="http://schemas.openxmlformats.org/officeDocument/2006/relationships/image" Target="media/image17.png"/><Relationship Id="rId25" Type="http://schemas.openxmlformats.org/officeDocument/2006/relationships/customXml" Target="ink/ink1.xml"/><Relationship Id="rId24" Type="http://schemas.openxmlformats.org/officeDocument/2006/relationships/image" Target="media/image16.jpeg"/><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566929134" units="1/cm"/>
          <inkml:channelProperty channel="Y" name="resolution" value="28.3464566929134" units="1/cm"/>
          <inkml:channelProperty channel="F" name="resolution" value="2.84167" units="1/cm"/>
        </inkml:channelProperties>
      </inkml:inkSource>
      <inkml:timestamp xml:id="ts0" timeString="2025-07-04T18:14:29"/>
    </inkml:context>
    <inkml:brush xml:id="br0">
      <inkml:brushProperty name="width" value="0.025" units="cm"/>
      <inkml:brushProperty name="height" value="0.025" units="cm"/>
      <inkml:brushProperty name="color" value="#000000"/>
    </inkml:brush>
  </inkml:definitions>
  <inkml:trace contextRef="#ctx0" brushRef="#br0">1 0 24575,'0'0'-8191</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1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15100-3428-42A1-89EE-77E69745A24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121</Pages>
  <Words>77665</Words>
  <Characters>87755</Characters>
  <Lines>676</Lines>
  <Paragraphs>190</Paragraphs>
  <TotalTime>14</TotalTime>
  <ScaleCrop>false</ScaleCrop>
  <LinksUpToDate>false</LinksUpToDate>
  <CharactersWithSpaces>88563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2022-01-14T14:45:00Z</dcterms:created>
  <dc:creator>lhj</dc:creator>
  <cp:lastModifiedBy>敲彝陆蕾谧</cp:lastModifiedBy>
  <cp:lastPrinted>2021-12-16T13:04:00Z</cp:lastPrinted>
  <dcterms:modified xsi:type="dcterms:W3CDTF">2025-07-04T10:14:29Z</dcterms:modified>
  <cp:revision>1809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246711642_cloud</vt:lpwstr>
  </property>
  <property fmtid="{D5CDD505-2E9C-101B-9397-08002B2CF9AE}" pid="4" name="ICV">
    <vt:lpwstr>5772018691664F80830DD378FBB78359</vt:lpwstr>
  </property>
</Properties>
</file>