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D5E79">
      <w:pPr>
        <w:pStyle w:val="21"/>
        <w:spacing w:before="0" w:beforeAutospacing="0" w:after="0" w:afterAutospacing="0"/>
        <w:jc w:val="center"/>
        <w:outlineLvl w:val="0"/>
        <w:rPr>
          <w:rFonts w:ascii="Times New Roman" w:hAnsi="Times New Roman"/>
          <w:b/>
          <w:bCs/>
          <w:snapToGrid w:val="0"/>
          <w:sz w:val="30"/>
          <w:szCs w:val="30"/>
        </w:rPr>
      </w:pPr>
      <w:r>
        <w:rPr>
          <w:rFonts w:hint="eastAsia" w:ascii="Times New Roman" w:hAnsi="Times New Roman"/>
          <w:b/>
          <w:bCs/>
          <w:snapToGrid w:val="0"/>
          <w:sz w:val="30"/>
          <w:szCs w:val="30"/>
        </w:rPr>
        <w:t>一、建设项目基本情况</w:t>
      </w:r>
    </w:p>
    <w:tbl>
      <w:tblPr>
        <w:tblStyle w:val="24"/>
        <w:tblW w:w="88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744"/>
        <w:gridCol w:w="2030"/>
        <w:gridCol w:w="2202"/>
        <w:gridCol w:w="2894"/>
      </w:tblGrid>
      <w:tr w14:paraId="1ED43D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75" w:type="dxa"/>
            <w:tcMar>
              <w:top w:w="16" w:type="dxa"/>
              <w:left w:w="16" w:type="dxa"/>
              <w:right w:w="16" w:type="dxa"/>
            </w:tcMar>
            <w:vAlign w:val="center"/>
          </w:tcPr>
          <w:p w14:paraId="35A6C539">
            <w:pPr>
              <w:jc w:val="center"/>
              <w:rPr>
                <w:sz w:val="24"/>
                <w:szCs w:val="24"/>
              </w:rPr>
            </w:pPr>
            <w:r>
              <w:rPr>
                <w:sz w:val="24"/>
                <w:szCs w:val="24"/>
              </w:rPr>
              <w:t>建设项目名称</w:t>
            </w:r>
          </w:p>
        </w:tc>
        <w:tc>
          <w:tcPr>
            <w:tcW w:w="6895" w:type="dxa"/>
            <w:gridSpan w:val="3"/>
            <w:vAlign w:val="center"/>
          </w:tcPr>
          <w:p w14:paraId="2579483C">
            <w:pPr>
              <w:pStyle w:val="5"/>
              <w:keepNext/>
              <w:keepLines/>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sz w:val="24"/>
                <w:szCs w:val="24"/>
                <w:lang w:val="en-US" w:eastAsia="zh-CN"/>
              </w:rPr>
            </w:pPr>
            <w:r>
              <w:rPr>
                <w:rFonts w:hint="eastAsia"/>
                <w:b w:val="0"/>
                <w:bCs/>
                <w:sz w:val="24"/>
                <w:szCs w:val="24"/>
                <w:lang w:eastAsia="zh-CN"/>
              </w:rPr>
              <w:t>胡杨河市广泰建材有限公司新建金属结构厂房及年产20万m</w:t>
            </w:r>
            <w:r>
              <w:rPr>
                <w:rFonts w:hint="eastAsia"/>
                <w:b w:val="0"/>
                <w:bCs/>
                <w:sz w:val="24"/>
                <w:szCs w:val="24"/>
                <w:vertAlign w:val="superscript"/>
                <w:lang w:eastAsia="zh-CN"/>
              </w:rPr>
              <w:t>3</w:t>
            </w:r>
            <w:r>
              <w:rPr>
                <w:rFonts w:hint="eastAsia"/>
                <w:b w:val="0"/>
                <w:bCs/>
                <w:sz w:val="24"/>
                <w:szCs w:val="24"/>
                <w:lang w:eastAsia="zh-CN"/>
              </w:rPr>
              <w:t>蒸压加气混凝土砌块和蒸压加气混凝土ALC配筋板材建设</w:t>
            </w:r>
            <w:r>
              <w:rPr>
                <w:rFonts w:hint="eastAsia"/>
                <w:b w:val="0"/>
                <w:bCs/>
                <w:sz w:val="24"/>
                <w:szCs w:val="24"/>
                <w:lang w:val="en-US" w:eastAsia="zh-CN"/>
              </w:rPr>
              <w:t>项目</w:t>
            </w:r>
          </w:p>
        </w:tc>
      </w:tr>
      <w:tr w14:paraId="1C6A50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75" w:type="dxa"/>
            <w:tcMar>
              <w:top w:w="16" w:type="dxa"/>
              <w:left w:w="16" w:type="dxa"/>
              <w:right w:w="16" w:type="dxa"/>
            </w:tcMar>
            <w:vAlign w:val="center"/>
          </w:tcPr>
          <w:p w14:paraId="28EDCA43">
            <w:pPr>
              <w:jc w:val="center"/>
              <w:rPr>
                <w:sz w:val="24"/>
                <w:szCs w:val="24"/>
              </w:rPr>
            </w:pPr>
            <w:r>
              <w:rPr>
                <w:sz w:val="24"/>
                <w:szCs w:val="24"/>
              </w:rPr>
              <w:t>项目代码</w:t>
            </w:r>
          </w:p>
        </w:tc>
        <w:tc>
          <w:tcPr>
            <w:tcW w:w="6895" w:type="dxa"/>
            <w:gridSpan w:val="3"/>
            <w:vAlign w:val="center"/>
          </w:tcPr>
          <w:p w14:paraId="2E0FF09B">
            <w:pPr>
              <w:jc w:val="center"/>
              <w:rPr>
                <w:rFonts w:hint="default" w:eastAsia="宋体"/>
                <w:sz w:val="24"/>
                <w:szCs w:val="24"/>
                <w:lang w:val="en-US" w:eastAsia="zh-CN"/>
              </w:rPr>
            </w:pPr>
            <w:r>
              <w:rPr>
                <w:rFonts w:hint="eastAsia"/>
                <w:sz w:val="24"/>
                <w:szCs w:val="24"/>
                <w:lang w:val="en-US" w:eastAsia="zh-CN"/>
              </w:rPr>
              <w:t>2409-660791-04-01-243119</w:t>
            </w:r>
          </w:p>
        </w:tc>
      </w:tr>
      <w:tr w14:paraId="621C13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75" w:type="dxa"/>
            <w:tcMar>
              <w:top w:w="16" w:type="dxa"/>
              <w:left w:w="16" w:type="dxa"/>
              <w:right w:w="16" w:type="dxa"/>
            </w:tcMar>
            <w:vAlign w:val="center"/>
          </w:tcPr>
          <w:p w14:paraId="77D08092">
            <w:pPr>
              <w:jc w:val="center"/>
              <w:rPr>
                <w:sz w:val="24"/>
                <w:szCs w:val="24"/>
              </w:rPr>
            </w:pPr>
            <w:r>
              <w:rPr>
                <w:sz w:val="24"/>
                <w:szCs w:val="24"/>
              </w:rPr>
              <w:t>建设单位联系人</w:t>
            </w:r>
          </w:p>
        </w:tc>
        <w:tc>
          <w:tcPr>
            <w:tcW w:w="2044" w:type="dxa"/>
            <w:vAlign w:val="center"/>
          </w:tcPr>
          <w:p w14:paraId="18AA4394">
            <w:pPr>
              <w:jc w:val="center"/>
              <w:rPr>
                <w:rFonts w:hint="default" w:eastAsia="宋体"/>
                <w:sz w:val="24"/>
                <w:szCs w:val="24"/>
                <w:lang w:val="en-US" w:eastAsia="zh-CN"/>
              </w:rPr>
            </w:pPr>
            <w:r>
              <w:rPr>
                <w:rFonts w:hint="eastAsia"/>
                <w:sz w:val="24"/>
                <w:szCs w:val="24"/>
                <w:lang w:val="en-US" w:eastAsia="zh-CN"/>
              </w:rPr>
              <w:t>罗军</w:t>
            </w:r>
          </w:p>
        </w:tc>
        <w:tc>
          <w:tcPr>
            <w:tcW w:w="2212" w:type="dxa"/>
            <w:vAlign w:val="center"/>
          </w:tcPr>
          <w:p w14:paraId="54A58A4C">
            <w:pPr>
              <w:jc w:val="center"/>
              <w:rPr>
                <w:sz w:val="24"/>
                <w:szCs w:val="24"/>
              </w:rPr>
            </w:pPr>
            <w:r>
              <w:rPr>
                <w:sz w:val="24"/>
                <w:szCs w:val="24"/>
              </w:rPr>
              <w:t>联系方式</w:t>
            </w:r>
          </w:p>
        </w:tc>
        <w:tc>
          <w:tcPr>
            <w:tcW w:w="2639" w:type="dxa"/>
            <w:vAlign w:val="center"/>
          </w:tcPr>
          <w:p w14:paraId="1BC8FCC3">
            <w:pPr>
              <w:jc w:val="center"/>
              <w:rPr>
                <w:rFonts w:hint="default" w:eastAsia="宋体"/>
                <w:sz w:val="24"/>
                <w:szCs w:val="24"/>
                <w:lang w:val="en-US" w:eastAsia="zh-CN"/>
              </w:rPr>
            </w:pPr>
            <w:r>
              <w:rPr>
                <w:rFonts w:hint="default" w:eastAsia="宋体"/>
                <w:sz w:val="24"/>
                <w:szCs w:val="24"/>
                <w:lang w:val="en-US" w:eastAsia="zh-CN"/>
              </w:rPr>
              <w:t>18116886885</w:t>
            </w:r>
          </w:p>
        </w:tc>
      </w:tr>
      <w:tr w14:paraId="2ADE17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75" w:type="dxa"/>
            <w:tcMar>
              <w:top w:w="16" w:type="dxa"/>
              <w:left w:w="16" w:type="dxa"/>
              <w:right w:w="16" w:type="dxa"/>
            </w:tcMar>
            <w:vAlign w:val="center"/>
          </w:tcPr>
          <w:p w14:paraId="1A69DC46">
            <w:pPr>
              <w:jc w:val="center"/>
              <w:rPr>
                <w:sz w:val="24"/>
                <w:szCs w:val="24"/>
              </w:rPr>
            </w:pPr>
            <w:r>
              <w:rPr>
                <w:sz w:val="24"/>
                <w:szCs w:val="24"/>
              </w:rPr>
              <w:t>建设地点</w:t>
            </w:r>
          </w:p>
        </w:tc>
        <w:tc>
          <w:tcPr>
            <w:tcW w:w="6895" w:type="dxa"/>
            <w:gridSpan w:val="3"/>
            <w:vAlign w:val="center"/>
          </w:tcPr>
          <w:p w14:paraId="57F68B73">
            <w:pPr>
              <w:jc w:val="center"/>
              <w:rPr>
                <w:rFonts w:hint="default" w:eastAsia="宋体"/>
                <w:sz w:val="24"/>
                <w:szCs w:val="24"/>
                <w:lang w:val="en-US" w:eastAsia="zh-CN"/>
              </w:rPr>
            </w:pPr>
            <w:r>
              <w:rPr>
                <w:rFonts w:hint="eastAsia"/>
                <w:sz w:val="24"/>
                <w:szCs w:val="24"/>
                <w:lang w:val="en-US" w:eastAsia="zh-CN"/>
              </w:rPr>
              <w:t>胡杨河经济技术开发区大道18号</w:t>
            </w:r>
          </w:p>
        </w:tc>
      </w:tr>
      <w:tr w14:paraId="5A408F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75" w:type="dxa"/>
            <w:tcMar>
              <w:top w:w="16" w:type="dxa"/>
              <w:left w:w="16" w:type="dxa"/>
              <w:right w:w="16" w:type="dxa"/>
            </w:tcMar>
            <w:vAlign w:val="center"/>
          </w:tcPr>
          <w:p w14:paraId="5143893A">
            <w:pPr>
              <w:jc w:val="center"/>
              <w:rPr>
                <w:sz w:val="24"/>
                <w:szCs w:val="24"/>
              </w:rPr>
            </w:pPr>
            <w:r>
              <w:rPr>
                <w:sz w:val="24"/>
                <w:szCs w:val="24"/>
              </w:rPr>
              <w:t>地理坐标</w:t>
            </w:r>
          </w:p>
        </w:tc>
        <w:tc>
          <w:tcPr>
            <w:tcW w:w="6895" w:type="dxa"/>
            <w:gridSpan w:val="3"/>
            <w:vAlign w:val="center"/>
          </w:tcPr>
          <w:p w14:paraId="68A827FF">
            <w:pPr>
              <w:jc w:val="center"/>
              <w:rPr>
                <w:sz w:val="24"/>
                <w:szCs w:val="24"/>
              </w:rPr>
            </w:pPr>
            <w:r>
              <w:rPr>
                <w:color w:val="auto"/>
                <w:sz w:val="24"/>
                <w:szCs w:val="24"/>
              </w:rPr>
              <w:t>8</w:t>
            </w:r>
            <w:r>
              <w:rPr>
                <w:rFonts w:hint="eastAsia"/>
                <w:color w:val="auto"/>
                <w:sz w:val="24"/>
                <w:szCs w:val="24"/>
                <w:lang w:val="en-US" w:eastAsia="zh-CN"/>
              </w:rPr>
              <w:t>4</w:t>
            </w:r>
            <w:r>
              <w:rPr>
                <w:color w:val="auto"/>
                <w:sz w:val="24"/>
                <w:szCs w:val="24"/>
              </w:rPr>
              <w:t>°</w:t>
            </w:r>
            <w:r>
              <w:rPr>
                <w:rFonts w:hint="eastAsia"/>
                <w:color w:val="auto"/>
                <w:sz w:val="24"/>
                <w:szCs w:val="24"/>
                <w:lang w:val="en-US" w:eastAsia="zh-CN"/>
              </w:rPr>
              <w:t>52</w:t>
            </w:r>
            <w:r>
              <w:rPr>
                <w:color w:val="auto"/>
                <w:sz w:val="24"/>
                <w:szCs w:val="24"/>
              </w:rPr>
              <w:t>′</w:t>
            </w:r>
            <w:r>
              <w:rPr>
                <w:rFonts w:hint="eastAsia"/>
                <w:color w:val="auto"/>
                <w:sz w:val="24"/>
                <w:szCs w:val="24"/>
                <w:lang w:val="en-US" w:eastAsia="zh-CN"/>
              </w:rPr>
              <w:t>11.921</w:t>
            </w:r>
            <w:r>
              <w:rPr>
                <w:color w:val="auto"/>
                <w:sz w:val="24"/>
                <w:szCs w:val="24"/>
              </w:rPr>
              <w:t>″</w:t>
            </w:r>
            <w:r>
              <w:rPr>
                <w:snapToGrid w:val="0"/>
                <w:color w:val="auto"/>
                <w:kern w:val="0"/>
                <w:sz w:val="24"/>
                <w:szCs w:val="24"/>
              </w:rPr>
              <w:t>E，</w:t>
            </w:r>
            <w:r>
              <w:rPr>
                <w:rFonts w:hint="eastAsia"/>
                <w:color w:val="auto"/>
                <w:sz w:val="24"/>
                <w:szCs w:val="24"/>
                <w:lang w:val="en-US" w:eastAsia="zh-CN"/>
              </w:rPr>
              <w:t>44</w:t>
            </w:r>
            <w:r>
              <w:rPr>
                <w:color w:val="auto"/>
                <w:sz w:val="24"/>
                <w:szCs w:val="24"/>
              </w:rPr>
              <w:t>°</w:t>
            </w:r>
            <w:r>
              <w:rPr>
                <w:rFonts w:hint="eastAsia"/>
                <w:color w:val="auto"/>
                <w:sz w:val="24"/>
                <w:szCs w:val="24"/>
                <w:lang w:val="en-US" w:eastAsia="zh-CN"/>
              </w:rPr>
              <w:t>47</w:t>
            </w:r>
            <w:r>
              <w:rPr>
                <w:color w:val="auto"/>
                <w:sz w:val="24"/>
                <w:szCs w:val="24"/>
              </w:rPr>
              <w:t>′</w:t>
            </w:r>
            <w:r>
              <w:rPr>
                <w:rFonts w:hint="eastAsia"/>
                <w:color w:val="auto"/>
                <w:sz w:val="24"/>
                <w:szCs w:val="24"/>
                <w:lang w:val="en-US" w:eastAsia="zh-CN"/>
              </w:rPr>
              <w:t>46.633</w:t>
            </w:r>
            <w:r>
              <w:rPr>
                <w:color w:val="auto"/>
                <w:sz w:val="24"/>
                <w:szCs w:val="24"/>
              </w:rPr>
              <w:t>″</w:t>
            </w:r>
            <w:r>
              <w:rPr>
                <w:snapToGrid w:val="0"/>
                <w:color w:val="auto"/>
                <w:kern w:val="0"/>
                <w:sz w:val="24"/>
                <w:szCs w:val="24"/>
              </w:rPr>
              <w:t>N</w:t>
            </w:r>
          </w:p>
        </w:tc>
      </w:tr>
      <w:tr w14:paraId="17DD07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75" w:type="dxa"/>
            <w:tcMar>
              <w:top w:w="16" w:type="dxa"/>
              <w:left w:w="16" w:type="dxa"/>
              <w:right w:w="16" w:type="dxa"/>
            </w:tcMar>
            <w:vAlign w:val="center"/>
          </w:tcPr>
          <w:p w14:paraId="2F665E06">
            <w:pPr>
              <w:jc w:val="center"/>
              <w:rPr>
                <w:sz w:val="24"/>
                <w:szCs w:val="24"/>
              </w:rPr>
            </w:pPr>
            <w:r>
              <w:rPr>
                <w:sz w:val="24"/>
                <w:szCs w:val="24"/>
              </w:rPr>
              <w:t>国民经济</w:t>
            </w:r>
          </w:p>
          <w:p w14:paraId="753FE48F">
            <w:pPr>
              <w:jc w:val="center"/>
              <w:rPr>
                <w:sz w:val="24"/>
                <w:szCs w:val="24"/>
              </w:rPr>
            </w:pPr>
            <w:r>
              <w:rPr>
                <w:sz w:val="24"/>
                <w:szCs w:val="24"/>
              </w:rPr>
              <w:t>行业类别</w:t>
            </w:r>
          </w:p>
        </w:tc>
        <w:tc>
          <w:tcPr>
            <w:tcW w:w="2044" w:type="dxa"/>
            <w:vAlign w:val="center"/>
          </w:tcPr>
          <w:p w14:paraId="7087220F">
            <w:pPr>
              <w:jc w:val="center"/>
              <w:rPr>
                <w:sz w:val="24"/>
                <w:szCs w:val="24"/>
              </w:rPr>
            </w:pPr>
            <w:r>
              <w:rPr>
                <w:rFonts w:hint="eastAsia"/>
                <w:color w:val="auto"/>
                <w:sz w:val="24"/>
                <w:szCs w:val="24"/>
              </w:rPr>
              <w:t>C</w:t>
            </w:r>
            <w:r>
              <w:rPr>
                <w:rFonts w:hint="eastAsia"/>
                <w:color w:val="auto"/>
                <w:sz w:val="24"/>
                <w:szCs w:val="24"/>
                <w:lang w:val="en-US" w:eastAsia="zh-CN"/>
              </w:rPr>
              <w:t>3031</w:t>
            </w:r>
            <w:r>
              <w:rPr>
                <w:rFonts w:hint="default" w:ascii="Times New Roman" w:hAnsi="Times New Roman" w:eastAsia="宋体" w:cs="Times New Roman"/>
                <w:color w:val="auto"/>
                <w:spacing w:val="0"/>
                <w:position w:val="0"/>
                <w:sz w:val="24"/>
                <w:szCs w:val="24"/>
                <w:highlight w:val="none"/>
                <w:lang w:val="en-US" w:eastAsia="zh-CN"/>
              </w:rPr>
              <w:t>粘土砖瓦及建筑砌块制造</w:t>
            </w:r>
          </w:p>
        </w:tc>
        <w:tc>
          <w:tcPr>
            <w:tcW w:w="2212" w:type="dxa"/>
            <w:vAlign w:val="center"/>
          </w:tcPr>
          <w:p w14:paraId="588454A9">
            <w:pPr>
              <w:jc w:val="center"/>
              <w:rPr>
                <w:sz w:val="24"/>
                <w:szCs w:val="24"/>
              </w:rPr>
            </w:pPr>
            <w:bookmarkStart w:id="0" w:name="_Hlk49843745"/>
            <w:r>
              <w:rPr>
                <w:sz w:val="24"/>
                <w:szCs w:val="24"/>
              </w:rPr>
              <w:t>建设项目</w:t>
            </w:r>
          </w:p>
          <w:p w14:paraId="71765EE5">
            <w:pPr>
              <w:jc w:val="center"/>
              <w:rPr>
                <w:sz w:val="24"/>
                <w:szCs w:val="24"/>
              </w:rPr>
            </w:pPr>
            <w:r>
              <w:rPr>
                <w:sz w:val="24"/>
                <w:szCs w:val="24"/>
              </w:rPr>
              <w:t>行业类别</w:t>
            </w:r>
            <w:bookmarkEnd w:id="0"/>
          </w:p>
        </w:tc>
        <w:tc>
          <w:tcPr>
            <w:tcW w:w="2639" w:type="dxa"/>
            <w:vAlign w:val="center"/>
          </w:tcPr>
          <w:p w14:paraId="7B56C942">
            <w:pPr>
              <w:rPr>
                <w:sz w:val="24"/>
                <w:szCs w:val="24"/>
              </w:rPr>
            </w:pPr>
            <w:r>
              <w:rPr>
                <w:rFonts w:ascii="Times New Roman" w:hAnsi="Times New Roman" w:eastAsia="宋体" w:cs="Times New Roman"/>
                <w:color w:val="auto"/>
                <w:kern w:val="2"/>
                <w:sz w:val="24"/>
                <w:szCs w:val="24"/>
                <w:lang w:val="en-US" w:eastAsia="zh-CN" w:bidi="ar-SA"/>
              </w:rPr>
              <w:t>二十七、非金属矿物制品业</w:t>
            </w:r>
            <w:r>
              <w:rPr>
                <w:rFonts w:hint="default" w:eastAsia="宋体"/>
                <w:color w:val="auto"/>
                <w:spacing w:val="0"/>
                <w:position w:val="0"/>
                <w:sz w:val="24"/>
                <w:szCs w:val="24"/>
                <w:highlight w:val="none"/>
                <w:lang w:val="en-US" w:eastAsia="zh-CN"/>
              </w:rPr>
              <w:t>30-</w:t>
            </w:r>
            <w:r>
              <w:rPr>
                <w:rFonts w:hint="eastAsia"/>
                <w:color w:val="auto"/>
                <w:spacing w:val="0"/>
                <w:position w:val="0"/>
                <w:sz w:val="24"/>
                <w:szCs w:val="24"/>
                <w:highlight w:val="none"/>
                <w:lang w:val="en-US" w:eastAsia="zh-CN"/>
              </w:rPr>
              <w:t>56砖瓦、石材等建筑材料制造303－隔热、隔音材料制造</w:t>
            </w:r>
          </w:p>
        </w:tc>
      </w:tr>
      <w:tr w14:paraId="56655C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75" w:type="dxa"/>
            <w:tcMar>
              <w:top w:w="16" w:type="dxa"/>
              <w:left w:w="16" w:type="dxa"/>
              <w:right w:w="16" w:type="dxa"/>
            </w:tcMar>
            <w:vAlign w:val="center"/>
          </w:tcPr>
          <w:p w14:paraId="775267A6">
            <w:pPr>
              <w:jc w:val="center"/>
              <w:rPr>
                <w:sz w:val="24"/>
                <w:szCs w:val="24"/>
              </w:rPr>
            </w:pPr>
            <w:r>
              <w:rPr>
                <w:sz w:val="24"/>
                <w:szCs w:val="24"/>
              </w:rPr>
              <w:t>建设性质</w:t>
            </w:r>
          </w:p>
        </w:tc>
        <w:tc>
          <w:tcPr>
            <w:tcW w:w="2044" w:type="dxa"/>
            <w:vAlign w:val="center"/>
          </w:tcPr>
          <w:p w14:paraId="1EAFF904">
            <w:pPr>
              <w:jc w:val="left"/>
              <w:rPr>
                <w:sz w:val="24"/>
                <w:szCs w:val="24"/>
              </w:rPr>
            </w:pPr>
            <w:r>
              <w:rPr>
                <w:sz w:val="24"/>
                <w:szCs w:val="24"/>
              </w:rPr>
              <w:t>☑新建（迁建）</w:t>
            </w:r>
          </w:p>
          <w:p w14:paraId="00259AC6">
            <w:pPr>
              <w:jc w:val="left"/>
              <w:rPr>
                <w:sz w:val="24"/>
                <w:szCs w:val="24"/>
              </w:rPr>
            </w:pPr>
            <w:r>
              <w:rPr>
                <w:rFonts w:hint="eastAsia"/>
                <w:sz w:val="24"/>
                <w:szCs w:val="24"/>
              </w:rPr>
              <w:t>□</w:t>
            </w:r>
            <w:r>
              <w:rPr>
                <w:sz w:val="24"/>
                <w:szCs w:val="24"/>
              </w:rPr>
              <w:t>改建</w:t>
            </w:r>
          </w:p>
          <w:p w14:paraId="0B166E88">
            <w:pPr>
              <w:jc w:val="left"/>
              <w:rPr>
                <w:sz w:val="24"/>
                <w:szCs w:val="24"/>
              </w:rPr>
            </w:pPr>
            <w:r>
              <w:rPr>
                <w:rFonts w:hint="eastAsia"/>
                <w:sz w:val="24"/>
                <w:szCs w:val="24"/>
              </w:rPr>
              <w:t>□</w:t>
            </w:r>
            <w:r>
              <w:rPr>
                <w:sz w:val="24"/>
                <w:szCs w:val="24"/>
              </w:rPr>
              <w:t>扩建</w:t>
            </w:r>
          </w:p>
          <w:p w14:paraId="0387E451">
            <w:pPr>
              <w:jc w:val="left"/>
              <w:rPr>
                <w:sz w:val="24"/>
                <w:szCs w:val="24"/>
              </w:rPr>
            </w:pPr>
            <w:r>
              <w:rPr>
                <w:rFonts w:hint="eastAsia"/>
                <w:sz w:val="24"/>
                <w:szCs w:val="24"/>
              </w:rPr>
              <w:t>□</w:t>
            </w:r>
            <w:r>
              <w:rPr>
                <w:sz w:val="24"/>
                <w:szCs w:val="24"/>
              </w:rPr>
              <w:t>技术改造</w:t>
            </w:r>
          </w:p>
        </w:tc>
        <w:tc>
          <w:tcPr>
            <w:tcW w:w="2212" w:type="dxa"/>
            <w:vAlign w:val="center"/>
          </w:tcPr>
          <w:p w14:paraId="1EBD9324">
            <w:pPr>
              <w:jc w:val="center"/>
              <w:rPr>
                <w:sz w:val="24"/>
                <w:szCs w:val="24"/>
              </w:rPr>
            </w:pPr>
            <w:r>
              <w:rPr>
                <w:sz w:val="24"/>
                <w:szCs w:val="24"/>
              </w:rPr>
              <w:t>建设项目</w:t>
            </w:r>
          </w:p>
          <w:p w14:paraId="2B85C159">
            <w:pPr>
              <w:jc w:val="center"/>
              <w:rPr>
                <w:sz w:val="24"/>
                <w:szCs w:val="24"/>
              </w:rPr>
            </w:pPr>
            <w:r>
              <w:rPr>
                <w:sz w:val="24"/>
                <w:szCs w:val="24"/>
              </w:rPr>
              <w:t>申报情形</w:t>
            </w:r>
          </w:p>
        </w:tc>
        <w:tc>
          <w:tcPr>
            <w:tcW w:w="2639" w:type="dxa"/>
            <w:vAlign w:val="center"/>
          </w:tcPr>
          <w:p w14:paraId="066AAECF">
            <w:pPr>
              <w:jc w:val="left"/>
              <w:rPr>
                <w:sz w:val="24"/>
                <w:szCs w:val="24"/>
              </w:rPr>
            </w:pPr>
            <w:r>
              <w:rPr>
                <w:sz w:val="24"/>
                <w:szCs w:val="24"/>
              </w:rPr>
              <w:t xml:space="preserve">☑首次申报项目             </w:t>
            </w:r>
          </w:p>
          <w:p w14:paraId="6EAD5F1D">
            <w:pPr>
              <w:jc w:val="left"/>
              <w:rPr>
                <w:sz w:val="24"/>
                <w:szCs w:val="24"/>
              </w:rPr>
            </w:pPr>
            <w:r>
              <w:rPr>
                <w:rFonts w:hint="eastAsia"/>
                <w:sz w:val="24"/>
                <w:szCs w:val="24"/>
              </w:rPr>
              <w:t>□</w:t>
            </w:r>
            <w:r>
              <w:rPr>
                <w:sz w:val="24"/>
                <w:szCs w:val="24"/>
              </w:rPr>
              <w:t>不予批准后再次申报项目</w:t>
            </w:r>
          </w:p>
          <w:p w14:paraId="5A941FB6">
            <w:pPr>
              <w:jc w:val="left"/>
              <w:rPr>
                <w:sz w:val="24"/>
                <w:szCs w:val="24"/>
              </w:rPr>
            </w:pPr>
            <w:r>
              <w:rPr>
                <w:rFonts w:hint="eastAsia"/>
                <w:sz w:val="24"/>
                <w:szCs w:val="24"/>
              </w:rPr>
              <w:t>□</w:t>
            </w:r>
            <w:r>
              <w:rPr>
                <w:sz w:val="24"/>
                <w:szCs w:val="24"/>
              </w:rPr>
              <w:t xml:space="preserve">超五年重新审核项目     </w:t>
            </w:r>
          </w:p>
          <w:p w14:paraId="06097FD9">
            <w:pPr>
              <w:jc w:val="left"/>
              <w:rPr>
                <w:sz w:val="24"/>
                <w:szCs w:val="24"/>
              </w:rPr>
            </w:pPr>
            <w:r>
              <w:rPr>
                <w:rFonts w:hint="eastAsia"/>
                <w:sz w:val="24"/>
                <w:szCs w:val="24"/>
              </w:rPr>
              <w:t>□</w:t>
            </w:r>
            <w:r>
              <w:rPr>
                <w:sz w:val="24"/>
                <w:szCs w:val="24"/>
              </w:rPr>
              <w:t>重大变动重新报批项目</w:t>
            </w:r>
          </w:p>
        </w:tc>
      </w:tr>
      <w:tr w14:paraId="5871DF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75" w:type="dxa"/>
            <w:tcMar>
              <w:top w:w="16" w:type="dxa"/>
              <w:left w:w="16" w:type="dxa"/>
              <w:right w:w="16" w:type="dxa"/>
            </w:tcMar>
            <w:vAlign w:val="center"/>
          </w:tcPr>
          <w:p w14:paraId="03F11F53">
            <w:pPr>
              <w:jc w:val="center"/>
              <w:rPr>
                <w:sz w:val="24"/>
                <w:szCs w:val="24"/>
              </w:rPr>
            </w:pPr>
            <w:r>
              <w:rPr>
                <w:sz w:val="24"/>
                <w:szCs w:val="24"/>
              </w:rPr>
              <w:t>项目审批（核准/</w:t>
            </w:r>
          </w:p>
          <w:p w14:paraId="20E6577B">
            <w:pPr>
              <w:jc w:val="center"/>
              <w:rPr>
                <w:sz w:val="24"/>
                <w:szCs w:val="24"/>
              </w:rPr>
            </w:pPr>
            <w:r>
              <w:rPr>
                <w:sz w:val="24"/>
                <w:szCs w:val="24"/>
              </w:rPr>
              <w:t>备案）部门（选填）</w:t>
            </w:r>
          </w:p>
        </w:tc>
        <w:tc>
          <w:tcPr>
            <w:tcW w:w="2044" w:type="dxa"/>
            <w:vAlign w:val="center"/>
          </w:tcPr>
          <w:p w14:paraId="46D05954">
            <w:pPr>
              <w:jc w:val="center"/>
              <w:rPr>
                <w:sz w:val="24"/>
                <w:szCs w:val="24"/>
              </w:rPr>
            </w:pPr>
            <w:r>
              <w:rPr>
                <w:rFonts w:hint="eastAsia"/>
                <w:sz w:val="24"/>
                <w:szCs w:val="24"/>
                <w:lang w:val="en-US" w:eastAsia="zh-CN"/>
              </w:rPr>
              <w:t>胡杨河市经济技术开发区经济发展局</w:t>
            </w:r>
          </w:p>
        </w:tc>
        <w:tc>
          <w:tcPr>
            <w:tcW w:w="2212" w:type="dxa"/>
            <w:vAlign w:val="center"/>
          </w:tcPr>
          <w:p w14:paraId="420621D3">
            <w:pPr>
              <w:jc w:val="center"/>
              <w:rPr>
                <w:sz w:val="24"/>
                <w:szCs w:val="24"/>
              </w:rPr>
            </w:pPr>
            <w:r>
              <w:rPr>
                <w:sz w:val="24"/>
                <w:szCs w:val="24"/>
              </w:rPr>
              <w:t>项目审批（核准/</w:t>
            </w:r>
          </w:p>
          <w:p w14:paraId="176CD518">
            <w:pPr>
              <w:jc w:val="center"/>
              <w:rPr>
                <w:sz w:val="24"/>
                <w:szCs w:val="24"/>
              </w:rPr>
            </w:pPr>
            <w:r>
              <w:rPr>
                <w:sz w:val="24"/>
                <w:szCs w:val="24"/>
              </w:rPr>
              <w:t>备案）文号（选填）</w:t>
            </w:r>
          </w:p>
        </w:tc>
        <w:tc>
          <w:tcPr>
            <w:tcW w:w="2639" w:type="dxa"/>
            <w:vAlign w:val="center"/>
          </w:tcPr>
          <w:p w14:paraId="790886A1">
            <w:pPr>
              <w:jc w:val="center"/>
              <w:rPr>
                <w:rFonts w:hint="eastAsia" w:eastAsia="宋体"/>
                <w:sz w:val="24"/>
                <w:szCs w:val="24"/>
                <w:lang w:eastAsia="zh-CN"/>
              </w:rPr>
            </w:pPr>
            <w:r>
              <w:rPr>
                <w:rFonts w:hint="eastAsia"/>
                <w:sz w:val="24"/>
                <w:szCs w:val="24"/>
                <w:lang w:val="en-US" w:eastAsia="zh-CN"/>
              </w:rPr>
              <w:t>经发局备</w:t>
            </w:r>
            <w:r>
              <w:rPr>
                <w:rFonts w:hint="default" w:ascii="Times New Roman" w:hAnsi="Times New Roman" w:eastAsia="宋体" w:cs="Times New Roman"/>
                <w:color w:val="auto"/>
                <w:kern w:val="0"/>
                <w:sz w:val="24"/>
                <w:szCs w:val="24"/>
                <w:highlight w:val="none"/>
                <w:lang w:val="en-US" w:eastAsia="zh-CN"/>
              </w:rPr>
              <w:t>〔2025〕</w:t>
            </w:r>
            <w:r>
              <w:rPr>
                <w:rFonts w:hint="eastAsia"/>
                <w:sz w:val="24"/>
                <w:szCs w:val="24"/>
                <w:lang w:val="en-US" w:eastAsia="zh-CN"/>
              </w:rPr>
              <w:t>051号</w:t>
            </w:r>
          </w:p>
        </w:tc>
      </w:tr>
      <w:tr w14:paraId="28CABC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75" w:type="dxa"/>
            <w:tcMar>
              <w:top w:w="16" w:type="dxa"/>
              <w:left w:w="16" w:type="dxa"/>
              <w:right w:w="16" w:type="dxa"/>
            </w:tcMar>
            <w:vAlign w:val="center"/>
          </w:tcPr>
          <w:p w14:paraId="3C44AAAD">
            <w:pPr>
              <w:jc w:val="center"/>
              <w:rPr>
                <w:sz w:val="24"/>
                <w:szCs w:val="24"/>
              </w:rPr>
            </w:pPr>
            <w:r>
              <w:rPr>
                <w:sz w:val="24"/>
                <w:szCs w:val="24"/>
              </w:rPr>
              <w:t>总投资（万元）</w:t>
            </w:r>
          </w:p>
        </w:tc>
        <w:tc>
          <w:tcPr>
            <w:tcW w:w="2044" w:type="dxa"/>
            <w:vAlign w:val="center"/>
          </w:tcPr>
          <w:p w14:paraId="43E716AB">
            <w:pPr>
              <w:jc w:val="center"/>
              <w:rPr>
                <w:rFonts w:hint="default" w:eastAsia="宋体"/>
                <w:sz w:val="24"/>
                <w:szCs w:val="24"/>
                <w:lang w:val="en-US" w:eastAsia="zh-CN"/>
              </w:rPr>
            </w:pPr>
            <w:r>
              <w:rPr>
                <w:rFonts w:hint="eastAsia"/>
                <w:sz w:val="24"/>
                <w:szCs w:val="24"/>
                <w:lang w:val="en-US" w:eastAsia="zh-CN"/>
              </w:rPr>
              <w:t>9410</w:t>
            </w:r>
          </w:p>
        </w:tc>
        <w:tc>
          <w:tcPr>
            <w:tcW w:w="2212" w:type="dxa"/>
            <w:tcMar>
              <w:top w:w="16" w:type="dxa"/>
              <w:left w:w="16" w:type="dxa"/>
              <w:right w:w="16" w:type="dxa"/>
            </w:tcMar>
            <w:vAlign w:val="center"/>
          </w:tcPr>
          <w:p w14:paraId="3F1FD6BB">
            <w:pPr>
              <w:jc w:val="center"/>
              <w:rPr>
                <w:sz w:val="24"/>
                <w:szCs w:val="24"/>
              </w:rPr>
            </w:pPr>
            <w:r>
              <w:rPr>
                <w:sz w:val="24"/>
                <w:szCs w:val="24"/>
              </w:rPr>
              <w:t>环保投资（万元）</w:t>
            </w:r>
          </w:p>
        </w:tc>
        <w:tc>
          <w:tcPr>
            <w:tcW w:w="2639" w:type="dxa"/>
            <w:vAlign w:val="center"/>
          </w:tcPr>
          <w:p w14:paraId="370DA51F">
            <w:pPr>
              <w:jc w:val="center"/>
              <w:rPr>
                <w:rFonts w:hint="default" w:eastAsia="宋体"/>
                <w:color w:val="C00000"/>
                <w:sz w:val="24"/>
                <w:szCs w:val="24"/>
                <w:lang w:val="en-US" w:eastAsia="zh-CN"/>
              </w:rPr>
            </w:pPr>
            <w:r>
              <w:rPr>
                <w:rFonts w:hint="eastAsia" w:ascii="Times New Roman" w:hAnsi="Times New Roman" w:eastAsia="宋体" w:cs="Times New Roman"/>
                <w:snapToGrid w:val="0"/>
                <w:kern w:val="0"/>
                <w:sz w:val="24"/>
                <w:szCs w:val="24"/>
                <w:lang w:val="en-US" w:eastAsia="zh-CN"/>
              </w:rPr>
              <w:t>112</w:t>
            </w:r>
          </w:p>
        </w:tc>
      </w:tr>
      <w:tr w14:paraId="7D51C0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75" w:type="dxa"/>
            <w:tcMar>
              <w:top w:w="16" w:type="dxa"/>
              <w:left w:w="16" w:type="dxa"/>
              <w:right w:w="16" w:type="dxa"/>
            </w:tcMar>
            <w:vAlign w:val="center"/>
          </w:tcPr>
          <w:p w14:paraId="4F717CF4">
            <w:pPr>
              <w:jc w:val="center"/>
              <w:rPr>
                <w:sz w:val="24"/>
                <w:szCs w:val="24"/>
              </w:rPr>
            </w:pPr>
            <w:r>
              <w:rPr>
                <w:sz w:val="24"/>
                <w:szCs w:val="24"/>
              </w:rPr>
              <w:t>环保投资占比（%）</w:t>
            </w:r>
          </w:p>
        </w:tc>
        <w:tc>
          <w:tcPr>
            <w:tcW w:w="2044" w:type="dxa"/>
            <w:vAlign w:val="center"/>
          </w:tcPr>
          <w:p w14:paraId="4AADC49B">
            <w:pPr>
              <w:jc w:val="center"/>
              <w:rPr>
                <w:rFonts w:hint="default" w:eastAsia="宋体"/>
                <w:sz w:val="24"/>
                <w:szCs w:val="24"/>
                <w:lang w:val="en-US" w:eastAsia="zh-CN"/>
              </w:rPr>
            </w:pPr>
            <w:r>
              <w:rPr>
                <w:rFonts w:hint="eastAsia"/>
                <w:sz w:val="24"/>
                <w:szCs w:val="24"/>
                <w:lang w:val="en-US" w:eastAsia="zh-CN"/>
              </w:rPr>
              <w:t>1.19</w:t>
            </w:r>
          </w:p>
        </w:tc>
        <w:tc>
          <w:tcPr>
            <w:tcW w:w="2212" w:type="dxa"/>
            <w:tcMar>
              <w:top w:w="16" w:type="dxa"/>
              <w:left w:w="16" w:type="dxa"/>
              <w:right w:w="16" w:type="dxa"/>
            </w:tcMar>
            <w:vAlign w:val="center"/>
          </w:tcPr>
          <w:p w14:paraId="47FE4D8E">
            <w:pPr>
              <w:jc w:val="center"/>
              <w:rPr>
                <w:sz w:val="24"/>
                <w:szCs w:val="24"/>
              </w:rPr>
            </w:pPr>
            <w:r>
              <w:rPr>
                <w:sz w:val="24"/>
                <w:szCs w:val="24"/>
              </w:rPr>
              <w:t>施工工期</w:t>
            </w:r>
          </w:p>
        </w:tc>
        <w:tc>
          <w:tcPr>
            <w:tcW w:w="2639" w:type="dxa"/>
            <w:vAlign w:val="center"/>
          </w:tcPr>
          <w:p w14:paraId="2422D214">
            <w:pPr>
              <w:jc w:val="center"/>
              <w:rPr>
                <w:color w:val="C00000"/>
                <w:sz w:val="24"/>
                <w:szCs w:val="24"/>
              </w:rPr>
            </w:pPr>
            <w:r>
              <w:rPr>
                <w:rFonts w:hint="eastAsia"/>
                <w:sz w:val="24"/>
                <w:szCs w:val="24"/>
                <w:lang w:val="en-US" w:eastAsia="zh-CN"/>
              </w:rPr>
              <w:t>3</w:t>
            </w:r>
            <w:r>
              <w:rPr>
                <w:rFonts w:hint="eastAsia"/>
                <w:sz w:val="24"/>
                <w:szCs w:val="24"/>
              </w:rPr>
              <w:t>个月</w:t>
            </w:r>
          </w:p>
        </w:tc>
      </w:tr>
      <w:tr w14:paraId="43FBE7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75" w:type="dxa"/>
            <w:tcMar>
              <w:top w:w="16" w:type="dxa"/>
              <w:left w:w="16" w:type="dxa"/>
              <w:right w:w="16" w:type="dxa"/>
            </w:tcMar>
            <w:vAlign w:val="center"/>
          </w:tcPr>
          <w:p w14:paraId="52484493">
            <w:pPr>
              <w:jc w:val="center"/>
              <w:rPr>
                <w:sz w:val="24"/>
                <w:szCs w:val="24"/>
              </w:rPr>
            </w:pPr>
            <w:r>
              <w:rPr>
                <w:sz w:val="24"/>
                <w:szCs w:val="24"/>
              </w:rPr>
              <w:t>是否开工建设</w:t>
            </w:r>
          </w:p>
        </w:tc>
        <w:tc>
          <w:tcPr>
            <w:tcW w:w="2044" w:type="dxa"/>
            <w:vAlign w:val="center"/>
          </w:tcPr>
          <w:p w14:paraId="1D8A75B1">
            <w:pPr>
              <w:rPr>
                <w:sz w:val="24"/>
                <w:szCs w:val="24"/>
              </w:rPr>
            </w:pPr>
            <w:r>
              <w:rPr>
                <w:rFonts w:hint="eastAsia"/>
                <w:sz w:val="24"/>
                <w:szCs w:val="24"/>
              </w:rPr>
              <w:t>☑</w:t>
            </w:r>
            <w:r>
              <w:rPr>
                <w:sz w:val="24"/>
                <w:szCs w:val="24"/>
              </w:rPr>
              <w:t>否</w:t>
            </w:r>
          </w:p>
          <w:p w14:paraId="64AA4574">
            <w:pPr>
              <w:rPr>
                <w:sz w:val="24"/>
                <w:szCs w:val="24"/>
              </w:rPr>
            </w:pPr>
            <w:r>
              <w:rPr>
                <w:rFonts w:hint="eastAsia"/>
                <w:sz w:val="24"/>
                <w:szCs w:val="24"/>
              </w:rPr>
              <w:t>□</w:t>
            </w:r>
            <w:r>
              <w:rPr>
                <w:sz w:val="24"/>
                <w:szCs w:val="24"/>
              </w:rPr>
              <w:t>是：</w:t>
            </w:r>
          </w:p>
        </w:tc>
        <w:tc>
          <w:tcPr>
            <w:tcW w:w="2212" w:type="dxa"/>
            <w:tcMar>
              <w:top w:w="16" w:type="dxa"/>
              <w:left w:w="16" w:type="dxa"/>
              <w:right w:w="16" w:type="dxa"/>
            </w:tcMar>
            <w:vAlign w:val="center"/>
          </w:tcPr>
          <w:p w14:paraId="21D8D3FF">
            <w:pPr>
              <w:jc w:val="center"/>
              <w:rPr>
                <w:spacing w:val="-6"/>
                <w:sz w:val="24"/>
                <w:szCs w:val="24"/>
              </w:rPr>
            </w:pPr>
            <w:r>
              <w:rPr>
                <w:spacing w:val="-6"/>
                <w:sz w:val="24"/>
                <w:szCs w:val="24"/>
              </w:rPr>
              <w:t>用地（用海）</w:t>
            </w:r>
          </w:p>
          <w:p w14:paraId="27889CA4">
            <w:pPr>
              <w:jc w:val="center"/>
              <w:rPr>
                <w:sz w:val="24"/>
                <w:szCs w:val="24"/>
              </w:rPr>
            </w:pPr>
            <w:r>
              <w:rPr>
                <w:spacing w:val="-6"/>
                <w:sz w:val="24"/>
                <w:szCs w:val="24"/>
              </w:rPr>
              <w:t>面积（m</w:t>
            </w:r>
            <w:r>
              <w:rPr>
                <w:spacing w:val="-6"/>
                <w:sz w:val="24"/>
                <w:szCs w:val="24"/>
                <w:vertAlign w:val="superscript"/>
              </w:rPr>
              <w:t>2</w:t>
            </w:r>
            <w:r>
              <w:rPr>
                <w:spacing w:val="-6"/>
                <w:sz w:val="24"/>
                <w:szCs w:val="24"/>
              </w:rPr>
              <w:t>）</w:t>
            </w:r>
          </w:p>
        </w:tc>
        <w:tc>
          <w:tcPr>
            <w:tcW w:w="2639" w:type="dxa"/>
            <w:vAlign w:val="center"/>
          </w:tcPr>
          <w:p w14:paraId="6A4C96BA">
            <w:pPr>
              <w:jc w:val="center"/>
              <w:rPr>
                <w:rFonts w:hint="default"/>
                <w:sz w:val="24"/>
                <w:szCs w:val="24"/>
                <w:lang w:val="en-US"/>
              </w:rPr>
            </w:pPr>
            <w:r>
              <w:rPr>
                <w:rFonts w:hint="eastAsia"/>
                <w:sz w:val="24"/>
                <w:szCs w:val="24"/>
                <w:lang w:val="en-US" w:eastAsia="zh-CN"/>
              </w:rPr>
              <w:t>19418.87</w:t>
            </w:r>
          </w:p>
        </w:tc>
      </w:tr>
      <w:tr w14:paraId="38A83B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75" w:type="dxa"/>
            <w:vAlign w:val="center"/>
          </w:tcPr>
          <w:p w14:paraId="1A3FE4A4">
            <w:pPr>
              <w:autoSpaceDE w:val="0"/>
              <w:autoSpaceDN w:val="0"/>
              <w:jc w:val="center"/>
              <w:rPr>
                <w:kern w:val="0"/>
                <w:sz w:val="24"/>
                <w:szCs w:val="24"/>
              </w:rPr>
            </w:pPr>
            <w:r>
              <w:rPr>
                <w:kern w:val="0"/>
                <w:sz w:val="24"/>
                <w:szCs w:val="24"/>
              </w:rPr>
              <w:t>专项评价设置情况</w:t>
            </w:r>
          </w:p>
        </w:tc>
        <w:tc>
          <w:tcPr>
            <w:tcW w:w="6895" w:type="dxa"/>
            <w:gridSpan w:val="3"/>
            <w:vAlign w:val="center"/>
          </w:tcPr>
          <w:p w14:paraId="67D85AB2">
            <w:pPr>
              <w:widowControl/>
              <w:jc w:val="center"/>
              <w:rPr>
                <w:sz w:val="24"/>
                <w:szCs w:val="24"/>
              </w:rPr>
            </w:pPr>
            <w:r>
              <w:rPr>
                <w:rFonts w:hint="eastAsia"/>
                <w:sz w:val="24"/>
                <w:szCs w:val="24"/>
              </w:rPr>
              <w:t>无</w:t>
            </w:r>
          </w:p>
        </w:tc>
      </w:tr>
      <w:tr w14:paraId="4C9767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75" w:type="dxa"/>
            <w:vAlign w:val="center"/>
          </w:tcPr>
          <w:p w14:paraId="70367B96">
            <w:pPr>
              <w:autoSpaceDE w:val="0"/>
              <w:autoSpaceDN w:val="0"/>
              <w:jc w:val="center"/>
              <w:rPr>
                <w:kern w:val="0"/>
                <w:sz w:val="24"/>
                <w:szCs w:val="24"/>
              </w:rPr>
            </w:pPr>
            <w:r>
              <w:rPr>
                <w:sz w:val="24"/>
                <w:szCs w:val="24"/>
              </w:rPr>
              <w:t>规划情况</w:t>
            </w:r>
          </w:p>
        </w:tc>
        <w:tc>
          <w:tcPr>
            <w:tcW w:w="6895" w:type="dxa"/>
            <w:gridSpan w:val="3"/>
            <w:vAlign w:val="center"/>
          </w:tcPr>
          <w:p w14:paraId="4359826A">
            <w:pPr>
              <w:pStyle w:val="2"/>
              <w:snapToGrid/>
              <w:spacing w:before="0" w:after="0" w:line="360" w:lineRule="auto"/>
              <w:ind w:right="0" w:firstLine="480" w:firstLineChars="200"/>
              <w:rPr>
                <w:rFonts w:hint="eastAsia" w:eastAsia="宋体"/>
                <w:sz w:val="24"/>
                <w:szCs w:val="24"/>
                <w:lang w:val="en-US" w:eastAsia="zh-CN"/>
              </w:rPr>
            </w:pPr>
            <w:r>
              <w:rPr>
                <w:rFonts w:hint="eastAsia"/>
                <w:color w:val="auto"/>
                <w:sz w:val="24"/>
                <w:szCs w:val="24"/>
              </w:rPr>
              <w:t>《</w:t>
            </w:r>
            <w:r>
              <w:rPr>
                <w:rFonts w:hint="eastAsia" w:ascii="宋体" w:hAnsi="宋体" w:cs="宋体"/>
                <w:color w:val="auto"/>
                <w:sz w:val="24"/>
                <w:szCs w:val="24"/>
                <w:lang w:val="en-US" w:eastAsia="zh-CN"/>
              </w:rPr>
              <w:t>胡杨河经济技术开发区</w:t>
            </w:r>
            <w:r>
              <w:rPr>
                <w:rFonts w:hint="eastAsia" w:ascii="宋体" w:hAnsi="宋体" w:cs="宋体"/>
                <w:color w:val="auto"/>
                <w:sz w:val="24"/>
                <w:szCs w:val="24"/>
              </w:rPr>
              <w:t>总体规划（</w:t>
            </w:r>
            <w:r>
              <w:rPr>
                <w:color w:val="auto"/>
                <w:sz w:val="24"/>
                <w:szCs w:val="24"/>
              </w:rPr>
              <w:t>20</w:t>
            </w:r>
            <w:r>
              <w:rPr>
                <w:rFonts w:hint="eastAsia"/>
                <w:color w:val="auto"/>
                <w:sz w:val="24"/>
                <w:szCs w:val="24"/>
                <w:lang w:val="en-US" w:eastAsia="zh-CN"/>
              </w:rPr>
              <w:t>21</w:t>
            </w:r>
            <w:r>
              <w:rPr>
                <w:color w:val="auto"/>
                <w:sz w:val="24"/>
                <w:szCs w:val="24"/>
              </w:rPr>
              <w:t>-203</w:t>
            </w:r>
            <w:r>
              <w:rPr>
                <w:rFonts w:hint="eastAsia"/>
                <w:color w:val="auto"/>
                <w:sz w:val="24"/>
                <w:szCs w:val="24"/>
                <w:lang w:val="en-US" w:eastAsia="zh-CN"/>
              </w:rPr>
              <w:t>5</w:t>
            </w:r>
            <w:r>
              <w:rPr>
                <w:rFonts w:hint="eastAsia" w:ascii="宋体" w:hAnsi="宋体" w:cs="宋体"/>
                <w:color w:val="auto"/>
                <w:sz w:val="24"/>
                <w:szCs w:val="24"/>
              </w:rPr>
              <w:t>）</w:t>
            </w:r>
            <w:r>
              <w:rPr>
                <w:rFonts w:hint="eastAsia"/>
                <w:color w:val="auto"/>
                <w:sz w:val="24"/>
                <w:szCs w:val="24"/>
              </w:rPr>
              <w:t>》</w:t>
            </w:r>
          </w:p>
        </w:tc>
      </w:tr>
      <w:tr w14:paraId="164185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75" w:type="dxa"/>
            <w:vAlign w:val="center"/>
          </w:tcPr>
          <w:p w14:paraId="6F44C41D">
            <w:pPr>
              <w:jc w:val="center"/>
              <w:rPr>
                <w:sz w:val="24"/>
                <w:szCs w:val="24"/>
              </w:rPr>
            </w:pPr>
            <w:r>
              <w:rPr>
                <w:sz w:val="24"/>
                <w:szCs w:val="24"/>
              </w:rPr>
              <w:t>规划环境影响</w:t>
            </w:r>
          </w:p>
          <w:p w14:paraId="6D6A21E1">
            <w:pPr>
              <w:jc w:val="center"/>
              <w:rPr>
                <w:kern w:val="0"/>
                <w:sz w:val="24"/>
                <w:szCs w:val="24"/>
              </w:rPr>
            </w:pPr>
            <w:r>
              <w:rPr>
                <w:sz w:val="24"/>
                <w:szCs w:val="24"/>
              </w:rPr>
              <w:t>评价情况</w:t>
            </w:r>
          </w:p>
        </w:tc>
        <w:tc>
          <w:tcPr>
            <w:tcW w:w="6895" w:type="dxa"/>
            <w:gridSpan w:val="3"/>
            <w:vAlign w:val="center"/>
          </w:tcPr>
          <w:p w14:paraId="6B3F5F8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kern w:val="0"/>
                <w:sz w:val="24"/>
                <w:szCs w:val="24"/>
                <w:lang w:val="en-US"/>
              </w:rPr>
            </w:pPr>
            <w:r>
              <w:rPr>
                <w:rFonts w:hint="default" w:ascii="Times New Roman" w:hAnsi="Times New Roman" w:cs="Times New Roman"/>
                <w:color w:val="auto"/>
                <w:kern w:val="0"/>
                <w:sz w:val="24"/>
                <w:szCs w:val="24"/>
              </w:rPr>
              <w:t>《</w:t>
            </w:r>
            <w:r>
              <w:rPr>
                <w:rFonts w:hint="eastAsia" w:ascii="宋体" w:hAnsi="宋体" w:cs="宋体"/>
                <w:color w:val="auto"/>
                <w:sz w:val="24"/>
                <w:szCs w:val="24"/>
                <w:lang w:val="en-US" w:eastAsia="zh-CN"/>
              </w:rPr>
              <w:t>胡杨河经济技术开发区</w:t>
            </w:r>
            <w:r>
              <w:rPr>
                <w:rFonts w:hint="eastAsia" w:ascii="宋体" w:hAnsi="宋体" w:cs="宋体"/>
                <w:color w:val="auto"/>
                <w:sz w:val="24"/>
                <w:szCs w:val="24"/>
              </w:rPr>
              <w:t>总体规划（</w:t>
            </w:r>
            <w:r>
              <w:rPr>
                <w:color w:val="auto"/>
                <w:sz w:val="24"/>
                <w:szCs w:val="24"/>
              </w:rPr>
              <w:t>20</w:t>
            </w:r>
            <w:r>
              <w:rPr>
                <w:rFonts w:hint="eastAsia"/>
                <w:color w:val="auto"/>
                <w:sz w:val="24"/>
                <w:szCs w:val="24"/>
                <w:lang w:val="en-US" w:eastAsia="zh-CN"/>
              </w:rPr>
              <w:t>21</w:t>
            </w:r>
            <w:r>
              <w:rPr>
                <w:color w:val="auto"/>
                <w:sz w:val="24"/>
                <w:szCs w:val="24"/>
              </w:rPr>
              <w:t>-203</w:t>
            </w:r>
            <w:r>
              <w:rPr>
                <w:rFonts w:hint="eastAsia"/>
                <w:color w:val="auto"/>
                <w:sz w:val="24"/>
                <w:szCs w:val="24"/>
                <w:lang w:val="en-US" w:eastAsia="zh-CN"/>
              </w:rPr>
              <w:t>5</w:t>
            </w:r>
            <w:r>
              <w:rPr>
                <w:rFonts w:hint="eastAsia" w:ascii="宋体" w:hAnsi="宋体" w:cs="宋体"/>
                <w:color w:val="auto"/>
                <w:sz w:val="24"/>
                <w:szCs w:val="24"/>
              </w:rPr>
              <w:t>）</w:t>
            </w:r>
            <w:r>
              <w:rPr>
                <w:rFonts w:hint="default" w:ascii="Times New Roman" w:hAnsi="Times New Roman" w:cs="Times New Roman"/>
                <w:color w:val="auto"/>
                <w:sz w:val="24"/>
                <w:szCs w:val="24"/>
              </w:rPr>
              <w:t>环境影响报告书</w:t>
            </w:r>
            <w:r>
              <w:rPr>
                <w:rFonts w:hint="default" w:ascii="Times New Roman" w:hAnsi="Times New Roman" w:cs="Times New Roman"/>
                <w:color w:val="auto"/>
                <w:kern w:val="0"/>
                <w:sz w:val="24"/>
                <w:szCs w:val="24"/>
              </w:rPr>
              <w:t>》</w:t>
            </w:r>
            <w:r>
              <w:rPr>
                <w:rFonts w:hint="default" w:ascii="Times New Roman" w:hAnsi="Times New Roman" w:eastAsia="宋体" w:cs="Times New Roman"/>
                <w:color w:val="auto"/>
                <w:kern w:val="0"/>
                <w:sz w:val="24"/>
                <w:szCs w:val="24"/>
                <w:lang w:val="en-US" w:eastAsia="zh-CN" w:bidi="ar"/>
              </w:rPr>
              <w:t>新疆兵团勘测设计院(集团)有限责任公司，20</w:t>
            </w:r>
            <w:r>
              <w:rPr>
                <w:rFonts w:hint="eastAsia" w:cs="Times New Roman"/>
                <w:color w:val="auto"/>
                <w:kern w:val="0"/>
                <w:sz w:val="24"/>
                <w:szCs w:val="24"/>
                <w:lang w:val="en-US" w:eastAsia="zh-CN" w:bidi="ar"/>
              </w:rPr>
              <w:t>21</w:t>
            </w:r>
            <w:r>
              <w:rPr>
                <w:rFonts w:hint="default" w:ascii="Times New Roman" w:hAnsi="Times New Roman" w:eastAsia="宋体" w:cs="Times New Roman"/>
                <w:color w:val="auto"/>
                <w:kern w:val="0"/>
                <w:sz w:val="24"/>
                <w:szCs w:val="24"/>
                <w:lang w:val="en-US" w:eastAsia="zh-CN" w:bidi="ar"/>
              </w:rPr>
              <w:t>.</w:t>
            </w:r>
            <w:r>
              <w:rPr>
                <w:rFonts w:hint="eastAsia" w:cs="Times New Roman"/>
                <w:color w:val="auto"/>
                <w:kern w:val="0"/>
                <w:sz w:val="24"/>
                <w:szCs w:val="24"/>
                <w:lang w:val="en-US" w:eastAsia="zh-CN" w:bidi="ar"/>
              </w:rPr>
              <w:t>11</w:t>
            </w:r>
          </w:p>
          <w:p w14:paraId="5CF2556D">
            <w:pPr>
              <w:autoSpaceDE w:val="0"/>
              <w:autoSpaceDN w:val="0"/>
              <w:spacing w:line="360" w:lineRule="auto"/>
              <w:ind w:firstLine="480" w:firstLineChars="200"/>
              <w:rPr>
                <w:kern w:val="0"/>
                <w:sz w:val="24"/>
                <w:szCs w:val="24"/>
              </w:rPr>
            </w:pPr>
            <w:r>
              <w:rPr>
                <w:rFonts w:hint="eastAsia"/>
                <w:color w:val="auto"/>
                <w:sz w:val="24"/>
                <w:szCs w:val="24"/>
              </w:rPr>
              <w:t>兵</w:t>
            </w:r>
            <w:r>
              <w:rPr>
                <w:rFonts w:hint="eastAsia"/>
                <w:color w:val="auto"/>
                <w:kern w:val="0"/>
                <w:sz w:val="24"/>
                <w:szCs w:val="24"/>
              </w:rPr>
              <w:t>环</w:t>
            </w:r>
            <w:r>
              <w:rPr>
                <w:rFonts w:hint="eastAsia"/>
                <w:color w:val="auto"/>
                <w:kern w:val="0"/>
                <w:sz w:val="24"/>
                <w:szCs w:val="24"/>
                <w:lang w:val="en-US" w:eastAsia="zh-CN"/>
              </w:rPr>
              <w:t>审</w:t>
            </w:r>
            <w:r>
              <w:rPr>
                <w:rFonts w:hint="default" w:ascii="Times New Roman" w:hAnsi="Times New Roman" w:eastAsia="宋体" w:cs="Times New Roman"/>
                <w:color w:val="auto"/>
                <w:kern w:val="0"/>
                <w:sz w:val="24"/>
                <w:szCs w:val="24"/>
                <w:highlight w:val="none"/>
                <w:lang w:val="en-US" w:eastAsia="zh-CN"/>
              </w:rPr>
              <w:t>〔202</w:t>
            </w:r>
            <w:r>
              <w:rPr>
                <w:rFonts w:hint="eastAsia" w:cs="Times New Roman"/>
                <w:color w:val="auto"/>
                <w:kern w:val="0"/>
                <w:sz w:val="24"/>
                <w:szCs w:val="24"/>
                <w:highlight w:val="none"/>
                <w:lang w:val="en-US" w:eastAsia="zh-CN"/>
              </w:rPr>
              <w:t>2</w:t>
            </w:r>
            <w:r>
              <w:rPr>
                <w:rFonts w:hint="default" w:ascii="Times New Roman" w:hAnsi="Times New Roman" w:eastAsia="宋体" w:cs="Times New Roman"/>
                <w:color w:val="auto"/>
                <w:kern w:val="0"/>
                <w:sz w:val="24"/>
                <w:szCs w:val="24"/>
                <w:highlight w:val="none"/>
                <w:lang w:val="en-US" w:eastAsia="zh-CN"/>
              </w:rPr>
              <w:t>〕</w:t>
            </w:r>
            <w:r>
              <w:rPr>
                <w:rFonts w:hint="eastAsia"/>
                <w:color w:val="auto"/>
                <w:kern w:val="0"/>
                <w:sz w:val="24"/>
                <w:szCs w:val="24"/>
                <w:lang w:val="en-US" w:eastAsia="zh-CN"/>
              </w:rPr>
              <w:t>2</w:t>
            </w:r>
            <w:r>
              <w:rPr>
                <w:rFonts w:hint="eastAsia"/>
                <w:color w:val="auto"/>
                <w:kern w:val="0"/>
                <w:sz w:val="24"/>
                <w:szCs w:val="24"/>
              </w:rPr>
              <w:t>号</w:t>
            </w:r>
            <w:r>
              <w:rPr>
                <w:rFonts w:hint="eastAsia"/>
                <w:color w:val="auto"/>
                <w:sz w:val="24"/>
                <w:szCs w:val="24"/>
              </w:rPr>
              <w:t>《关于</w:t>
            </w:r>
            <w:r>
              <w:rPr>
                <w:rFonts w:hint="eastAsia" w:ascii="宋体" w:hAnsi="宋体" w:cs="宋体"/>
                <w:color w:val="auto"/>
                <w:sz w:val="24"/>
                <w:szCs w:val="24"/>
                <w:lang w:val="en-US" w:eastAsia="zh-CN"/>
              </w:rPr>
              <w:t>胡杨河经济技术开发区</w:t>
            </w:r>
            <w:r>
              <w:rPr>
                <w:rFonts w:hint="eastAsia" w:ascii="宋体" w:hAnsi="宋体" w:cs="宋体"/>
                <w:color w:val="auto"/>
                <w:sz w:val="24"/>
                <w:szCs w:val="24"/>
              </w:rPr>
              <w:t>总体规划（</w:t>
            </w:r>
            <w:r>
              <w:rPr>
                <w:color w:val="auto"/>
                <w:sz w:val="24"/>
                <w:szCs w:val="24"/>
              </w:rPr>
              <w:t>20</w:t>
            </w:r>
            <w:r>
              <w:rPr>
                <w:rFonts w:hint="eastAsia"/>
                <w:color w:val="auto"/>
                <w:sz w:val="24"/>
                <w:szCs w:val="24"/>
                <w:lang w:val="en-US" w:eastAsia="zh-CN"/>
              </w:rPr>
              <w:t>21</w:t>
            </w:r>
            <w:r>
              <w:rPr>
                <w:color w:val="auto"/>
                <w:sz w:val="24"/>
                <w:szCs w:val="24"/>
              </w:rPr>
              <w:t>-203</w:t>
            </w:r>
            <w:r>
              <w:rPr>
                <w:rFonts w:hint="eastAsia"/>
                <w:color w:val="auto"/>
                <w:sz w:val="24"/>
                <w:szCs w:val="24"/>
                <w:lang w:val="en-US" w:eastAsia="zh-CN"/>
              </w:rPr>
              <w:t>5</w:t>
            </w:r>
            <w:r>
              <w:rPr>
                <w:rFonts w:hint="eastAsia" w:ascii="宋体" w:hAnsi="宋体" w:cs="宋体"/>
                <w:color w:val="auto"/>
                <w:sz w:val="24"/>
                <w:szCs w:val="24"/>
              </w:rPr>
              <w:t>）</w:t>
            </w:r>
            <w:r>
              <w:rPr>
                <w:rFonts w:hint="eastAsia"/>
                <w:color w:val="auto"/>
                <w:sz w:val="24"/>
                <w:szCs w:val="24"/>
              </w:rPr>
              <w:t>环境影响报告书的审查意见》新疆生产建设兵团生态环境局</w:t>
            </w:r>
          </w:p>
        </w:tc>
      </w:tr>
      <w:tr w14:paraId="381ABF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75" w:type="dxa"/>
            <w:vAlign w:val="center"/>
          </w:tcPr>
          <w:p w14:paraId="156C2FF9">
            <w:pPr>
              <w:autoSpaceDE w:val="0"/>
              <w:autoSpaceDN w:val="0"/>
              <w:jc w:val="center"/>
              <w:rPr>
                <w:kern w:val="0"/>
                <w:sz w:val="24"/>
                <w:szCs w:val="24"/>
              </w:rPr>
            </w:pPr>
            <w:r>
              <w:rPr>
                <w:kern w:val="0"/>
                <w:sz w:val="24"/>
                <w:szCs w:val="24"/>
              </w:rPr>
              <w:t>规划及规划环境</w:t>
            </w:r>
          </w:p>
          <w:p w14:paraId="4FCCD23D">
            <w:pPr>
              <w:autoSpaceDE w:val="0"/>
              <w:autoSpaceDN w:val="0"/>
              <w:jc w:val="center"/>
              <w:rPr>
                <w:kern w:val="0"/>
                <w:sz w:val="24"/>
                <w:szCs w:val="24"/>
              </w:rPr>
            </w:pPr>
            <w:r>
              <w:rPr>
                <w:kern w:val="0"/>
                <w:sz w:val="24"/>
                <w:szCs w:val="24"/>
              </w:rPr>
              <w:t>影响评价符合性分析</w:t>
            </w:r>
          </w:p>
        </w:tc>
        <w:tc>
          <w:tcPr>
            <w:tcW w:w="6895" w:type="dxa"/>
            <w:gridSpan w:val="3"/>
            <w:vAlign w:val="center"/>
          </w:tcPr>
          <w:p w14:paraId="3E733FAC">
            <w:pPr>
              <w:keepNext w:val="0"/>
              <w:keepLines w:val="0"/>
              <w:pageBreakBefore w:val="0"/>
              <w:widowControl w:val="0"/>
              <w:kinsoku/>
              <w:wordWrap/>
              <w:overflowPunct/>
              <w:topLinePunct w:val="0"/>
              <w:autoSpaceDE w:val="0"/>
              <w:autoSpaceDN w:val="0"/>
              <w:bidi w:val="0"/>
              <w:adjustRightInd/>
              <w:snapToGrid/>
              <w:spacing w:line="360" w:lineRule="auto"/>
              <w:textAlignment w:val="auto"/>
              <w:rPr>
                <w:b/>
                <w:bCs/>
                <w:sz w:val="24"/>
                <w:szCs w:val="24"/>
              </w:rPr>
            </w:pPr>
            <w:r>
              <w:rPr>
                <w:b/>
                <w:bCs/>
                <w:sz w:val="24"/>
                <w:szCs w:val="24"/>
              </w:rPr>
              <w:t>1</w:t>
            </w:r>
            <w:r>
              <w:rPr>
                <w:rFonts w:hint="eastAsia"/>
                <w:b/>
                <w:bCs/>
                <w:sz w:val="24"/>
                <w:szCs w:val="24"/>
              </w:rPr>
              <w:t>.</w:t>
            </w:r>
            <w:r>
              <w:rPr>
                <w:b/>
                <w:bCs/>
                <w:sz w:val="24"/>
                <w:szCs w:val="24"/>
              </w:rPr>
              <w:t>与工业园区</w:t>
            </w:r>
            <w:r>
              <w:rPr>
                <w:rFonts w:hint="eastAsia"/>
                <w:b/>
                <w:bCs/>
                <w:sz w:val="24"/>
                <w:szCs w:val="24"/>
              </w:rPr>
              <w:t>总体</w:t>
            </w:r>
            <w:r>
              <w:rPr>
                <w:b/>
                <w:bCs/>
                <w:sz w:val="24"/>
                <w:szCs w:val="24"/>
              </w:rPr>
              <w:t>规划</w:t>
            </w:r>
            <w:r>
              <w:rPr>
                <w:rFonts w:hint="eastAsia"/>
                <w:b/>
                <w:bCs/>
                <w:sz w:val="24"/>
                <w:szCs w:val="24"/>
                <w:lang w:val="en-US" w:eastAsia="zh-CN"/>
              </w:rPr>
              <w:t>及规划环评</w:t>
            </w:r>
            <w:r>
              <w:rPr>
                <w:rFonts w:hint="eastAsia"/>
                <w:b/>
                <w:bCs/>
                <w:sz w:val="24"/>
                <w:szCs w:val="24"/>
              </w:rPr>
              <w:t>的</w:t>
            </w:r>
            <w:r>
              <w:rPr>
                <w:b/>
                <w:bCs/>
                <w:sz w:val="24"/>
                <w:szCs w:val="24"/>
              </w:rPr>
              <w:t>符合性</w:t>
            </w:r>
          </w:p>
          <w:p w14:paraId="055EEC33">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由兵团自然资源局认定的胡杨河经济技术开发区总面积为71.59km</w:t>
            </w:r>
            <w:r>
              <w:rPr>
                <w:rFonts w:hint="default" w:ascii="Times New Roman" w:hAnsi="Times New Roman" w:cs="Times New Roman"/>
                <w:b w:val="0"/>
                <w:bCs/>
                <w:sz w:val="24"/>
                <w:szCs w:val="24"/>
                <w:vertAlign w:val="superscript"/>
                <w:lang w:val="en-US" w:eastAsia="zh-CN"/>
              </w:rPr>
              <w:t>2</w:t>
            </w:r>
            <w:r>
              <w:rPr>
                <w:rFonts w:hint="default" w:ascii="Times New Roman" w:hAnsi="Times New Roman" w:cs="Times New Roman"/>
                <w:b w:val="0"/>
                <w:bCs/>
                <w:sz w:val="24"/>
                <w:szCs w:val="24"/>
                <w:lang w:val="en-US" w:eastAsia="zh-CN"/>
              </w:rPr>
              <w:t>，具体包括南园区53.82km</w:t>
            </w:r>
            <w:r>
              <w:rPr>
                <w:rFonts w:hint="default" w:ascii="Times New Roman" w:hAnsi="Times New Roman" w:cs="Times New Roman"/>
                <w:b w:val="0"/>
                <w:bCs/>
                <w:sz w:val="24"/>
                <w:szCs w:val="24"/>
                <w:vertAlign w:val="superscript"/>
                <w:lang w:val="en-US" w:eastAsia="zh-CN"/>
              </w:rPr>
              <w:t>2</w:t>
            </w:r>
            <w:r>
              <w:rPr>
                <w:rFonts w:hint="default" w:ascii="Times New Roman" w:hAnsi="Times New Roman" w:cs="Times New Roman"/>
                <w:b w:val="0"/>
                <w:bCs/>
                <w:sz w:val="24"/>
                <w:szCs w:val="24"/>
                <w:lang w:val="en-US" w:eastAsia="zh-CN"/>
              </w:rPr>
              <w:t>、北园区14.47km</w:t>
            </w:r>
            <w:r>
              <w:rPr>
                <w:rFonts w:hint="default" w:ascii="Times New Roman" w:hAnsi="Times New Roman" w:cs="Times New Roman"/>
                <w:b w:val="0"/>
                <w:bCs/>
                <w:sz w:val="24"/>
                <w:szCs w:val="24"/>
                <w:vertAlign w:val="superscript"/>
                <w:lang w:val="en-US" w:eastAsia="zh-CN"/>
              </w:rPr>
              <w:t>2</w:t>
            </w:r>
            <w:r>
              <w:rPr>
                <w:rFonts w:hint="default" w:ascii="Times New Roman" w:hAnsi="Times New Roman" w:cs="Times New Roman"/>
                <w:b w:val="0"/>
                <w:bCs/>
                <w:sz w:val="24"/>
                <w:szCs w:val="24"/>
                <w:lang w:val="en-US" w:eastAsia="zh-CN"/>
              </w:rPr>
              <w:t>、胡杨河纺织工业园区3.30km</w:t>
            </w:r>
            <w:r>
              <w:rPr>
                <w:rFonts w:hint="default" w:ascii="Times New Roman" w:hAnsi="Times New Roman" w:cs="Times New Roman"/>
                <w:b w:val="0"/>
                <w:bCs/>
                <w:sz w:val="24"/>
                <w:szCs w:val="24"/>
                <w:vertAlign w:val="superscript"/>
                <w:lang w:val="en-US" w:eastAsia="zh-CN"/>
              </w:rPr>
              <w:t>2</w:t>
            </w:r>
            <w:r>
              <w:rPr>
                <w:rFonts w:hint="default" w:ascii="Times New Roman" w:hAnsi="Times New Roman" w:cs="Times New Roman"/>
                <w:b w:val="0"/>
                <w:bCs/>
                <w:sz w:val="24"/>
                <w:szCs w:val="24"/>
                <w:lang w:val="en-US" w:eastAsia="zh-CN"/>
              </w:rPr>
              <w:t>。胡杨河经济技术开发区发展目标是加快建设产业集聚度高、综合带动能力强、具有较强竞争力的兵团级化工示范基地，到规划期末，胡杨河经开区力争申报为国家级开发区。</w:t>
            </w:r>
          </w:p>
          <w:p w14:paraId="438CC3C3">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南园区位于第七师129团五五新镇东南侧与胡杨河市东北侧，园区东邻130团公益林，北至奎克高速立交(奎车公路、奎克高速公路交汇处)，南至130团20连耕地，西到奎北铁路：北园区位于129团五五新镇北侧、128团前山镇东侧园区</w:t>
            </w:r>
            <w:r>
              <w:rPr>
                <w:rFonts w:hint="eastAsia" w:ascii="Times New Roman" w:hAnsi="Times New Roman" w:cs="Times New Roman"/>
                <w:b w:val="0"/>
                <w:bCs/>
                <w:sz w:val="24"/>
                <w:szCs w:val="24"/>
                <w:lang w:val="en-US" w:eastAsia="zh-CN"/>
              </w:rPr>
              <w:t>，</w:t>
            </w:r>
            <w:r>
              <w:rPr>
                <w:rFonts w:hint="default" w:ascii="Times New Roman" w:hAnsi="Times New Roman" w:cs="Times New Roman"/>
                <w:b w:val="0"/>
                <w:bCs/>
                <w:sz w:val="24"/>
                <w:szCs w:val="24"/>
                <w:lang w:val="en-US" w:eastAsia="zh-CN"/>
              </w:rPr>
              <w:t>西邻奎克高速公路，北侧、东侧紧邻克拉玛依市荒漠区，南为129团10连：胡杨河纺织工业园区位于胡杨河市中心城区北侧，西至共青路，东至奎北铁路，北至北环路，南至纺织路、光明东路。</w:t>
            </w:r>
          </w:p>
          <w:p w14:paraId="4707D76F">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胡杨河经济技术开发区总体规划（</w:t>
            </w:r>
            <w:r>
              <w:rPr>
                <w:rFonts w:hint="default" w:ascii="Times New Roman" w:hAnsi="Times New Roman" w:eastAsia="宋体" w:cs="Times New Roman"/>
                <w:b w:val="0"/>
                <w:bCs/>
                <w:sz w:val="24"/>
                <w:szCs w:val="24"/>
                <w:lang w:val="en-US" w:eastAsia="zh-CN"/>
              </w:rPr>
              <w:t>20</w:t>
            </w:r>
            <w:r>
              <w:rPr>
                <w:rFonts w:hint="eastAsia" w:ascii="Times New Roman" w:hAnsi="Times New Roman" w:eastAsia="宋体" w:cs="Times New Roman"/>
                <w:b w:val="0"/>
                <w:bCs/>
                <w:sz w:val="24"/>
                <w:szCs w:val="24"/>
                <w:lang w:val="en-US" w:eastAsia="zh-CN"/>
              </w:rPr>
              <w:t>21</w:t>
            </w:r>
            <w:r>
              <w:rPr>
                <w:rFonts w:hint="default" w:ascii="Times New Roman" w:hAnsi="Times New Roman" w:eastAsia="宋体" w:cs="Times New Roman"/>
                <w:b w:val="0"/>
                <w:bCs/>
                <w:sz w:val="24"/>
                <w:szCs w:val="24"/>
                <w:lang w:val="en-US" w:eastAsia="zh-CN"/>
              </w:rPr>
              <w:t>-203</w:t>
            </w:r>
            <w:r>
              <w:rPr>
                <w:rFonts w:hint="eastAsia" w:ascii="Times New Roman" w:hAnsi="Times New Roman" w:eastAsia="宋体" w:cs="Times New Roman"/>
                <w:b w:val="0"/>
                <w:bCs/>
                <w:sz w:val="24"/>
                <w:szCs w:val="24"/>
                <w:lang w:val="en-US" w:eastAsia="zh-CN"/>
              </w:rPr>
              <w:t>5）</w:t>
            </w:r>
            <w:r>
              <w:rPr>
                <w:rFonts w:hint="default" w:ascii="Times New Roman" w:hAnsi="Times New Roman" w:eastAsia="宋体" w:cs="Times New Roman"/>
                <w:b w:val="0"/>
                <w:bCs/>
                <w:sz w:val="24"/>
                <w:szCs w:val="24"/>
                <w:lang w:val="en-US" w:eastAsia="zh-CN"/>
              </w:rPr>
              <w:t>产业</w:t>
            </w:r>
            <w:r>
              <w:rPr>
                <w:rFonts w:hint="eastAsia" w:ascii="Times New Roman" w:hAnsi="Times New Roman" w:eastAsia="宋体" w:cs="Times New Roman"/>
                <w:b w:val="0"/>
                <w:bCs/>
                <w:sz w:val="24"/>
                <w:szCs w:val="24"/>
                <w:lang w:val="en-US" w:eastAsia="zh-CN"/>
              </w:rPr>
              <w:t>布局</w:t>
            </w:r>
            <w:r>
              <w:rPr>
                <w:rFonts w:hint="default" w:ascii="Times New Roman" w:hAnsi="Times New Roman" w:eastAsia="宋体" w:cs="Times New Roman"/>
                <w:b w:val="0"/>
                <w:bCs/>
                <w:sz w:val="24"/>
                <w:szCs w:val="24"/>
                <w:lang w:val="en-US" w:eastAsia="zh-CN"/>
              </w:rPr>
              <w:t>为</w:t>
            </w:r>
            <w:r>
              <w:rPr>
                <w:rFonts w:hint="eastAsia" w:ascii="Times New Roman" w:hAnsi="Times New Roman" w:eastAsia="宋体" w:cs="Times New Roman"/>
                <w:b w:val="0"/>
                <w:bCs/>
                <w:sz w:val="24"/>
                <w:szCs w:val="24"/>
                <w:lang w:val="en-US" w:eastAsia="zh-CN"/>
              </w:rPr>
              <w:t>：</w:t>
            </w:r>
          </w:p>
          <w:p w14:paraId="157390F6">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（1）南园区：</w:t>
            </w:r>
          </w:p>
          <w:p w14:paraId="719FD24D">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①精细化工、新材料、新型建材产业区</w:t>
            </w:r>
            <w:r>
              <w:rPr>
                <w:rFonts w:hint="eastAsia" w:ascii="Times New Roman" w:hAnsi="Times New Roman" w:eastAsia="宋体" w:cs="Times New Roman"/>
                <w:b w:val="0"/>
                <w:bCs/>
                <w:sz w:val="24"/>
                <w:szCs w:val="24"/>
                <w:lang w:val="en-US" w:eastAsia="zh-CN"/>
              </w:rPr>
              <w:t>；</w:t>
            </w:r>
            <w:r>
              <w:rPr>
                <w:rFonts w:hint="default" w:ascii="Times New Roman" w:hAnsi="Times New Roman" w:eastAsia="宋体" w:cs="Times New Roman"/>
                <w:b w:val="0"/>
                <w:bCs/>
                <w:sz w:val="24"/>
                <w:szCs w:val="24"/>
                <w:lang w:val="en-US" w:eastAsia="zh-CN"/>
              </w:rPr>
              <w:t>②)创新科技、装备制造、农产品加工、电子元器件产业区</w:t>
            </w:r>
            <w:r>
              <w:rPr>
                <w:rFonts w:hint="eastAsia" w:ascii="Times New Roman" w:hAnsi="Times New Roman" w:eastAsia="宋体" w:cs="Times New Roman"/>
                <w:b w:val="0"/>
                <w:bCs/>
                <w:sz w:val="24"/>
                <w:szCs w:val="24"/>
                <w:lang w:val="en-US" w:eastAsia="zh-CN"/>
              </w:rPr>
              <w:t>；</w:t>
            </w:r>
            <w:r>
              <w:rPr>
                <w:rFonts w:hint="default" w:ascii="Times New Roman" w:hAnsi="Times New Roman" w:eastAsia="宋体" w:cs="Times New Roman"/>
                <w:b w:val="0"/>
                <w:bCs/>
                <w:sz w:val="24"/>
                <w:szCs w:val="24"/>
                <w:lang w:val="en-US" w:eastAsia="zh-CN"/>
              </w:rPr>
              <w:t>③现代仓储物流区。</w:t>
            </w:r>
          </w:p>
          <w:p w14:paraId="65B86E7F">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（2）北园区：</w:t>
            </w:r>
          </w:p>
          <w:p w14:paraId="298CBB59">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生物医药、化工及新材料产业区</w:t>
            </w:r>
            <w:r>
              <w:rPr>
                <w:rFonts w:hint="eastAsia" w:ascii="Times New Roman" w:hAnsi="Times New Roman" w:eastAsia="宋体" w:cs="Times New Roman"/>
                <w:b w:val="0"/>
                <w:bCs/>
                <w:sz w:val="24"/>
                <w:szCs w:val="24"/>
                <w:lang w:val="en-US" w:eastAsia="zh-CN"/>
              </w:rPr>
              <w:t>。</w:t>
            </w:r>
          </w:p>
          <w:p w14:paraId="7794038A">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给水：</w:t>
            </w:r>
          </w:p>
          <w:p w14:paraId="7455E1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南园区：近期2025年最高日工业用水量为9.04万m</w:t>
            </w:r>
            <w:r>
              <w:rPr>
                <w:rFonts w:hint="default" w:ascii="Times New Roman" w:hAnsi="Times New Roman" w:eastAsia="宋体" w:cs="Times New Roman"/>
                <w:b w:val="0"/>
                <w:bCs/>
                <w:sz w:val="24"/>
                <w:szCs w:val="24"/>
                <w:vertAlign w:val="superscript"/>
                <w:lang w:val="en-US" w:eastAsia="zh-CN"/>
              </w:rPr>
              <w:t>3</w:t>
            </w:r>
            <w:r>
              <w:rPr>
                <w:rFonts w:hint="default" w:ascii="Times New Roman" w:hAnsi="Times New Roman" w:eastAsia="宋体" w:cs="Times New Roman"/>
                <w:b w:val="0"/>
                <w:bCs/>
                <w:sz w:val="24"/>
                <w:szCs w:val="24"/>
                <w:lang w:val="en-US" w:eastAsia="zh-CN"/>
              </w:rPr>
              <w:t>/d，远期到2035年最高日工业用水量为12.02万m</w:t>
            </w:r>
            <w:r>
              <w:rPr>
                <w:rFonts w:hint="default" w:ascii="Times New Roman" w:hAnsi="Times New Roman" w:eastAsia="宋体" w:cs="Times New Roman"/>
                <w:b w:val="0"/>
                <w:bCs/>
                <w:sz w:val="24"/>
                <w:szCs w:val="24"/>
                <w:vertAlign w:val="superscript"/>
                <w:lang w:val="en-US" w:eastAsia="zh-CN"/>
              </w:rPr>
              <w:t>3</w:t>
            </w:r>
            <w:r>
              <w:rPr>
                <w:rFonts w:hint="default" w:ascii="Times New Roman" w:hAnsi="Times New Roman" w:eastAsia="宋体" w:cs="Times New Roman"/>
                <w:b w:val="0"/>
                <w:bCs/>
                <w:sz w:val="24"/>
                <w:szCs w:val="24"/>
                <w:lang w:val="en-US" w:eastAsia="zh-CN"/>
              </w:rPr>
              <w:t>/d；近期2025年生活用水量为1270.5m</w:t>
            </w:r>
            <w:r>
              <w:rPr>
                <w:rFonts w:hint="default" w:ascii="Times New Roman" w:hAnsi="Times New Roman" w:eastAsia="宋体" w:cs="Times New Roman"/>
                <w:b w:val="0"/>
                <w:bCs/>
                <w:sz w:val="24"/>
                <w:szCs w:val="24"/>
                <w:vertAlign w:val="superscript"/>
                <w:lang w:val="en-US" w:eastAsia="zh-CN"/>
              </w:rPr>
              <w:t>3</w:t>
            </w:r>
            <w:r>
              <w:rPr>
                <w:rFonts w:hint="default" w:ascii="Times New Roman" w:hAnsi="Times New Roman" w:eastAsia="宋体" w:cs="Times New Roman"/>
                <w:b w:val="0"/>
                <w:bCs/>
                <w:sz w:val="24"/>
                <w:szCs w:val="24"/>
                <w:lang w:val="en-US" w:eastAsia="zh-CN"/>
              </w:rPr>
              <w:t>/d，远期到2035年生活用水量为1706.1m</w:t>
            </w:r>
            <w:r>
              <w:rPr>
                <w:rFonts w:hint="default" w:ascii="Times New Roman" w:hAnsi="Times New Roman" w:eastAsia="宋体" w:cs="Times New Roman"/>
                <w:b w:val="0"/>
                <w:bCs/>
                <w:sz w:val="24"/>
                <w:szCs w:val="24"/>
                <w:vertAlign w:val="superscript"/>
                <w:lang w:val="en-US" w:eastAsia="zh-CN"/>
              </w:rPr>
              <w:t>3</w:t>
            </w:r>
            <w:r>
              <w:rPr>
                <w:rFonts w:hint="default" w:ascii="Times New Roman" w:hAnsi="Times New Roman" w:eastAsia="宋体" w:cs="Times New Roman"/>
                <w:b w:val="0"/>
                <w:bCs/>
                <w:sz w:val="24"/>
                <w:szCs w:val="24"/>
                <w:lang w:val="en-US" w:eastAsia="zh-CN"/>
              </w:rPr>
              <w:t>/</w:t>
            </w:r>
            <w:r>
              <w:rPr>
                <w:rFonts w:hint="eastAsia" w:ascii="Times New Roman" w:hAnsi="Times New Roman" w:eastAsia="宋体" w:cs="Times New Roman"/>
                <w:b w:val="0"/>
                <w:bCs/>
                <w:sz w:val="24"/>
                <w:szCs w:val="24"/>
                <w:lang w:val="en-US" w:eastAsia="zh-CN"/>
              </w:rPr>
              <w:t>d</w:t>
            </w:r>
            <w:r>
              <w:rPr>
                <w:rFonts w:hint="default" w:ascii="Times New Roman" w:hAnsi="Times New Roman" w:eastAsia="宋体" w:cs="Times New Roman"/>
                <w:b w:val="0"/>
                <w:bCs/>
                <w:sz w:val="24"/>
                <w:szCs w:val="24"/>
                <w:lang w:val="en-US" w:eastAsia="zh-CN"/>
              </w:rPr>
              <w:t>。</w:t>
            </w:r>
          </w:p>
          <w:p w14:paraId="1D0C64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北园区：近期2025年最高日工业用水量为4.54万m</w:t>
            </w:r>
            <w:r>
              <w:rPr>
                <w:rFonts w:hint="default" w:ascii="Times New Roman" w:hAnsi="Times New Roman" w:eastAsia="宋体" w:cs="Times New Roman"/>
                <w:b w:val="0"/>
                <w:bCs/>
                <w:sz w:val="24"/>
                <w:szCs w:val="24"/>
                <w:vertAlign w:val="superscript"/>
                <w:lang w:val="en-US" w:eastAsia="zh-CN"/>
              </w:rPr>
              <w:t>3</w:t>
            </w:r>
            <w:r>
              <w:rPr>
                <w:rFonts w:hint="default" w:ascii="Times New Roman" w:hAnsi="Times New Roman" w:eastAsia="宋体" w:cs="Times New Roman"/>
                <w:b w:val="0"/>
                <w:bCs/>
                <w:sz w:val="24"/>
                <w:szCs w:val="24"/>
                <w:lang w:val="en-US" w:eastAsia="zh-CN"/>
              </w:rPr>
              <w:t>/d，远期到2035年最高日工业用水量为4.75万m</w:t>
            </w:r>
            <w:r>
              <w:rPr>
                <w:rFonts w:hint="default" w:ascii="Times New Roman" w:hAnsi="Times New Roman" w:eastAsia="宋体" w:cs="Times New Roman"/>
                <w:b w:val="0"/>
                <w:bCs/>
                <w:sz w:val="24"/>
                <w:szCs w:val="24"/>
                <w:vertAlign w:val="superscript"/>
                <w:lang w:val="en-US" w:eastAsia="zh-CN"/>
              </w:rPr>
              <w:t>3</w:t>
            </w:r>
            <w:r>
              <w:rPr>
                <w:rFonts w:hint="default" w:ascii="Times New Roman" w:hAnsi="Times New Roman" w:eastAsia="宋体" w:cs="Times New Roman"/>
                <w:b w:val="0"/>
                <w:bCs/>
                <w:sz w:val="24"/>
                <w:szCs w:val="24"/>
                <w:lang w:val="en-US" w:eastAsia="zh-CN"/>
              </w:rPr>
              <w:t>/d；近期2025年生活用水量为424.71m</w:t>
            </w:r>
            <w:r>
              <w:rPr>
                <w:rFonts w:hint="default" w:ascii="Times New Roman" w:hAnsi="Times New Roman" w:eastAsia="宋体" w:cs="Times New Roman"/>
                <w:b w:val="0"/>
                <w:bCs/>
                <w:sz w:val="24"/>
                <w:szCs w:val="24"/>
                <w:vertAlign w:val="superscript"/>
                <w:lang w:val="en-US" w:eastAsia="zh-CN"/>
              </w:rPr>
              <w:t>3</w:t>
            </w:r>
            <w:r>
              <w:rPr>
                <w:rFonts w:hint="default" w:ascii="Times New Roman" w:hAnsi="Times New Roman" w:eastAsia="宋体" w:cs="Times New Roman"/>
                <w:b w:val="0"/>
                <w:bCs/>
                <w:sz w:val="24"/>
                <w:szCs w:val="24"/>
                <w:lang w:val="en-US" w:eastAsia="zh-CN"/>
              </w:rPr>
              <w:t>/d，远期到2035年生活用水量为520.3m</w:t>
            </w:r>
            <w:r>
              <w:rPr>
                <w:rFonts w:hint="default" w:ascii="Times New Roman" w:hAnsi="Times New Roman" w:eastAsia="宋体" w:cs="Times New Roman"/>
                <w:b w:val="0"/>
                <w:bCs/>
                <w:sz w:val="24"/>
                <w:szCs w:val="24"/>
                <w:vertAlign w:val="superscript"/>
                <w:lang w:val="en-US" w:eastAsia="zh-CN"/>
              </w:rPr>
              <w:t>3</w:t>
            </w:r>
            <w:r>
              <w:rPr>
                <w:rFonts w:hint="default" w:ascii="Times New Roman" w:hAnsi="Times New Roman" w:eastAsia="宋体" w:cs="Times New Roman"/>
                <w:b w:val="0"/>
                <w:bCs/>
                <w:sz w:val="24"/>
                <w:szCs w:val="24"/>
                <w:lang w:val="en-US" w:eastAsia="zh-CN"/>
              </w:rPr>
              <w:t>/</w:t>
            </w:r>
            <w:r>
              <w:rPr>
                <w:rFonts w:hint="eastAsia" w:ascii="Times New Roman" w:hAnsi="Times New Roman" w:eastAsia="宋体" w:cs="Times New Roman"/>
                <w:b w:val="0"/>
                <w:bCs/>
                <w:sz w:val="24"/>
                <w:szCs w:val="24"/>
                <w:lang w:val="en-US" w:eastAsia="zh-CN"/>
              </w:rPr>
              <w:t>d</w:t>
            </w:r>
            <w:r>
              <w:rPr>
                <w:rFonts w:hint="default" w:ascii="Times New Roman" w:hAnsi="Times New Roman" w:eastAsia="宋体" w:cs="Times New Roman"/>
                <w:b w:val="0"/>
                <w:bCs/>
                <w:sz w:val="24"/>
                <w:szCs w:val="24"/>
                <w:lang w:val="en-US" w:eastAsia="zh-CN"/>
              </w:rPr>
              <w:t>。</w:t>
            </w:r>
          </w:p>
          <w:p w14:paraId="2F9DD3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排水：</w:t>
            </w:r>
          </w:p>
          <w:p w14:paraId="15D2D5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南园区</w:t>
            </w:r>
            <w:r>
              <w:rPr>
                <w:rFonts w:hint="eastAsia" w:ascii="Times New Roman" w:hAnsi="Times New Roman" w:eastAsia="宋体" w:cs="Times New Roman"/>
                <w:b w:val="0"/>
                <w:bCs/>
                <w:sz w:val="24"/>
                <w:szCs w:val="24"/>
                <w:lang w:val="en-US" w:eastAsia="zh-CN"/>
              </w:rPr>
              <w:t>：</w:t>
            </w:r>
            <w:r>
              <w:rPr>
                <w:rFonts w:hint="default" w:ascii="Times New Roman" w:hAnsi="Times New Roman" w:eastAsia="宋体" w:cs="Times New Roman"/>
                <w:b w:val="0"/>
                <w:bCs/>
                <w:sz w:val="24"/>
                <w:szCs w:val="24"/>
                <w:lang w:val="en-US" w:eastAsia="zh-CN"/>
              </w:rPr>
              <w:t>设置二座污水处理厂，近期污水通过工业大道上排水管线接入南区北部污水处理厂，北污水处理厂主要用于化工类污水处理，占地面积约16.02公顷，北污水厂一次性建设完成，日处理规模3万m</w:t>
            </w:r>
            <w:r>
              <w:rPr>
                <w:rFonts w:hint="default" w:ascii="Times New Roman" w:hAnsi="Times New Roman" w:eastAsia="宋体" w:cs="Times New Roman"/>
                <w:b w:val="0"/>
                <w:bCs/>
                <w:sz w:val="24"/>
                <w:szCs w:val="24"/>
                <w:vertAlign w:val="superscript"/>
                <w:lang w:val="en-US" w:eastAsia="zh-CN"/>
              </w:rPr>
              <w:t>3</w:t>
            </w:r>
            <w:r>
              <w:rPr>
                <w:rFonts w:hint="eastAsia" w:ascii="Times New Roman" w:hAnsi="Times New Roman" w:eastAsia="宋体" w:cs="Times New Roman"/>
                <w:b w:val="0"/>
                <w:bCs/>
                <w:sz w:val="24"/>
                <w:szCs w:val="24"/>
                <w:lang w:val="en-US" w:eastAsia="zh-CN"/>
              </w:rPr>
              <w:t>：</w:t>
            </w:r>
            <w:r>
              <w:rPr>
                <w:rFonts w:hint="default" w:ascii="Times New Roman" w:hAnsi="Times New Roman" w:eastAsia="宋体" w:cs="Times New Roman"/>
                <w:b w:val="0"/>
                <w:bCs/>
                <w:sz w:val="24"/>
                <w:szCs w:val="24"/>
                <w:lang w:val="en-US" w:eastAsia="zh-CN"/>
              </w:rPr>
              <w:t>南部地块污水通过污水泵站排入南污水厂，南污水处理厂主要用于轻污染类污水处理，占地面积约12.76公顷，南污水处理厂一次性建设完成</w:t>
            </w:r>
            <w:r>
              <w:rPr>
                <w:rFonts w:hint="eastAsia" w:ascii="Times New Roman" w:hAnsi="Times New Roman" w:eastAsia="宋体" w:cs="Times New Roman"/>
                <w:b w:val="0"/>
                <w:bCs/>
                <w:sz w:val="24"/>
                <w:szCs w:val="24"/>
                <w:lang w:val="en-US" w:eastAsia="zh-CN"/>
              </w:rPr>
              <w:t>；</w:t>
            </w:r>
            <w:r>
              <w:rPr>
                <w:rFonts w:hint="default" w:ascii="Times New Roman" w:hAnsi="Times New Roman" w:eastAsia="宋体" w:cs="Times New Roman"/>
                <w:b w:val="0"/>
                <w:bCs/>
                <w:sz w:val="24"/>
                <w:szCs w:val="24"/>
                <w:lang w:val="en-US" w:eastAsia="zh-CN"/>
              </w:rPr>
              <w:t>日处理1万m</w:t>
            </w:r>
            <w:r>
              <w:rPr>
                <w:rFonts w:hint="default" w:ascii="Times New Roman" w:hAnsi="Times New Roman" w:eastAsia="宋体" w:cs="Times New Roman"/>
                <w:b w:val="0"/>
                <w:bCs/>
                <w:sz w:val="24"/>
                <w:szCs w:val="24"/>
                <w:vertAlign w:val="superscript"/>
                <w:lang w:val="en-US" w:eastAsia="zh-CN"/>
              </w:rPr>
              <w:t>3</w:t>
            </w:r>
            <w:r>
              <w:rPr>
                <w:rFonts w:hint="default" w:ascii="Times New Roman" w:hAnsi="Times New Roman" w:eastAsia="宋体" w:cs="Times New Roman"/>
                <w:b w:val="0"/>
                <w:bCs/>
                <w:sz w:val="24"/>
                <w:szCs w:val="24"/>
                <w:lang w:val="en-US" w:eastAsia="zh-CN"/>
              </w:rPr>
              <w:t>/</w:t>
            </w:r>
            <w:r>
              <w:rPr>
                <w:rFonts w:hint="eastAsia" w:ascii="Times New Roman" w:hAnsi="Times New Roman" w:eastAsia="宋体" w:cs="Times New Roman"/>
                <w:b w:val="0"/>
                <w:bCs/>
                <w:sz w:val="24"/>
                <w:szCs w:val="24"/>
                <w:lang w:val="en-US" w:eastAsia="zh-CN"/>
              </w:rPr>
              <w:t>d</w:t>
            </w:r>
            <w:r>
              <w:rPr>
                <w:rFonts w:hint="default" w:ascii="Times New Roman" w:hAnsi="Times New Roman" w:eastAsia="宋体" w:cs="Times New Roman"/>
                <w:b w:val="0"/>
                <w:bCs/>
                <w:sz w:val="24"/>
                <w:szCs w:val="24"/>
                <w:lang w:val="en-US" w:eastAsia="zh-CN"/>
              </w:rPr>
              <w:t>。</w:t>
            </w:r>
          </w:p>
          <w:p w14:paraId="0EAFC7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北园区</w:t>
            </w:r>
            <w:r>
              <w:rPr>
                <w:rFonts w:hint="eastAsia" w:ascii="Times New Roman" w:hAnsi="Times New Roman" w:eastAsia="宋体" w:cs="Times New Roman"/>
                <w:b w:val="0"/>
                <w:bCs/>
                <w:sz w:val="24"/>
                <w:szCs w:val="24"/>
                <w:lang w:val="en-US" w:eastAsia="zh-CN"/>
              </w:rPr>
              <w:t>：</w:t>
            </w:r>
            <w:r>
              <w:rPr>
                <w:rFonts w:hint="default" w:ascii="Times New Roman" w:hAnsi="Times New Roman" w:eastAsia="宋体" w:cs="Times New Roman"/>
                <w:b w:val="0"/>
                <w:bCs/>
                <w:sz w:val="24"/>
                <w:szCs w:val="24"/>
                <w:lang w:val="en-US" w:eastAsia="zh-CN"/>
              </w:rPr>
              <w:t>设置一座污水处理厂，污水通过排水管线接入北区北部污水处理厂，北区污水处理厂主要用于化工类污水处理，占地面积约6.52公顷，北污水厂一次性建设完成</w:t>
            </w:r>
            <w:r>
              <w:rPr>
                <w:rFonts w:hint="eastAsia" w:ascii="Times New Roman" w:hAnsi="Times New Roman" w:eastAsia="宋体" w:cs="Times New Roman"/>
                <w:b w:val="0"/>
                <w:bCs/>
                <w:sz w:val="24"/>
                <w:szCs w:val="24"/>
                <w:lang w:val="en-US" w:eastAsia="zh-CN"/>
              </w:rPr>
              <w:t>；</w:t>
            </w:r>
            <w:r>
              <w:rPr>
                <w:rFonts w:hint="default" w:ascii="Times New Roman" w:hAnsi="Times New Roman" w:eastAsia="宋体" w:cs="Times New Roman"/>
                <w:b w:val="0"/>
                <w:bCs/>
                <w:sz w:val="24"/>
                <w:szCs w:val="24"/>
                <w:lang w:val="en-US" w:eastAsia="zh-CN"/>
              </w:rPr>
              <w:t>日处理规模2万m</w:t>
            </w:r>
            <w:r>
              <w:rPr>
                <w:rFonts w:hint="default" w:ascii="Times New Roman" w:hAnsi="Times New Roman" w:eastAsia="宋体" w:cs="Times New Roman"/>
                <w:b w:val="0"/>
                <w:bCs/>
                <w:sz w:val="24"/>
                <w:szCs w:val="24"/>
                <w:vertAlign w:val="superscript"/>
                <w:lang w:val="en-US" w:eastAsia="zh-CN"/>
              </w:rPr>
              <w:t>3</w:t>
            </w:r>
            <w:r>
              <w:rPr>
                <w:rFonts w:hint="default" w:ascii="Times New Roman" w:hAnsi="Times New Roman" w:eastAsia="宋体" w:cs="Times New Roman"/>
                <w:b w:val="0"/>
                <w:bCs/>
                <w:sz w:val="24"/>
                <w:szCs w:val="24"/>
                <w:lang w:val="en-US" w:eastAsia="zh-CN"/>
              </w:rPr>
              <w:t>/</w:t>
            </w:r>
            <w:r>
              <w:rPr>
                <w:rFonts w:hint="eastAsia" w:ascii="Times New Roman" w:hAnsi="Times New Roman" w:eastAsia="宋体" w:cs="Times New Roman"/>
                <w:b w:val="0"/>
                <w:bCs/>
                <w:sz w:val="24"/>
                <w:szCs w:val="24"/>
                <w:lang w:val="en-US" w:eastAsia="zh-CN"/>
              </w:rPr>
              <w:t>d</w:t>
            </w:r>
            <w:r>
              <w:rPr>
                <w:rFonts w:hint="default" w:ascii="Times New Roman" w:hAnsi="Times New Roman" w:eastAsia="宋体" w:cs="Times New Roman"/>
                <w:b w:val="0"/>
                <w:bCs/>
                <w:sz w:val="24"/>
                <w:szCs w:val="24"/>
                <w:lang w:val="en-US" w:eastAsia="zh-CN"/>
              </w:rPr>
              <w:t>。</w:t>
            </w:r>
          </w:p>
          <w:p w14:paraId="0E8BAF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热源：</w:t>
            </w:r>
          </w:p>
          <w:p w14:paraId="174E3A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南园区</w:t>
            </w:r>
            <w:r>
              <w:rPr>
                <w:rFonts w:hint="eastAsia" w:ascii="Times New Roman" w:hAnsi="Times New Roman" w:eastAsia="宋体" w:cs="Times New Roman"/>
                <w:b w:val="0"/>
                <w:bCs/>
                <w:sz w:val="24"/>
                <w:szCs w:val="24"/>
                <w:lang w:val="en-US" w:eastAsia="zh-CN"/>
              </w:rPr>
              <w:t>：</w:t>
            </w:r>
            <w:r>
              <w:rPr>
                <w:rFonts w:hint="default" w:ascii="Times New Roman" w:hAnsi="Times New Roman" w:eastAsia="宋体" w:cs="Times New Roman"/>
                <w:b w:val="0"/>
                <w:bCs/>
                <w:sz w:val="24"/>
                <w:szCs w:val="24"/>
                <w:lang w:val="en-US" w:eastAsia="zh-CN"/>
              </w:rPr>
              <w:t>1#热电厂设计总负荷2*350MW</w:t>
            </w:r>
            <w:r>
              <w:rPr>
                <w:rFonts w:hint="eastAsia" w:ascii="Times New Roman" w:hAnsi="Times New Roman" w:eastAsia="宋体" w:cs="Times New Roman"/>
                <w:b w:val="0"/>
                <w:bCs/>
                <w:sz w:val="24"/>
                <w:szCs w:val="24"/>
                <w:lang w:val="en-US" w:eastAsia="zh-CN"/>
              </w:rPr>
              <w:t>，</w:t>
            </w:r>
            <w:r>
              <w:rPr>
                <w:rFonts w:hint="default" w:ascii="Times New Roman" w:hAnsi="Times New Roman" w:eastAsia="宋体" w:cs="Times New Roman"/>
                <w:b w:val="0"/>
                <w:bCs/>
                <w:sz w:val="24"/>
                <w:szCs w:val="24"/>
                <w:lang w:val="en-US" w:eastAsia="zh-CN"/>
              </w:rPr>
              <w:t>位于高新一路以南，东环路以西，占地面积约24.47公顷，2#热电厂设计总负荷2*100MW</w:t>
            </w:r>
            <w:r>
              <w:rPr>
                <w:rFonts w:hint="eastAsia" w:ascii="Times New Roman" w:hAnsi="Times New Roman" w:eastAsia="宋体" w:cs="Times New Roman"/>
                <w:b w:val="0"/>
                <w:bCs/>
                <w:sz w:val="24"/>
                <w:szCs w:val="24"/>
                <w:lang w:val="en-US" w:eastAsia="zh-CN"/>
              </w:rPr>
              <w:t>，</w:t>
            </w:r>
            <w:r>
              <w:rPr>
                <w:rFonts w:hint="default" w:ascii="Times New Roman" w:hAnsi="Times New Roman" w:eastAsia="宋体" w:cs="Times New Roman"/>
                <w:b w:val="0"/>
                <w:bCs/>
                <w:sz w:val="24"/>
                <w:szCs w:val="24"/>
                <w:lang w:val="en-US" w:eastAsia="zh-CN"/>
              </w:rPr>
              <w:t>位于高泉东路以南，天北大道以西，占地面积约22.98公顷。1#热电厂已建成投运1台机组，2#热电厂停建。</w:t>
            </w:r>
          </w:p>
          <w:p w14:paraId="569344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北园区</w:t>
            </w:r>
            <w:r>
              <w:rPr>
                <w:rFonts w:hint="eastAsia" w:ascii="Times New Roman" w:hAnsi="Times New Roman" w:eastAsia="宋体" w:cs="Times New Roman"/>
                <w:b w:val="0"/>
                <w:bCs/>
                <w:sz w:val="24"/>
                <w:szCs w:val="24"/>
                <w:lang w:val="en-US" w:eastAsia="zh-CN"/>
              </w:rPr>
              <w:t>：</w:t>
            </w:r>
            <w:r>
              <w:rPr>
                <w:rFonts w:hint="default" w:ascii="Times New Roman" w:hAnsi="Times New Roman" w:eastAsia="宋体" w:cs="Times New Roman"/>
                <w:b w:val="0"/>
                <w:bCs/>
                <w:sz w:val="24"/>
                <w:szCs w:val="24"/>
                <w:lang w:val="en-US" w:eastAsia="zh-CN"/>
              </w:rPr>
              <w:t>规划一个热电厂，采暖、供蒸汽由北区的热电提供。规划北区热电厂总负荷2*200MW</w:t>
            </w:r>
            <w:r>
              <w:rPr>
                <w:rFonts w:hint="eastAsia" w:ascii="Times New Roman" w:hAnsi="Times New Roman" w:eastAsia="宋体" w:cs="Times New Roman"/>
                <w:b w:val="0"/>
                <w:bCs/>
                <w:sz w:val="24"/>
                <w:szCs w:val="24"/>
                <w:lang w:val="en-US" w:eastAsia="zh-CN"/>
              </w:rPr>
              <w:t>，</w:t>
            </w:r>
            <w:r>
              <w:rPr>
                <w:rFonts w:hint="default" w:ascii="Times New Roman" w:hAnsi="Times New Roman" w:eastAsia="宋体" w:cs="Times New Roman"/>
                <w:b w:val="0"/>
                <w:bCs/>
                <w:sz w:val="24"/>
                <w:szCs w:val="24"/>
                <w:lang w:val="en-US" w:eastAsia="zh-CN"/>
              </w:rPr>
              <w:t>位于新一路以北，新津路以东，占地面积约36.67公顷。</w:t>
            </w:r>
          </w:p>
          <w:p w14:paraId="338CDE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环卫：</w:t>
            </w:r>
          </w:p>
          <w:p w14:paraId="3C2CB4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南园区</w:t>
            </w:r>
            <w:r>
              <w:rPr>
                <w:rFonts w:hint="eastAsia" w:ascii="Times New Roman" w:hAnsi="Times New Roman" w:eastAsia="宋体" w:cs="Times New Roman"/>
                <w:b w:val="0"/>
                <w:bCs/>
                <w:sz w:val="24"/>
                <w:szCs w:val="24"/>
                <w:lang w:val="en-US" w:eastAsia="zh-CN"/>
              </w:rPr>
              <w:t>：</w:t>
            </w:r>
            <w:r>
              <w:rPr>
                <w:rFonts w:hint="default" w:ascii="Times New Roman" w:hAnsi="Times New Roman" w:eastAsia="宋体" w:cs="Times New Roman"/>
                <w:b w:val="0"/>
                <w:bCs/>
                <w:sz w:val="24"/>
                <w:szCs w:val="24"/>
                <w:lang w:val="en-US" w:eastAsia="zh-CN"/>
              </w:rPr>
              <w:t>集中设置一座一般固废垃圾处理厂，位于高新一路东延3600米处路北，占地面积约24公顷，处理固废量约61.62万吨/年(已投运)</w:t>
            </w:r>
            <w:r>
              <w:rPr>
                <w:rFonts w:hint="eastAsia" w:ascii="Times New Roman" w:hAnsi="Times New Roman" w:eastAsia="宋体" w:cs="Times New Roman"/>
                <w:b w:val="0"/>
                <w:bCs/>
                <w:sz w:val="24"/>
                <w:szCs w:val="24"/>
                <w:lang w:val="en-US" w:eastAsia="zh-CN"/>
              </w:rPr>
              <w:t>：</w:t>
            </w:r>
            <w:r>
              <w:rPr>
                <w:rFonts w:hint="default" w:ascii="Times New Roman" w:hAnsi="Times New Roman" w:eastAsia="宋体" w:cs="Times New Roman"/>
                <w:b w:val="0"/>
                <w:bCs/>
                <w:sz w:val="24"/>
                <w:szCs w:val="24"/>
                <w:lang w:val="en-US" w:eastAsia="zh-CN"/>
              </w:rPr>
              <w:t>集中设置一处危废处理中心，位于纬六路以北，北环路以南，天北大道以西，占地面积约17公顷</w:t>
            </w:r>
            <w:r>
              <w:rPr>
                <w:rFonts w:hint="eastAsia" w:ascii="Times New Roman" w:hAnsi="Times New Roman" w:eastAsia="宋体" w:cs="Times New Roman"/>
                <w:b w:val="0"/>
                <w:bCs/>
                <w:sz w:val="24"/>
                <w:szCs w:val="24"/>
                <w:lang w:val="en-US" w:eastAsia="zh-CN"/>
              </w:rPr>
              <w:t>，</w:t>
            </w:r>
            <w:r>
              <w:rPr>
                <w:rFonts w:hint="default" w:ascii="Times New Roman" w:hAnsi="Times New Roman" w:eastAsia="宋体" w:cs="Times New Roman"/>
                <w:b w:val="0"/>
                <w:bCs/>
                <w:sz w:val="24"/>
                <w:szCs w:val="24"/>
                <w:lang w:val="en-US" w:eastAsia="zh-CN"/>
              </w:rPr>
              <w:t>处理危废量约18万吨/年(危废填埋场已投运，危废处置中心生产区在建)</w:t>
            </w:r>
            <w:r>
              <w:rPr>
                <w:rFonts w:hint="eastAsia" w:ascii="Times New Roman" w:hAnsi="Times New Roman" w:eastAsia="宋体" w:cs="Times New Roman"/>
                <w:b w:val="0"/>
                <w:bCs/>
                <w:sz w:val="24"/>
                <w:szCs w:val="24"/>
                <w:lang w:val="en-US" w:eastAsia="zh-CN"/>
              </w:rPr>
              <w:t>：</w:t>
            </w:r>
            <w:r>
              <w:rPr>
                <w:rFonts w:hint="default" w:ascii="Times New Roman" w:hAnsi="Times New Roman" w:eastAsia="宋体" w:cs="Times New Roman"/>
                <w:b w:val="0"/>
                <w:bCs/>
                <w:sz w:val="24"/>
                <w:szCs w:val="24"/>
                <w:lang w:val="en-US" w:eastAsia="zh-CN"/>
              </w:rPr>
              <w:t>生活垃圾由南区已建成投运的生活垃圾填埋场卫生填埋，填埋场位于危废填埋场西</w:t>
            </w:r>
            <w:r>
              <w:rPr>
                <w:rFonts w:hint="eastAsia" w:ascii="Times New Roman" w:hAnsi="Times New Roman" w:eastAsia="宋体" w:cs="Times New Roman"/>
                <w:b w:val="0"/>
                <w:bCs/>
                <w:sz w:val="24"/>
                <w:szCs w:val="24"/>
                <w:lang w:val="en-US" w:eastAsia="zh-CN"/>
              </w:rPr>
              <w:t>侧。</w:t>
            </w:r>
          </w:p>
          <w:p w14:paraId="0D7E59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北园区</w:t>
            </w:r>
            <w:r>
              <w:rPr>
                <w:rFonts w:hint="eastAsia" w:ascii="Times New Roman" w:hAnsi="Times New Roman" w:eastAsia="宋体" w:cs="Times New Roman"/>
                <w:b w:val="0"/>
                <w:bCs/>
                <w:sz w:val="24"/>
                <w:szCs w:val="24"/>
                <w:lang w:val="en-US" w:eastAsia="zh-CN"/>
              </w:rPr>
              <w:t>：</w:t>
            </w:r>
            <w:r>
              <w:rPr>
                <w:rFonts w:hint="default" w:ascii="Times New Roman" w:hAnsi="Times New Roman" w:eastAsia="宋体" w:cs="Times New Roman"/>
                <w:b w:val="0"/>
                <w:bCs/>
                <w:sz w:val="24"/>
                <w:szCs w:val="24"/>
                <w:lang w:val="en-US" w:eastAsia="zh-CN"/>
              </w:rPr>
              <w:t>集中设置一座一般固废垃圾处理厂，位于中水库的西侧</w:t>
            </w:r>
            <w:r>
              <w:rPr>
                <w:rFonts w:hint="eastAsia" w:ascii="Times New Roman" w:hAnsi="Times New Roman" w:eastAsia="宋体" w:cs="Times New Roman"/>
                <w:b w:val="0"/>
                <w:bCs/>
                <w:sz w:val="24"/>
                <w:szCs w:val="24"/>
                <w:lang w:val="en-US" w:eastAsia="zh-CN"/>
              </w:rPr>
              <w:t>，</w:t>
            </w:r>
            <w:r>
              <w:rPr>
                <w:rFonts w:hint="default" w:ascii="Times New Roman" w:hAnsi="Times New Roman" w:eastAsia="宋体" w:cs="Times New Roman"/>
                <w:b w:val="0"/>
                <w:bCs/>
                <w:sz w:val="24"/>
                <w:szCs w:val="24"/>
                <w:lang w:val="en-US" w:eastAsia="zh-CN"/>
              </w:rPr>
              <w:t>占地面积约21公顷</w:t>
            </w:r>
            <w:r>
              <w:rPr>
                <w:rFonts w:hint="eastAsia" w:ascii="Times New Roman" w:hAnsi="Times New Roman" w:eastAsia="宋体" w:cs="Times New Roman"/>
                <w:b w:val="0"/>
                <w:bCs/>
                <w:sz w:val="24"/>
                <w:szCs w:val="24"/>
                <w:lang w:val="en-US" w:eastAsia="zh-CN"/>
              </w:rPr>
              <w:t>，</w:t>
            </w:r>
            <w:r>
              <w:rPr>
                <w:rFonts w:hint="default" w:ascii="Times New Roman" w:hAnsi="Times New Roman" w:eastAsia="宋体" w:cs="Times New Roman"/>
                <w:b w:val="0"/>
                <w:bCs/>
                <w:sz w:val="24"/>
                <w:szCs w:val="24"/>
                <w:lang w:val="en-US" w:eastAsia="zh-CN"/>
              </w:rPr>
              <w:t>处理固废量约50万吨年(规划)，可满足北区一般固废处理。</w:t>
            </w:r>
          </w:p>
          <w:p w14:paraId="758A5CD5">
            <w:pPr>
              <w:pStyle w:val="31"/>
              <w:adjustRightInd/>
              <w:snapToGrid/>
              <w:spacing w:line="360" w:lineRule="auto"/>
              <w:ind w:firstLine="480" w:firstLineChars="200"/>
              <w:jc w:val="both"/>
              <w:rPr>
                <w:rFonts w:ascii="Times New Roman" w:cs="Times New Roman"/>
                <w:b w:val="0"/>
                <w:color w:val="auto"/>
                <w:sz w:val="24"/>
                <w:szCs w:val="24"/>
              </w:rPr>
            </w:pPr>
            <w:r>
              <w:rPr>
                <w:rFonts w:ascii="Times New Roman" w:cs="Times New Roman"/>
                <w:b w:val="0"/>
                <w:color w:val="auto"/>
                <w:sz w:val="24"/>
                <w:szCs w:val="24"/>
              </w:rPr>
              <w:t>本项目</w:t>
            </w:r>
            <w:r>
              <w:rPr>
                <w:rFonts w:hint="eastAsia" w:cs="Times New Roman"/>
                <w:b w:val="0"/>
                <w:bCs/>
                <w:color w:val="auto"/>
                <w:sz w:val="24"/>
                <w:szCs w:val="24"/>
                <w:lang w:val="en-US" w:eastAsia="zh-CN"/>
              </w:rPr>
              <w:t>产品为</w:t>
            </w:r>
            <w:r>
              <w:rPr>
                <w:rFonts w:hint="eastAsia"/>
                <w:b w:val="0"/>
                <w:bCs/>
                <w:sz w:val="24"/>
                <w:szCs w:val="24"/>
                <w:lang w:eastAsia="zh-CN"/>
              </w:rPr>
              <w:t>蒸压加气混凝土砌块和蒸压加气混凝土ALC配筋板材</w:t>
            </w:r>
            <w:r>
              <w:rPr>
                <w:rFonts w:ascii="Times New Roman" w:cs="Times New Roman"/>
                <w:b w:val="0"/>
                <w:color w:val="auto"/>
                <w:sz w:val="24"/>
                <w:szCs w:val="24"/>
              </w:rPr>
              <w:t>，</w:t>
            </w:r>
            <w:r>
              <w:rPr>
                <w:rFonts w:hint="eastAsia" w:ascii="Times New Roman" w:cs="Times New Roman"/>
                <w:b w:val="0"/>
                <w:color w:val="auto"/>
                <w:sz w:val="24"/>
                <w:szCs w:val="24"/>
                <w:lang w:val="en-US" w:eastAsia="zh-CN"/>
              </w:rPr>
              <w:t>属于园区产业定位中的新型建材业，</w:t>
            </w:r>
            <w:r>
              <w:rPr>
                <w:rFonts w:hint="eastAsia" w:ascii="Times New Roman" w:cs="Times New Roman"/>
                <w:b w:val="0"/>
                <w:color w:val="auto"/>
                <w:sz w:val="24"/>
                <w:szCs w:val="24"/>
              </w:rPr>
              <w:t>符合所在园区的产业发展定位，符合园区内部区划，选址用地符合园区用地类型与要求</w:t>
            </w:r>
            <w:r>
              <w:rPr>
                <w:rFonts w:ascii="Times New Roman" w:cs="Times New Roman"/>
                <w:b w:val="0"/>
                <w:color w:val="auto"/>
                <w:sz w:val="24"/>
                <w:szCs w:val="24"/>
              </w:rPr>
              <w:t>。</w:t>
            </w:r>
          </w:p>
          <w:p w14:paraId="1E2B26DF">
            <w:pPr>
              <w:spacing w:line="360" w:lineRule="auto"/>
              <w:rPr>
                <w:b/>
                <w:bCs/>
                <w:color w:val="auto"/>
                <w:sz w:val="24"/>
                <w:szCs w:val="24"/>
              </w:rPr>
            </w:pPr>
            <w:r>
              <w:rPr>
                <w:b/>
                <w:bCs/>
                <w:sz w:val="24"/>
                <w:szCs w:val="24"/>
              </w:rPr>
              <w:t>2</w:t>
            </w:r>
            <w:r>
              <w:rPr>
                <w:rFonts w:hint="eastAsia"/>
                <w:b/>
                <w:bCs/>
                <w:sz w:val="24"/>
                <w:szCs w:val="24"/>
              </w:rPr>
              <w:t>.</w:t>
            </w:r>
            <w:r>
              <w:rPr>
                <w:b/>
                <w:bCs/>
                <w:sz w:val="24"/>
                <w:szCs w:val="24"/>
              </w:rPr>
              <w:t>与</w:t>
            </w:r>
            <w:r>
              <w:rPr>
                <w:rFonts w:hint="eastAsia" w:ascii="宋体" w:hAnsi="宋体" w:cs="宋体"/>
                <w:b/>
                <w:bCs/>
                <w:color w:val="auto"/>
                <w:sz w:val="24"/>
                <w:szCs w:val="24"/>
              </w:rPr>
              <w:t>园区</w:t>
            </w:r>
            <w:r>
              <w:rPr>
                <w:b/>
                <w:bCs/>
                <w:color w:val="auto"/>
                <w:sz w:val="24"/>
                <w:szCs w:val="24"/>
              </w:rPr>
              <w:t>总体规划</w:t>
            </w:r>
            <w:r>
              <w:rPr>
                <w:rFonts w:hint="eastAsia"/>
                <w:b/>
                <w:bCs/>
                <w:color w:val="auto"/>
                <w:sz w:val="24"/>
                <w:szCs w:val="24"/>
              </w:rPr>
              <w:t>环评</w:t>
            </w:r>
            <w:r>
              <w:rPr>
                <w:rFonts w:hint="eastAsia"/>
                <w:b/>
                <w:bCs/>
                <w:color w:val="auto"/>
                <w:sz w:val="24"/>
                <w:szCs w:val="24"/>
                <w:lang w:val="en-US" w:eastAsia="zh-CN"/>
              </w:rPr>
              <w:t>批复</w:t>
            </w:r>
            <w:r>
              <w:rPr>
                <w:rFonts w:hint="eastAsia"/>
                <w:b/>
                <w:bCs/>
                <w:color w:val="auto"/>
                <w:sz w:val="24"/>
                <w:szCs w:val="24"/>
              </w:rPr>
              <w:t>的符合</w:t>
            </w:r>
            <w:r>
              <w:rPr>
                <w:b/>
                <w:bCs/>
                <w:color w:val="auto"/>
                <w:sz w:val="24"/>
                <w:szCs w:val="24"/>
              </w:rPr>
              <w:t>性</w:t>
            </w:r>
          </w:p>
          <w:p w14:paraId="0E7236C2">
            <w:pPr>
              <w:pStyle w:val="31"/>
              <w:adjustRightInd/>
              <w:snapToGrid/>
              <w:jc w:val="center"/>
              <w:rPr>
                <w:rFonts w:ascii="Times New Roman" w:cs="Times New Roman"/>
                <w:b/>
                <w:bCs w:val="0"/>
                <w:color w:val="auto"/>
                <w:sz w:val="21"/>
                <w:szCs w:val="21"/>
              </w:rPr>
            </w:pPr>
            <w:r>
              <w:rPr>
                <w:rFonts w:ascii="Times New Roman" w:cs="Times New Roman"/>
                <w:b/>
                <w:bCs w:val="0"/>
                <w:color w:val="auto"/>
                <w:sz w:val="21"/>
                <w:szCs w:val="21"/>
              </w:rPr>
              <w:t>表1</w:t>
            </w:r>
            <w:r>
              <w:rPr>
                <w:rFonts w:hint="eastAsia" w:ascii="Times New Roman" w:cs="Times New Roman"/>
                <w:b/>
                <w:bCs w:val="0"/>
                <w:color w:val="auto"/>
                <w:sz w:val="21"/>
                <w:szCs w:val="21"/>
              </w:rPr>
              <w:t>-1</w:t>
            </w:r>
            <w:r>
              <w:rPr>
                <w:rFonts w:ascii="Times New Roman" w:cs="Times New Roman"/>
                <w:b/>
                <w:bCs w:val="0"/>
                <w:color w:val="auto"/>
                <w:sz w:val="21"/>
                <w:szCs w:val="21"/>
              </w:rPr>
              <w:t xml:space="preserve">  规划符合性判定</w:t>
            </w:r>
          </w:p>
          <w:tbl>
            <w:tblPr>
              <w:tblStyle w:val="25"/>
              <w:tblW w:w="680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924"/>
              <w:gridCol w:w="1987"/>
              <w:gridCol w:w="889"/>
            </w:tblGrid>
            <w:tr w14:paraId="12DBC8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4" w:type="dxa"/>
                  <w:tcBorders>
                    <w:tl2br w:val="nil"/>
                    <w:tr2bl w:val="nil"/>
                  </w:tcBorders>
                  <w:noWrap/>
                  <w:vAlign w:val="center"/>
                </w:tcPr>
                <w:p w14:paraId="7D1A48A9">
                  <w:pPr>
                    <w:pStyle w:val="31"/>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园区规划环评</w:t>
                  </w:r>
                  <w:r>
                    <w:rPr>
                      <w:rFonts w:hint="default" w:ascii="Times New Roman" w:hAnsi="Times New Roman" w:cs="Times New Roman"/>
                      <w:b w:val="0"/>
                      <w:bCs w:val="0"/>
                      <w:color w:val="auto"/>
                      <w:sz w:val="21"/>
                      <w:szCs w:val="21"/>
                      <w:lang w:val="en-US" w:eastAsia="zh-CN"/>
                    </w:rPr>
                    <w:t>批复</w:t>
                  </w:r>
                  <w:r>
                    <w:rPr>
                      <w:rFonts w:hint="default" w:ascii="Times New Roman" w:hAnsi="Times New Roman" w:cs="Times New Roman"/>
                      <w:b w:val="0"/>
                      <w:bCs w:val="0"/>
                      <w:color w:val="auto"/>
                      <w:sz w:val="21"/>
                      <w:szCs w:val="21"/>
                    </w:rPr>
                    <w:t>要求</w:t>
                  </w:r>
                </w:p>
              </w:tc>
              <w:tc>
                <w:tcPr>
                  <w:tcW w:w="1987" w:type="dxa"/>
                  <w:tcBorders>
                    <w:tl2br w:val="nil"/>
                    <w:tr2bl w:val="nil"/>
                  </w:tcBorders>
                  <w:noWrap/>
                  <w:vAlign w:val="center"/>
                </w:tcPr>
                <w:p w14:paraId="08D17F67">
                  <w:pPr>
                    <w:pStyle w:val="31"/>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rPr>
                    <w:t>项目</w:t>
                  </w:r>
                  <w:r>
                    <w:rPr>
                      <w:rFonts w:hint="default" w:ascii="Times New Roman" w:hAnsi="Times New Roman" w:cs="Times New Roman"/>
                      <w:b w:val="0"/>
                      <w:bCs w:val="0"/>
                      <w:color w:val="auto"/>
                      <w:sz w:val="21"/>
                      <w:szCs w:val="21"/>
                      <w:lang w:val="en-US" w:eastAsia="zh-CN"/>
                    </w:rPr>
                    <w:t>情况分析</w:t>
                  </w:r>
                </w:p>
              </w:tc>
              <w:tc>
                <w:tcPr>
                  <w:tcW w:w="889" w:type="dxa"/>
                  <w:tcBorders>
                    <w:tl2br w:val="nil"/>
                    <w:tr2bl w:val="nil"/>
                  </w:tcBorders>
                  <w:noWrap/>
                  <w:vAlign w:val="center"/>
                </w:tcPr>
                <w:p w14:paraId="49BF5B95">
                  <w:pPr>
                    <w:pStyle w:val="31"/>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符合性</w:t>
                  </w:r>
                </w:p>
              </w:tc>
            </w:tr>
            <w:tr w14:paraId="0E22EF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4" w:type="dxa"/>
                  <w:tcBorders>
                    <w:tl2br w:val="nil"/>
                    <w:tr2bl w:val="nil"/>
                  </w:tcBorders>
                  <w:noWrap/>
                  <w:vAlign w:val="center"/>
                </w:tcPr>
                <w:p w14:paraId="199000F2">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b w:val="0"/>
                      <w:bCs w:val="0"/>
                      <w:color w:val="000000"/>
                      <w:kern w:val="0"/>
                      <w:sz w:val="21"/>
                      <w:szCs w:val="21"/>
                      <w:lang w:val="en-US" w:eastAsia="zh-CN" w:bidi="ar"/>
                    </w:rPr>
                  </w:pPr>
                  <w:r>
                    <w:rPr>
                      <w:rFonts w:hint="default" w:ascii="Times New Roman" w:hAnsi="Times New Roman" w:eastAsia="宋体" w:cs="Times New Roman"/>
                      <w:b w:val="0"/>
                      <w:bCs w:val="0"/>
                      <w:color w:val="000000"/>
                      <w:kern w:val="0"/>
                      <w:sz w:val="21"/>
                      <w:szCs w:val="21"/>
                      <w:lang w:val="en-US" w:eastAsia="zh-CN" w:bidi="ar"/>
                    </w:rPr>
                    <w:t>本规划近期2021至2025年，远期为2026至2035年，规划总面积71.59平方公里，由南园区、北园区、胡杨河纺织工业园区形成“一区三园”构架。其中，南园区位于129团五五新镇东南侧与胡杨河市东北侧，规划范围北至奎克高速立交(奎车公路、奎克高速公路交汇处)，南至130团20连耕地，东邻130团公益林，西到奎北铁路，规划面积53.82平方公里。规划产业定位以精细化工、新材料为主导产业，新型建材、仓储物流业为辅助产业，装备制造业、创新科技产业、农产品加工、电子元器件产业作为淮安援疆产城融合发展产业。</w:t>
                  </w:r>
                </w:p>
                <w:p w14:paraId="12876BCB">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b w:val="0"/>
                      <w:bCs w:val="0"/>
                      <w:color w:val="000000"/>
                      <w:kern w:val="0"/>
                      <w:sz w:val="21"/>
                      <w:szCs w:val="21"/>
                      <w:lang w:val="en-US" w:eastAsia="zh-CN" w:bidi="ar"/>
                    </w:rPr>
                  </w:pPr>
                  <w:r>
                    <w:rPr>
                      <w:rFonts w:hint="default" w:ascii="Times New Roman" w:hAnsi="Times New Roman" w:eastAsia="宋体" w:cs="Times New Roman"/>
                      <w:b w:val="0"/>
                      <w:bCs w:val="0"/>
                      <w:color w:val="000000"/>
                      <w:kern w:val="0"/>
                      <w:sz w:val="21"/>
                      <w:szCs w:val="21"/>
                      <w:lang w:val="en-US" w:eastAsia="zh-CN" w:bidi="ar"/>
                    </w:rPr>
                    <w:t>北园区位于129团五五新镇北侧、128团前山镇东侧，规划范围西邻奎克高速公路，北侧、东侧紧邻克拉玛依市荒漠区，南为129团10连，规划面积14.47平方公里。规划重点发展生物医药、化工及新材料产业，配套发展仓储物流业。</w:t>
                  </w:r>
                </w:p>
                <w:p w14:paraId="19AB7BF4">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default" w:ascii="Times New Roman" w:hAnsi="Times New Roman" w:cs="Times New Roman"/>
                      <w:b w:val="0"/>
                      <w:bCs w:val="0"/>
                      <w:color w:val="auto"/>
                      <w:sz w:val="21"/>
                      <w:szCs w:val="21"/>
                    </w:rPr>
                  </w:pPr>
                  <w:r>
                    <w:rPr>
                      <w:rFonts w:hint="default" w:ascii="Times New Roman" w:hAnsi="Times New Roman" w:eastAsia="宋体" w:cs="Times New Roman"/>
                      <w:b w:val="0"/>
                      <w:bCs w:val="0"/>
                      <w:color w:val="000000"/>
                      <w:kern w:val="0"/>
                      <w:sz w:val="21"/>
                      <w:szCs w:val="21"/>
                      <w:lang w:val="en-US" w:eastAsia="zh-CN" w:bidi="ar"/>
                    </w:rPr>
                    <w:t>胡杨河纺织工业园区位于胡杨河市中心城区北侧，规划范围西至共青路，东至奎北铁路，北至北环路，南至纺织路、光明东路，规划面积3.30平方公里。规划布局纺织、电子元器件产业</w:t>
                  </w:r>
                  <w:r>
                    <w:rPr>
                      <w:rFonts w:hint="default" w:ascii="Times New Roman" w:hAnsi="Times New Roman" w:cs="Times New Roman"/>
                      <w:b w:val="0"/>
                      <w:bCs w:val="0"/>
                      <w:color w:val="000000"/>
                      <w:kern w:val="0"/>
                      <w:sz w:val="21"/>
                      <w:szCs w:val="21"/>
                      <w:lang w:val="en-US" w:eastAsia="zh-CN" w:bidi="ar"/>
                    </w:rPr>
                    <w:t>。</w:t>
                  </w:r>
                </w:p>
              </w:tc>
              <w:tc>
                <w:tcPr>
                  <w:tcW w:w="1987" w:type="dxa"/>
                  <w:tcBorders>
                    <w:tl2br w:val="nil"/>
                    <w:tr2bl w:val="nil"/>
                  </w:tcBorders>
                  <w:noWrap/>
                  <w:vAlign w:val="center"/>
                </w:tcPr>
                <w:p w14:paraId="2F455121">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本项目不属于鼓励类、限制类和淘汰类项目。根据国务院关于发布实施《促进产业结构调整暂行规定》“不属于鼓励类、限制类和淘汰类，且符合国家有关法律、法规和政策规定的，为允许类”，因此，本项目符合国家的产业政策。</w:t>
                  </w:r>
                  <w:r>
                    <w:rPr>
                      <w:rFonts w:hint="default" w:ascii="Times New Roman" w:hAnsi="Times New Roman" w:cs="Times New Roman"/>
                      <w:b w:val="0"/>
                      <w:bCs w:val="0"/>
                      <w:color w:val="auto"/>
                      <w:sz w:val="21"/>
                      <w:szCs w:val="21"/>
                      <w:lang w:val="en-US" w:eastAsia="zh-CN"/>
                    </w:rPr>
                    <w:t>本项目位于该园区北区，产品为</w:t>
                  </w:r>
                  <w:r>
                    <w:rPr>
                      <w:rFonts w:hint="default" w:ascii="Times New Roman" w:hAnsi="Times New Roman" w:cs="Times New Roman"/>
                      <w:b w:val="0"/>
                      <w:bCs w:val="0"/>
                      <w:sz w:val="21"/>
                      <w:szCs w:val="21"/>
                      <w:lang w:eastAsia="zh-CN"/>
                    </w:rPr>
                    <w:t>蒸压加气混凝土砌块和蒸压加气混凝土ALC配筋板材</w:t>
                  </w:r>
                  <w:r>
                    <w:rPr>
                      <w:rFonts w:hint="default" w:ascii="Times New Roman" w:hAnsi="Times New Roman" w:cs="Times New Roman"/>
                      <w:b w:val="0"/>
                      <w:bCs w:val="0"/>
                      <w:color w:val="auto"/>
                      <w:sz w:val="21"/>
                      <w:szCs w:val="21"/>
                      <w:lang w:val="en-US" w:eastAsia="zh-CN"/>
                    </w:rPr>
                    <w:t>，属于规划中的允许类产业；采用先进的生产工艺和装备，采用高水平的污染治理措施，项目清洁生产水平较高。</w:t>
                  </w:r>
                </w:p>
              </w:tc>
              <w:tc>
                <w:tcPr>
                  <w:tcW w:w="889" w:type="dxa"/>
                  <w:tcBorders>
                    <w:tl2br w:val="nil"/>
                    <w:tr2bl w:val="nil"/>
                  </w:tcBorders>
                  <w:noWrap/>
                  <w:vAlign w:val="center"/>
                </w:tcPr>
                <w:p w14:paraId="1D17A116">
                  <w:pPr>
                    <w:pStyle w:val="31"/>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符合</w:t>
                  </w:r>
                </w:p>
              </w:tc>
            </w:tr>
            <w:tr w14:paraId="5273BB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4" w:type="dxa"/>
                  <w:tcBorders>
                    <w:tl2br w:val="nil"/>
                    <w:tr2bl w:val="nil"/>
                  </w:tcBorders>
                  <w:noWrap/>
                  <w:vAlign w:val="center"/>
                </w:tcPr>
                <w:p w14:paraId="42E723CD">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default" w:ascii="Times New Roman" w:hAnsi="Times New Roman" w:cs="Times New Roman"/>
                      <w:b w:val="0"/>
                      <w:bCs w:val="0"/>
                      <w:color w:val="auto"/>
                      <w:sz w:val="21"/>
                      <w:szCs w:val="21"/>
                    </w:rPr>
                  </w:pPr>
                  <w:r>
                    <w:rPr>
                      <w:rFonts w:hint="default" w:ascii="Times New Roman" w:hAnsi="Times New Roman" w:eastAsia="宋体" w:cs="Times New Roman"/>
                      <w:b w:val="0"/>
                      <w:bCs w:val="0"/>
                      <w:color w:val="000000"/>
                      <w:kern w:val="0"/>
                      <w:sz w:val="21"/>
                      <w:szCs w:val="21"/>
                      <w:lang w:val="en-US" w:eastAsia="zh-CN" w:bidi="ar"/>
                    </w:rPr>
                    <w:t>严格控制“两高”行业发展规模，优化规划布局、产业结构与实施时序。通过积极转变生产和生活方式、调整能源消费结构、加强资源节约，统筹协调推进经济和社会发展。深入开展应对气候变化工作，切实增强控制温室气体排放能力。</w:t>
                  </w:r>
                </w:p>
              </w:tc>
              <w:tc>
                <w:tcPr>
                  <w:tcW w:w="1987" w:type="dxa"/>
                  <w:tcBorders>
                    <w:tl2br w:val="nil"/>
                    <w:tr2bl w:val="nil"/>
                  </w:tcBorders>
                  <w:noWrap/>
                  <w:vAlign w:val="center"/>
                </w:tcPr>
                <w:p w14:paraId="7E152D55">
                  <w:pPr>
                    <w:pStyle w:val="31"/>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本项目不属于</w:t>
                  </w:r>
                  <w:r>
                    <w:rPr>
                      <w:rFonts w:hint="default" w:ascii="Times New Roman" w:hAnsi="Times New Roman" w:eastAsia="宋体" w:cs="Times New Roman"/>
                      <w:b w:val="0"/>
                      <w:bCs w:val="0"/>
                      <w:color w:val="000000"/>
                      <w:kern w:val="0"/>
                      <w:sz w:val="21"/>
                      <w:szCs w:val="21"/>
                      <w:lang w:val="en-US" w:eastAsia="zh-CN" w:bidi="ar"/>
                    </w:rPr>
                    <w:t>“两高”行业</w:t>
                  </w:r>
                  <w:r>
                    <w:rPr>
                      <w:rFonts w:hint="default" w:ascii="Times New Roman" w:hAnsi="Times New Roman" w:cs="Times New Roman"/>
                      <w:b w:val="0"/>
                      <w:bCs w:val="0"/>
                      <w:color w:val="auto"/>
                      <w:sz w:val="21"/>
                      <w:szCs w:val="21"/>
                      <w:lang w:val="en-US" w:eastAsia="zh-CN"/>
                    </w:rPr>
                    <w:t>，符合该要求。</w:t>
                  </w:r>
                </w:p>
              </w:tc>
              <w:tc>
                <w:tcPr>
                  <w:tcW w:w="889" w:type="dxa"/>
                  <w:tcBorders>
                    <w:tl2br w:val="nil"/>
                    <w:tr2bl w:val="nil"/>
                  </w:tcBorders>
                  <w:noWrap/>
                  <w:vAlign w:val="center"/>
                </w:tcPr>
                <w:p w14:paraId="55FAE936">
                  <w:pPr>
                    <w:pStyle w:val="31"/>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符合</w:t>
                  </w:r>
                </w:p>
              </w:tc>
            </w:tr>
            <w:tr w14:paraId="28FC4CC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4" w:type="dxa"/>
                  <w:tcBorders>
                    <w:tl2br w:val="nil"/>
                    <w:tr2bl w:val="nil"/>
                  </w:tcBorders>
                  <w:noWrap/>
                  <w:vAlign w:val="center"/>
                </w:tcPr>
                <w:p w14:paraId="693C2DE7">
                  <w:pPr>
                    <w:pStyle w:val="31"/>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严守生态保护红线，加强空间管控。衔接兵团和师市“三线一单”成果，落实、细化开发区所在生态环境管控单元的管控要求</w:t>
                  </w:r>
                  <w:r>
                    <w:rPr>
                      <w:rFonts w:hint="default"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rPr>
                    <w:t>保障规划实施不突破区域生态保护红线、环境质量底线和资源利用上线。</w:t>
                  </w:r>
                </w:p>
              </w:tc>
              <w:tc>
                <w:tcPr>
                  <w:tcW w:w="1987" w:type="dxa"/>
                  <w:tcBorders>
                    <w:tl2br w:val="nil"/>
                    <w:tr2bl w:val="nil"/>
                  </w:tcBorders>
                  <w:noWrap/>
                  <w:vAlign w:val="center"/>
                </w:tcPr>
                <w:p w14:paraId="4712484A">
                  <w:pPr>
                    <w:pStyle w:val="31"/>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本项目位于</w:t>
                  </w:r>
                  <w:r>
                    <w:rPr>
                      <w:rFonts w:hint="default" w:ascii="Times New Roman" w:hAnsi="Times New Roman" w:cs="Times New Roman"/>
                      <w:b w:val="0"/>
                      <w:bCs w:val="0"/>
                      <w:sz w:val="21"/>
                      <w:szCs w:val="21"/>
                      <w:lang w:val="en-US" w:eastAsia="zh-CN"/>
                    </w:rPr>
                    <w:t>胡杨河经济技术开发区北区，用地范围</w:t>
                  </w:r>
                  <w:r>
                    <w:rPr>
                      <w:rFonts w:hint="default" w:ascii="Times New Roman" w:hAnsi="Times New Roman" w:cs="Times New Roman"/>
                      <w:b w:val="0"/>
                      <w:bCs w:val="0"/>
                      <w:kern w:val="0"/>
                      <w:sz w:val="21"/>
                      <w:szCs w:val="21"/>
                      <w:lang w:val="en-US" w:eastAsia="zh-CN"/>
                    </w:rPr>
                    <w:t>不涉及</w:t>
                  </w:r>
                  <w:r>
                    <w:rPr>
                      <w:rFonts w:hint="default" w:ascii="Times New Roman" w:hAnsi="Times New Roman" w:cs="Times New Roman"/>
                      <w:b w:val="0"/>
                      <w:bCs w:val="0"/>
                      <w:color w:val="auto"/>
                      <w:sz w:val="21"/>
                      <w:szCs w:val="21"/>
                    </w:rPr>
                    <w:t>生态保护红线</w:t>
                  </w:r>
                  <w:r>
                    <w:rPr>
                      <w:rFonts w:hint="default" w:ascii="Times New Roman" w:hAnsi="Times New Roman" w:cs="Times New Roman"/>
                      <w:b w:val="0"/>
                      <w:bCs w:val="0"/>
                      <w:kern w:val="0"/>
                      <w:sz w:val="21"/>
                      <w:szCs w:val="21"/>
                      <w:lang w:val="en-US" w:eastAsia="zh-CN"/>
                    </w:rPr>
                    <w:t>。</w:t>
                  </w:r>
                </w:p>
              </w:tc>
              <w:tc>
                <w:tcPr>
                  <w:tcW w:w="889" w:type="dxa"/>
                  <w:tcBorders>
                    <w:tl2br w:val="nil"/>
                    <w:tr2bl w:val="nil"/>
                  </w:tcBorders>
                  <w:noWrap/>
                  <w:vAlign w:val="center"/>
                </w:tcPr>
                <w:p w14:paraId="1D9B03AB">
                  <w:pPr>
                    <w:pStyle w:val="31"/>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符合</w:t>
                  </w:r>
                </w:p>
              </w:tc>
            </w:tr>
            <w:tr w14:paraId="1312EB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4" w:type="dxa"/>
                  <w:tcBorders>
                    <w:tl2br w:val="nil"/>
                    <w:tr2bl w:val="nil"/>
                  </w:tcBorders>
                  <w:noWrap/>
                  <w:vAlign w:val="center"/>
                </w:tcPr>
                <w:p w14:paraId="319085C6">
                  <w:pPr>
                    <w:pStyle w:val="31"/>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坚守环境质量底线，严格污染物总量管控。对标《自治区严禁“三高”项目进新疆推进经济高质量发展实施方案》严格开发区项目准入。依据规划区域及周边环境质量改善目标建立开发区污染物削减台账，落实重点行业区域削减措施，纳入日常环境管理工作，建立考核机制，并与排污许可制度衔接，确保区域环境质量有效改善。推进现有企业工艺技术和污染治理技术改造，各类污染物排放须满足国家及自治区最新污染物排放标准要求。</w:t>
                  </w:r>
                </w:p>
              </w:tc>
              <w:tc>
                <w:tcPr>
                  <w:tcW w:w="1987" w:type="dxa"/>
                  <w:tcBorders>
                    <w:tl2br w:val="nil"/>
                    <w:tr2bl w:val="nil"/>
                  </w:tcBorders>
                  <w:noWrap/>
                  <w:vAlign w:val="center"/>
                </w:tcPr>
                <w:p w14:paraId="1483BD9D">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lang w:val="en-US" w:eastAsia="zh-CN"/>
                    </w:rPr>
                    <w:t>项目使用水资源量较小，生产废水重复利用，不外排，除生活用水外，所有用水均充分利用；一般固体废物回用于产生；废机油暂存于危废间，定期委托给有资质单位处置；本项目严格落实</w:t>
                  </w:r>
                  <w:r>
                    <w:rPr>
                      <w:rFonts w:hint="default" w:ascii="Times New Roman" w:hAnsi="Times New Roman" w:cs="Times New Roman"/>
                      <w:b w:val="0"/>
                      <w:bCs w:val="0"/>
                      <w:color w:val="auto"/>
                      <w:sz w:val="21"/>
                      <w:szCs w:val="21"/>
                    </w:rPr>
                    <w:t>污染物总量</w:t>
                  </w:r>
                  <w:r>
                    <w:rPr>
                      <w:rFonts w:hint="default" w:ascii="Times New Roman" w:hAnsi="Times New Roman" w:cs="Times New Roman"/>
                      <w:b w:val="0"/>
                      <w:bCs w:val="0"/>
                      <w:color w:val="auto"/>
                      <w:sz w:val="21"/>
                      <w:szCs w:val="21"/>
                      <w:lang w:val="en-US" w:eastAsia="zh-CN"/>
                    </w:rPr>
                    <w:t>控制要求，符合该要求。</w:t>
                  </w:r>
                </w:p>
              </w:tc>
              <w:tc>
                <w:tcPr>
                  <w:tcW w:w="889" w:type="dxa"/>
                  <w:tcBorders>
                    <w:tl2br w:val="nil"/>
                    <w:tr2bl w:val="nil"/>
                  </w:tcBorders>
                  <w:noWrap/>
                  <w:vAlign w:val="center"/>
                </w:tcPr>
                <w:p w14:paraId="3A626DA1">
                  <w:pPr>
                    <w:pStyle w:val="31"/>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符合</w:t>
                  </w:r>
                </w:p>
              </w:tc>
            </w:tr>
            <w:tr w14:paraId="0FE3E13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4" w:type="dxa"/>
                  <w:tcBorders>
                    <w:tl2br w:val="nil"/>
                    <w:tr2bl w:val="nil"/>
                  </w:tcBorders>
                  <w:noWrap/>
                  <w:vAlign w:val="center"/>
                </w:tcPr>
                <w:p w14:paraId="02F22FA1">
                  <w:pPr>
                    <w:pStyle w:val="31"/>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严格能源消费总量和消耗强度“双控”，坚持“以水定产以水定量”，严格入园产业和项目的生态环境准入。严格按照规划产业布局入驻企业，结合区域发展定位、开发布局、生态环境保护目标，实行入园企业环保准入审核制度，不符合产业政策、行业准入条件、生态环境准入清单及自治区党委明令禁止的“三高’项目一律不得入驻园区。引进项目的生产工艺、设备、污染治理技术，以及单位产品能耗、物耗、污染物排放和资源利用效率均需达到同行业国内先进水平，积极推进产业的技术进步和园区循环化改造，构建绿色、低碳园区。</w:t>
                  </w:r>
                </w:p>
              </w:tc>
              <w:tc>
                <w:tcPr>
                  <w:tcW w:w="1987" w:type="dxa"/>
                  <w:tcBorders>
                    <w:tl2br w:val="nil"/>
                    <w:tr2bl w:val="nil"/>
                  </w:tcBorders>
                  <w:noWrap/>
                  <w:vAlign w:val="center"/>
                </w:tcPr>
                <w:p w14:paraId="5EE97926">
                  <w:pPr>
                    <w:pStyle w:val="31"/>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本项目位于该园区北区，产品为</w:t>
                  </w:r>
                  <w:r>
                    <w:rPr>
                      <w:rFonts w:hint="default" w:ascii="Times New Roman" w:hAnsi="Times New Roman" w:cs="Times New Roman"/>
                      <w:b w:val="0"/>
                      <w:bCs w:val="0"/>
                      <w:sz w:val="21"/>
                      <w:szCs w:val="21"/>
                      <w:lang w:eastAsia="zh-CN"/>
                    </w:rPr>
                    <w:t>蒸压加气混凝土砌块和蒸压加气混凝土ALC配筋板材</w:t>
                  </w:r>
                  <w:r>
                    <w:rPr>
                      <w:rFonts w:hint="default" w:ascii="Times New Roman" w:hAnsi="Times New Roman" w:cs="Times New Roman"/>
                      <w:b w:val="0"/>
                      <w:bCs w:val="0"/>
                      <w:color w:val="auto"/>
                      <w:sz w:val="21"/>
                      <w:szCs w:val="21"/>
                      <w:lang w:val="en-US" w:eastAsia="zh-CN"/>
                    </w:rPr>
                    <w:t>，属于规划中的允许类产业；采用先进的生产工艺和装备，采用高水平的污染治理措施，项目清洁生产水平较高。本项目不属于</w:t>
                  </w:r>
                  <w:r>
                    <w:rPr>
                      <w:rFonts w:hint="default" w:ascii="Times New Roman" w:hAnsi="Times New Roman" w:eastAsia="宋体" w:cs="Times New Roman"/>
                      <w:b w:val="0"/>
                      <w:bCs w:val="0"/>
                      <w:color w:val="000000"/>
                      <w:kern w:val="0"/>
                      <w:sz w:val="21"/>
                      <w:szCs w:val="21"/>
                      <w:lang w:val="en-US" w:eastAsia="zh-CN" w:bidi="ar"/>
                    </w:rPr>
                    <w:t>“三高”项目</w:t>
                  </w:r>
                  <w:r>
                    <w:rPr>
                      <w:rFonts w:hint="default" w:ascii="Times New Roman" w:hAnsi="Times New Roman" w:cs="Times New Roman"/>
                      <w:b w:val="0"/>
                      <w:bCs w:val="0"/>
                      <w:color w:val="auto"/>
                      <w:sz w:val="21"/>
                      <w:szCs w:val="21"/>
                      <w:lang w:val="en-US" w:eastAsia="zh-CN"/>
                    </w:rPr>
                    <w:t>，符合该要求。</w:t>
                  </w:r>
                </w:p>
              </w:tc>
              <w:tc>
                <w:tcPr>
                  <w:tcW w:w="889" w:type="dxa"/>
                  <w:tcBorders>
                    <w:tl2br w:val="nil"/>
                    <w:tr2bl w:val="nil"/>
                  </w:tcBorders>
                  <w:noWrap/>
                  <w:vAlign w:val="center"/>
                </w:tcPr>
                <w:p w14:paraId="31849A03">
                  <w:pPr>
                    <w:pStyle w:val="31"/>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符合</w:t>
                  </w:r>
                </w:p>
              </w:tc>
            </w:tr>
            <w:tr w14:paraId="470BA0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4" w:type="dxa"/>
                  <w:tcBorders>
                    <w:tl2br w:val="nil"/>
                    <w:tr2bl w:val="nil"/>
                  </w:tcBorders>
                  <w:noWrap/>
                  <w:vAlign w:val="center"/>
                </w:tcPr>
                <w:p w14:paraId="0D92A269">
                  <w:pPr>
                    <w:pStyle w:val="31"/>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强化开发区环境风险管理，强化应急响应联动机制，保障城市人居环境安全和生态环境安全。配备应急物资，建设化工园区事故水池，定期开展应急演习，不断完善环境风险应急预案，防控开发区储运中可能引发的环境风险。</w:t>
                  </w:r>
                </w:p>
              </w:tc>
              <w:tc>
                <w:tcPr>
                  <w:tcW w:w="1987" w:type="dxa"/>
                  <w:tcBorders>
                    <w:tl2br w:val="nil"/>
                    <w:tr2bl w:val="nil"/>
                  </w:tcBorders>
                  <w:noWrap/>
                  <w:vAlign w:val="center"/>
                </w:tcPr>
                <w:p w14:paraId="77724D34">
                  <w:pPr>
                    <w:pStyle w:val="31"/>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本项目</w:t>
                  </w:r>
                  <w:r>
                    <w:rPr>
                      <w:rFonts w:hint="default" w:ascii="Times New Roman" w:hAnsi="Times New Roman" w:cs="Times New Roman"/>
                      <w:b w:val="0"/>
                      <w:bCs w:val="0"/>
                      <w:color w:val="auto"/>
                      <w:sz w:val="21"/>
                      <w:szCs w:val="21"/>
                    </w:rPr>
                    <w:t>运营管理中</w:t>
                  </w:r>
                  <w:r>
                    <w:rPr>
                      <w:rFonts w:hint="default" w:ascii="Times New Roman" w:hAnsi="Times New Roman" w:cs="Times New Roman"/>
                      <w:b w:val="0"/>
                      <w:bCs w:val="0"/>
                      <w:color w:val="auto"/>
                      <w:sz w:val="21"/>
                      <w:szCs w:val="21"/>
                      <w:lang w:val="en-US" w:eastAsia="zh-CN"/>
                    </w:rPr>
                    <w:t>按要求</w:t>
                  </w:r>
                  <w:r>
                    <w:rPr>
                      <w:rFonts w:hint="default" w:ascii="Times New Roman" w:hAnsi="Times New Roman" w:cs="Times New Roman"/>
                      <w:b w:val="0"/>
                      <w:bCs w:val="0"/>
                      <w:color w:val="auto"/>
                      <w:sz w:val="21"/>
                      <w:szCs w:val="21"/>
                    </w:rPr>
                    <w:t>制定并落实事故风险防范措施和应急预案，配套完善的运行管理设施，</w:t>
                  </w:r>
                  <w:r>
                    <w:rPr>
                      <w:rFonts w:hint="default" w:ascii="Times New Roman" w:hAnsi="Times New Roman" w:cs="Times New Roman"/>
                      <w:b w:val="0"/>
                      <w:bCs w:val="0"/>
                      <w:color w:val="auto"/>
                      <w:sz w:val="21"/>
                      <w:szCs w:val="21"/>
                      <w:lang w:val="en-US" w:eastAsia="zh-CN"/>
                    </w:rPr>
                    <w:t>符合</w:t>
                  </w:r>
                  <w:r>
                    <w:rPr>
                      <w:rFonts w:hint="default" w:ascii="Times New Roman" w:hAnsi="Times New Roman" w:cs="Times New Roman"/>
                      <w:b w:val="0"/>
                      <w:bCs w:val="0"/>
                      <w:color w:val="auto"/>
                      <w:sz w:val="21"/>
                      <w:szCs w:val="21"/>
                    </w:rPr>
                    <w:t>防止污染事故发生</w:t>
                  </w:r>
                  <w:r>
                    <w:rPr>
                      <w:rFonts w:hint="default" w:ascii="Times New Roman" w:hAnsi="Times New Roman" w:cs="Times New Roman"/>
                      <w:b w:val="0"/>
                      <w:bCs w:val="0"/>
                      <w:color w:val="auto"/>
                      <w:sz w:val="21"/>
                      <w:szCs w:val="21"/>
                      <w:lang w:eastAsia="zh-CN"/>
                    </w:rPr>
                    <w:t>的</w:t>
                  </w:r>
                  <w:r>
                    <w:rPr>
                      <w:rFonts w:hint="default" w:ascii="Times New Roman" w:hAnsi="Times New Roman" w:cs="Times New Roman"/>
                      <w:b w:val="0"/>
                      <w:bCs w:val="0"/>
                      <w:color w:val="auto"/>
                      <w:sz w:val="21"/>
                      <w:szCs w:val="21"/>
                      <w:lang w:val="en-US" w:eastAsia="zh-CN"/>
                    </w:rPr>
                    <w:t>要求</w:t>
                  </w:r>
                  <w:r>
                    <w:rPr>
                      <w:rFonts w:hint="default" w:ascii="Times New Roman" w:hAnsi="Times New Roman" w:cs="Times New Roman"/>
                      <w:b w:val="0"/>
                      <w:bCs w:val="0"/>
                      <w:color w:val="auto"/>
                      <w:sz w:val="21"/>
                      <w:szCs w:val="21"/>
                    </w:rPr>
                    <w:t>。</w:t>
                  </w:r>
                </w:p>
              </w:tc>
              <w:tc>
                <w:tcPr>
                  <w:tcW w:w="889" w:type="dxa"/>
                  <w:tcBorders>
                    <w:tl2br w:val="nil"/>
                    <w:tr2bl w:val="nil"/>
                  </w:tcBorders>
                  <w:noWrap/>
                  <w:vAlign w:val="center"/>
                </w:tcPr>
                <w:p w14:paraId="02ACCAD0">
                  <w:pPr>
                    <w:pStyle w:val="31"/>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符合</w:t>
                  </w:r>
                </w:p>
              </w:tc>
            </w:tr>
          </w:tbl>
          <w:p w14:paraId="20E9680D">
            <w:pPr>
              <w:widowControl/>
              <w:spacing w:line="360" w:lineRule="auto"/>
              <w:ind w:firstLine="480" w:firstLineChars="200"/>
              <w:jc w:val="left"/>
            </w:pPr>
            <w:r>
              <w:rPr>
                <w:rFonts w:hint="eastAsia"/>
                <w:sz w:val="24"/>
                <w:szCs w:val="24"/>
              </w:rPr>
              <w:t>根据</w:t>
            </w:r>
            <w:r>
              <w:rPr>
                <w:rFonts w:hint="default" w:ascii="Times New Roman" w:hAnsi="Times New Roman" w:cs="Times New Roman"/>
                <w:b w:val="0"/>
                <w:bCs/>
                <w:sz w:val="24"/>
                <w:szCs w:val="24"/>
                <w:lang w:val="en-US" w:eastAsia="zh-CN"/>
              </w:rPr>
              <w:t>胡杨河经济技术开发区</w:t>
            </w:r>
            <w:r>
              <w:rPr>
                <w:rFonts w:hint="eastAsia"/>
                <w:kern w:val="0"/>
                <w:sz w:val="24"/>
                <w:szCs w:val="24"/>
              </w:rPr>
              <w:t>总体</w:t>
            </w:r>
            <w:r>
              <w:rPr>
                <w:kern w:val="0"/>
                <w:sz w:val="24"/>
                <w:szCs w:val="24"/>
              </w:rPr>
              <w:t>规划环评审查意见</w:t>
            </w:r>
            <w:r>
              <w:rPr>
                <w:rFonts w:hint="eastAsia"/>
                <w:kern w:val="0"/>
                <w:sz w:val="24"/>
                <w:szCs w:val="24"/>
              </w:rPr>
              <w:t>，对照规划环评</w:t>
            </w:r>
            <w:r>
              <w:rPr>
                <w:kern w:val="0"/>
                <w:sz w:val="24"/>
                <w:szCs w:val="24"/>
              </w:rPr>
              <w:t>对入园企业的要求，</w:t>
            </w:r>
            <w:r>
              <w:rPr>
                <w:sz w:val="24"/>
                <w:szCs w:val="24"/>
              </w:rPr>
              <w:t>本项目</w:t>
            </w:r>
            <w:r>
              <w:rPr>
                <w:rFonts w:hint="eastAsia"/>
                <w:sz w:val="24"/>
                <w:szCs w:val="24"/>
              </w:rPr>
              <w:t>的</w:t>
            </w:r>
            <w:r>
              <w:rPr>
                <w:sz w:val="24"/>
                <w:szCs w:val="24"/>
              </w:rPr>
              <w:t>建设符合</w:t>
            </w:r>
            <w:r>
              <w:rPr>
                <w:rFonts w:hint="eastAsia"/>
                <w:sz w:val="24"/>
                <w:szCs w:val="24"/>
              </w:rPr>
              <w:t>园区总体规划环评</w:t>
            </w:r>
            <w:r>
              <w:rPr>
                <w:rFonts w:hint="eastAsia"/>
                <w:sz w:val="24"/>
                <w:szCs w:val="24"/>
                <w:lang w:val="en-US" w:eastAsia="zh-CN"/>
              </w:rPr>
              <w:t>及其批复</w:t>
            </w:r>
            <w:r>
              <w:rPr>
                <w:rFonts w:hint="eastAsia"/>
                <w:sz w:val="24"/>
                <w:szCs w:val="24"/>
              </w:rPr>
              <w:t>要求</w:t>
            </w:r>
            <w:r>
              <w:rPr>
                <w:sz w:val="24"/>
                <w:szCs w:val="24"/>
              </w:rPr>
              <w:t>。</w:t>
            </w:r>
            <w:r>
              <w:rPr>
                <w:rFonts w:ascii="宋体" w:hAnsi="宋体"/>
                <w:sz w:val="24"/>
                <w:szCs w:val="24"/>
                <w:lang w:val="de-DE"/>
              </w:rPr>
              <w:t>由于工业园区具有区位、交通、基础设施、资源、配套政策等方面的优势条件，</w:t>
            </w:r>
            <w:r>
              <w:rPr>
                <w:rFonts w:hint="eastAsia"/>
                <w:spacing w:val="-6"/>
                <w:sz w:val="24"/>
                <w:szCs w:val="24"/>
              </w:rPr>
              <w:t>本项目属于“</w:t>
            </w:r>
            <w:r>
              <w:rPr>
                <w:rFonts w:ascii="Times New Roman" w:hAnsi="Times New Roman" w:eastAsia="宋体" w:cs="Times New Roman"/>
                <w:color w:val="auto"/>
                <w:kern w:val="2"/>
                <w:sz w:val="24"/>
                <w:szCs w:val="24"/>
                <w:lang w:val="en-US" w:eastAsia="zh-CN" w:bidi="ar-SA"/>
              </w:rPr>
              <w:t>二十七、非金属矿物制品业</w:t>
            </w:r>
            <w:r>
              <w:rPr>
                <w:rFonts w:hint="eastAsia" w:ascii="Times New Roman" w:hAnsi="Times New Roman" w:eastAsia="宋体" w:cs="Times New Roman"/>
                <w:color w:val="auto"/>
                <w:kern w:val="2"/>
                <w:sz w:val="24"/>
                <w:szCs w:val="24"/>
                <w:lang w:val="en-US" w:eastAsia="zh-CN" w:bidi="ar-SA"/>
              </w:rPr>
              <w:t>，</w:t>
            </w:r>
            <w:r>
              <w:rPr>
                <w:rFonts w:hint="eastAsia"/>
                <w:color w:val="auto"/>
                <w:spacing w:val="0"/>
                <w:position w:val="0"/>
                <w:sz w:val="24"/>
                <w:highlight w:val="none"/>
                <w:lang w:val="en-US" w:eastAsia="zh-CN"/>
              </w:rPr>
              <w:t>56砖瓦、石材等建筑材料制造303－隔热、隔音材料制造”</w:t>
            </w:r>
            <w:r>
              <w:rPr>
                <w:rFonts w:hint="eastAsia"/>
                <w:spacing w:val="-6"/>
                <w:sz w:val="24"/>
                <w:szCs w:val="24"/>
              </w:rPr>
              <w:t>，符合该园区战略定位。</w:t>
            </w:r>
          </w:p>
        </w:tc>
      </w:tr>
      <w:tr w14:paraId="26BFDF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1975" w:type="dxa"/>
            <w:vAlign w:val="center"/>
          </w:tcPr>
          <w:p w14:paraId="7EF0E4AE">
            <w:pPr>
              <w:autoSpaceDE w:val="0"/>
              <w:autoSpaceDN w:val="0"/>
              <w:jc w:val="center"/>
              <w:rPr>
                <w:kern w:val="0"/>
              </w:rPr>
            </w:pPr>
            <w:r>
              <w:rPr>
                <w:kern w:val="0"/>
                <w:sz w:val="24"/>
                <w:szCs w:val="24"/>
              </w:rPr>
              <w:t>其他符合性分析</w:t>
            </w:r>
          </w:p>
        </w:tc>
        <w:tc>
          <w:tcPr>
            <w:tcW w:w="6895" w:type="dxa"/>
            <w:gridSpan w:val="3"/>
            <w:vAlign w:val="center"/>
          </w:tcPr>
          <w:p w14:paraId="3DD926EC">
            <w:pPr>
              <w:pStyle w:val="58"/>
              <w:snapToGrid/>
              <w:spacing w:line="360" w:lineRule="auto"/>
              <w:ind w:firstLine="48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1产业政策符合性</w:t>
            </w:r>
          </w:p>
          <w:p w14:paraId="6237A157">
            <w:pPr>
              <w:pStyle w:val="31"/>
              <w:adjustRightInd/>
              <w:snapToGrid/>
              <w:spacing w:line="360" w:lineRule="auto"/>
              <w:ind w:firstLine="480" w:firstLineChars="200"/>
              <w:jc w:val="left"/>
              <w:rPr>
                <w:rFonts w:ascii="Times New Roman" w:cs="Times New Roman"/>
                <w:b w:val="0"/>
                <w:bCs/>
                <w:color w:val="auto"/>
                <w:sz w:val="24"/>
                <w:szCs w:val="24"/>
              </w:rPr>
            </w:pPr>
            <w:r>
              <w:rPr>
                <w:rFonts w:ascii="Times New Roman" w:cs="Times New Roman"/>
                <w:b w:val="0"/>
                <w:bCs/>
                <w:color w:val="auto"/>
                <w:sz w:val="24"/>
                <w:szCs w:val="24"/>
              </w:rPr>
              <w:t>根据国家发展和改革委员会发布的</w:t>
            </w:r>
            <w:r>
              <w:rPr>
                <w:rFonts w:hint="default" w:ascii="Times New Roman" w:hAnsi="Times New Roman" w:eastAsia="宋体" w:cs="Times New Roman"/>
                <w:b w:val="0"/>
                <w:bCs w:val="0"/>
                <w:color w:val="auto"/>
                <w:kern w:val="0"/>
                <w:sz w:val="24"/>
                <w:szCs w:val="24"/>
                <w:lang w:val="en-US" w:eastAsia="zh-CN" w:bidi="ar"/>
              </w:rPr>
              <w:t>《产业结构调整指导目录（20</w:t>
            </w:r>
            <w:r>
              <w:rPr>
                <w:rFonts w:hint="eastAsia" w:ascii="Times New Roman" w:cs="Times New Roman"/>
                <w:b w:val="0"/>
                <w:bCs w:val="0"/>
                <w:color w:val="auto"/>
                <w:kern w:val="0"/>
                <w:sz w:val="24"/>
                <w:szCs w:val="24"/>
                <w:lang w:val="en-US" w:eastAsia="zh-CN" w:bidi="ar"/>
              </w:rPr>
              <w:t>24</w:t>
            </w:r>
            <w:r>
              <w:rPr>
                <w:rFonts w:hint="default" w:ascii="Times New Roman" w:hAnsi="Times New Roman" w:eastAsia="宋体" w:cs="Times New Roman"/>
                <w:b w:val="0"/>
                <w:bCs w:val="0"/>
                <w:color w:val="auto"/>
                <w:kern w:val="0"/>
                <w:sz w:val="24"/>
                <w:szCs w:val="24"/>
                <w:lang w:val="en-US" w:eastAsia="zh-CN" w:bidi="ar"/>
              </w:rPr>
              <w:t>年本）》</w:t>
            </w:r>
            <w:r>
              <w:rPr>
                <w:rFonts w:hint="eastAsia" w:ascii="Times New Roman" w:cs="Times New Roman"/>
                <w:b w:val="0"/>
                <w:bCs/>
                <w:color w:val="auto"/>
                <w:sz w:val="24"/>
                <w:szCs w:val="24"/>
              </w:rPr>
              <w:t>，</w:t>
            </w:r>
            <w:r>
              <w:rPr>
                <w:rFonts w:ascii="Times New Roman" w:cs="Times New Roman"/>
                <w:b w:val="0"/>
                <w:bCs/>
                <w:color w:val="auto"/>
                <w:sz w:val="24"/>
                <w:szCs w:val="24"/>
              </w:rPr>
              <w:t>本项目不属于鼓励类、限制类和淘汰类项目。根据国务院关于发布实施《促进产业结构调整暂行规定》的决定第三章产业结构调整指导目录第十三条</w:t>
            </w:r>
            <w:r>
              <w:rPr>
                <w:rFonts w:hint="eastAsia" w:hAnsi="宋体"/>
                <w:b w:val="0"/>
                <w:bCs/>
                <w:color w:val="auto"/>
                <w:sz w:val="24"/>
                <w:szCs w:val="24"/>
              </w:rPr>
              <w:t>“</w:t>
            </w:r>
            <w:r>
              <w:rPr>
                <w:rFonts w:ascii="Times New Roman" w:cs="Times New Roman"/>
                <w:b w:val="0"/>
                <w:bCs/>
                <w:color w:val="auto"/>
                <w:sz w:val="24"/>
                <w:szCs w:val="24"/>
              </w:rPr>
              <w:t>不属于鼓励类、限制类和淘汰类，且符合国家有关法律、法规和政策规定的，为允许类</w:t>
            </w:r>
            <w:r>
              <w:rPr>
                <w:rFonts w:hint="eastAsia" w:hAnsi="宋体"/>
                <w:b w:val="0"/>
                <w:bCs/>
                <w:color w:val="auto"/>
                <w:sz w:val="24"/>
                <w:szCs w:val="24"/>
              </w:rPr>
              <w:t>”</w:t>
            </w:r>
            <w:r>
              <w:rPr>
                <w:rFonts w:ascii="Times New Roman" w:cs="Times New Roman"/>
                <w:b w:val="0"/>
                <w:bCs/>
                <w:color w:val="auto"/>
                <w:sz w:val="24"/>
                <w:szCs w:val="24"/>
              </w:rPr>
              <w:t>，因此，本项目符合国家的产业政策。</w:t>
            </w:r>
          </w:p>
          <w:p w14:paraId="5F498A91">
            <w:pPr>
              <w:pStyle w:val="58"/>
              <w:snapToGrid/>
              <w:spacing w:line="360" w:lineRule="auto"/>
              <w:ind w:firstLine="480"/>
              <w:rPr>
                <w:rFonts w:hint="default"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“三线一单”符合性</w:t>
            </w:r>
          </w:p>
          <w:p w14:paraId="785259B6">
            <w:pPr>
              <w:pStyle w:val="58"/>
              <w:snapToGrid/>
              <w:spacing w:line="360" w:lineRule="auto"/>
              <w:ind w:firstLine="48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4"/>
                <w:highlight w:val="none"/>
              </w:rPr>
              <w:t>根据</w:t>
            </w:r>
            <w:r>
              <w:rPr>
                <w:rFonts w:hint="eastAsia" w:ascii="Times New Roman" w:hAnsi="Times New Roman" w:eastAsia="宋体" w:cs="Times New Roman"/>
                <w:color w:val="auto"/>
                <w:sz w:val="24"/>
                <w:highlight w:val="none"/>
                <w:lang w:val="en-US" w:eastAsia="zh-CN"/>
              </w:rPr>
              <w:t>生态</w:t>
            </w:r>
            <w:r>
              <w:rPr>
                <w:rFonts w:hint="default" w:ascii="Times New Roman" w:hAnsi="Times New Roman" w:eastAsia="宋体" w:cs="Times New Roman"/>
                <w:color w:val="auto"/>
                <w:sz w:val="24"/>
                <w:highlight w:val="none"/>
              </w:rPr>
              <w:t>环境部《关于以改善环境质量为核心加强环境影响评价管理的通知》（环环评[2016]150号），三线一单中的三线是指“生态保护红线、环境质量底线、资源利用上线”，一清单为生态环境准入清单。</w:t>
            </w:r>
          </w:p>
          <w:p w14:paraId="78AEFE5A">
            <w:pPr>
              <w:pStyle w:val="58"/>
              <w:snapToGrid/>
              <w:spacing w:line="360" w:lineRule="auto"/>
              <w:ind w:firstLine="48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（1）与生态红线相符性分析</w:t>
            </w:r>
          </w:p>
          <w:p w14:paraId="73653698">
            <w:pPr>
              <w:pStyle w:val="58"/>
              <w:snapToGrid/>
              <w:spacing w:line="360" w:lineRule="auto"/>
              <w:ind w:firstLine="48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本项目不在生态红线保护区范围内、不涉及集中式饮用水水源保护区、准保护区，也没有除集中式饮用水水源以外的国家和地方政府设定的与地下水</w:t>
            </w:r>
            <w:r>
              <w:rPr>
                <w:rFonts w:hint="default" w:ascii="Times New Roman" w:hAnsi="Times New Roman" w:eastAsia="宋体" w:cs="Times New Roman"/>
                <w:color w:val="auto"/>
                <w:sz w:val="24"/>
                <w:highlight w:val="none"/>
                <w:lang w:eastAsia="zh-CN"/>
              </w:rPr>
              <w:t>环境</w:t>
            </w:r>
            <w:r>
              <w:rPr>
                <w:rFonts w:hint="default" w:ascii="Times New Roman" w:hAnsi="Times New Roman" w:eastAsia="宋体" w:cs="Times New Roman"/>
                <w:color w:val="auto"/>
                <w:sz w:val="24"/>
                <w:highlight w:val="none"/>
              </w:rPr>
              <w:t>相关的其他保护区。</w:t>
            </w:r>
          </w:p>
          <w:p w14:paraId="642DA157">
            <w:pPr>
              <w:pStyle w:val="58"/>
              <w:snapToGrid/>
              <w:spacing w:line="360" w:lineRule="auto"/>
              <w:ind w:firstLine="48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（2）环境质量底线</w:t>
            </w:r>
          </w:p>
          <w:p w14:paraId="7CD0C68A">
            <w:pPr>
              <w:pStyle w:val="58"/>
              <w:snapToGrid/>
              <w:spacing w:line="360" w:lineRule="auto"/>
              <w:ind w:firstLine="48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本区域环境质量现状参考空气质量数据查询，本项目所在区域为达标区。</w:t>
            </w:r>
          </w:p>
          <w:p w14:paraId="47DA7FE8">
            <w:pPr>
              <w:pStyle w:val="58"/>
              <w:snapToGrid/>
              <w:spacing w:line="360" w:lineRule="auto"/>
              <w:ind w:firstLine="48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（3）资源利用上线</w:t>
            </w:r>
          </w:p>
          <w:p w14:paraId="78FC4DE0">
            <w:pPr>
              <w:pStyle w:val="58"/>
              <w:snapToGrid/>
              <w:spacing w:line="360" w:lineRule="auto"/>
              <w:ind w:firstLine="48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w:t>
            </w:r>
            <w:r>
              <w:rPr>
                <w:rFonts w:hint="eastAsia" w:ascii="Times New Roman" w:hAnsi="Times New Roman" w:eastAsia="宋体" w:cs="Times New Roman"/>
                <w:color w:val="auto"/>
                <w:sz w:val="24"/>
                <w:highlight w:val="none"/>
                <w:lang w:val="en-US" w:eastAsia="zh-CN"/>
              </w:rPr>
              <w:t>施工</w:t>
            </w:r>
            <w:r>
              <w:rPr>
                <w:rFonts w:hint="default" w:ascii="Times New Roman" w:hAnsi="Times New Roman" w:eastAsia="宋体" w:cs="Times New Roman"/>
                <w:color w:val="auto"/>
                <w:sz w:val="24"/>
                <w:highlight w:val="none"/>
              </w:rPr>
              <w:t>过程中消耗一定量的电、水资源等资源消耗，项目资源消耗相对区域资源利用总量较少，符合资源利用上线要求。</w:t>
            </w:r>
          </w:p>
          <w:p w14:paraId="55992BFB">
            <w:pPr>
              <w:pStyle w:val="58"/>
              <w:keepNext w:val="0"/>
              <w:keepLines w:val="0"/>
              <w:pageBreakBefore w:val="0"/>
              <w:widowControl w:val="0"/>
              <w:suppressLineNumbers w:val="0"/>
              <w:kinsoku/>
              <w:wordWrap/>
              <w:topLinePunct w:val="0"/>
              <w:autoSpaceDE/>
              <w:autoSpaceDN/>
              <w:bidi w:val="0"/>
              <w:adjustRightInd/>
              <w:snapToGrid/>
              <w:spacing w:before="0" w:beforeAutospacing="0" w:after="0" w:afterAutospacing="0" w:line="360" w:lineRule="auto"/>
              <w:ind w:left="0" w:right="0" w:firstLine="48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综上所述，本项目符合三线一单要求。</w:t>
            </w:r>
          </w:p>
          <w:p w14:paraId="18F8AC35">
            <w:pPr>
              <w:pStyle w:val="5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sz w:val="24"/>
                <w:highlight w:val="none"/>
                <w:lang w:val="en-US" w:eastAsia="zh-CN"/>
              </w:rPr>
              <w:t>3</w:t>
            </w:r>
            <w:r>
              <w:rPr>
                <w:rFonts w:hint="default" w:ascii="Times New Roman" w:hAnsi="Times New Roman" w:eastAsia="宋体" w:cs="Times New Roman"/>
                <w:b w:val="0"/>
                <w:bCs w:val="0"/>
                <w:color w:val="auto"/>
                <w:kern w:val="2"/>
                <w:sz w:val="24"/>
                <w:szCs w:val="24"/>
                <w:highlight w:val="none"/>
                <w:lang w:val="en-US" w:eastAsia="zh-CN" w:bidi="ar-SA"/>
              </w:rPr>
              <w:t>《新疆生产建设兵团“三线一单”生态环境分区管控方案》符合性分析</w:t>
            </w:r>
          </w:p>
          <w:p w14:paraId="56CCA251">
            <w:pPr>
              <w:pStyle w:val="59"/>
              <w:ind w:firstLine="42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对照《新疆生产建设兵团</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三线一单</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生态环境分区管控方案》：</w:t>
            </w:r>
          </w:p>
          <w:p w14:paraId="087D8865">
            <w:pPr>
              <w:pStyle w:val="59"/>
              <w:ind w:firstLine="42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（四）划分环境管控单元。全兵团共划定862个环境管控单元，分为优先保护单元、重点管控单元、一般管控单元三大类。</w:t>
            </w:r>
          </w:p>
          <w:p w14:paraId="124CF394">
            <w:pPr>
              <w:pStyle w:val="59"/>
              <w:ind w:firstLine="42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优先保护单元306个，占兵团总面积的38.89%，主要包括生态保护红线、一般生态空间，水环境优先保护区，环境空气一类功能区等区域。该区域以生态环境保护优先为原则，开发建设活动应严格执行相关法律、法规要求，严守生态环境质量底线，确保生态功能不降低。</w:t>
            </w:r>
          </w:p>
          <w:p w14:paraId="4BC62481">
            <w:pPr>
              <w:pStyle w:val="59"/>
              <w:ind w:firstLine="42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重点管控单元411个，占兵团总面积的21.86%，主要包括兵团城市和团部区域、兵团级及以上开发区和开发强度大、污染物排放强度高及存在环境风险的区域。该区域应优化空间布局，加强污染物排放控制和环境风险防控，不断提升资源利用效率，重点解决突出生态环境问题，切实推动生态环境质量持续改善。</w:t>
            </w:r>
          </w:p>
          <w:p w14:paraId="7AC9EAF6">
            <w:pPr>
              <w:pStyle w:val="59"/>
              <w:ind w:firstLine="42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一般管控单元145个，占兵团总面积的39.25%，主要指优先保护单元和重点管控单元之外的区域。该区域以经济社会可持续发展为导向，生态环境保护与适度开发相结合，开发建设应落实现行生态环境保护基本要求。</w:t>
            </w:r>
          </w:p>
          <w:p w14:paraId="771A3D49">
            <w:pPr>
              <w:pStyle w:val="59"/>
              <w:ind w:firstLine="42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（五）落实生态环境分区管控要求。建立兵团、师市、团场三级生态环境分区管控体系。以环境管控单元为基础，从空间布局约束、污染物排放管控、环境风险防控和资源利用效率四个方面明确准入要求。</w:t>
            </w:r>
          </w:p>
          <w:p w14:paraId="11754DDF">
            <w:pPr>
              <w:pStyle w:val="59"/>
              <w:ind w:firstLine="42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兵团级管控要求对接自治区总体管控要求；各师市按照兵团总体、自治区七大片区管控要求，衔接所在地州市管控要求，结合区域主要生态环境问题和发展需求，细化形成本师市</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三线一单</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总体管控要求和团场内具体环境管控单元的差异化生态环境准入清单，由各师市及时发布并报兵团生态环境局备案。</w:t>
            </w:r>
          </w:p>
          <w:p w14:paraId="7BB9043E">
            <w:pPr>
              <w:pStyle w:val="58"/>
              <w:keepNext w:val="0"/>
              <w:keepLines w:val="0"/>
              <w:pageBreakBefore w:val="0"/>
              <w:widowControl w:val="0"/>
              <w:suppressLineNumbers w:val="0"/>
              <w:kinsoku/>
              <w:wordWrap/>
              <w:topLinePunct w:val="0"/>
              <w:autoSpaceDE/>
              <w:autoSpaceDN/>
              <w:bidi w:val="0"/>
              <w:adjustRightInd/>
              <w:snapToGrid/>
              <w:spacing w:before="0" w:beforeAutospacing="0" w:after="0" w:afterAutospacing="0" w:line="360" w:lineRule="auto"/>
              <w:ind w:left="0" w:right="0" w:firstLine="480"/>
              <w:textAlignment w:val="auto"/>
              <w:rPr>
                <w:rFonts w:hint="eastAsia"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szCs w:val="24"/>
                <w:highlight w:val="none"/>
              </w:rPr>
              <w:t>本项目位于</w:t>
            </w:r>
            <w:r>
              <w:rPr>
                <w:rFonts w:hint="eastAsia" w:ascii="Times New Roman" w:hAnsi="Times New Roman" w:eastAsia="宋体" w:cs="Times New Roman"/>
                <w:color w:val="auto"/>
                <w:sz w:val="24"/>
                <w:szCs w:val="24"/>
                <w:highlight w:val="none"/>
                <w:lang w:val="en-US" w:eastAsia="zh-CN"/>
              </w:rPr>
              <w:t>重点</w:t>
            </w:r>
            <w:r>
              <w:rPr>
                <w:rFonts w:hint="default" w:ascii="Times New Roman" w:hAnsi="Times New Roman" w:eastAsia="宋体" w:cs="Times New Roman"/>
                <w:color w:val="auto"/>
                <w:sz w:val="24"/>
                <w:szCs w:val="24"/>
                <w:highlight w:val="none"/>
              </w:rPr>
              <w:t>管控单元，项目能够做到优化空间布局，加强污染物排放控制和环境风险防控，不断提升资源利用效率，重点解决突出生态环境问题，切实推动生态环境质量持续改善，符合《</w:t>
            </w:r>
            <w:r>
              <w:rPr>
                <w:rFonts w:hint="default" w:ascii="Times New Roman" w:hAnsi="Times New Roman" w:eastAsia="宋体" w:cs="Times New Roman"/>
                <w:color w:val="auto"/>
                <w:sz w:val="24"/>
                <w:szCs w:val="24"/>
                <w:highlight w:val="none"/>
                <w:lang w:eastAsia="zh-CN"/>
              </w:rPr>
              <w:t>新疆生产建设兵团“</w:t>
            </w:r>
            <w:r>
              <w:rPr>
                <w:rFonts w:hint="default" w:ascii="Times New Roman" w:hAnsi="Times New Roman" w:eastAsia="宋体" w:cs="Times New Roman"/>
                <w:color w:val="auto"/>
                <w:sz w:val="24"/>
                <w:szCs w:val="24"/>
                <w:highlight w:val="none"/>
              </w:rPr>
              <w:t>三线一单</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生态环境分区管控方案》要求。</w:t>
            </w:r>
          </w:p>
          <w:p w14:paraId="5A8E3A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highlight w:val="none"/>
              </w:rPr>
            </w:pPr>
            <w:r>
              <w:rPr>
                <w:rFonts w:hint="default" w:ascii="Times New Roman" w:hAnsi="Times New Roman" w:eastAsia="宋体" w:cs="Times New Roman"/>
                <w:b w:val="0"/>
                <w:bCs w:val="0"/>
                <w:color w:val="auto"/>
                <w:sz w:val="24"/>
                <w:highlight w:val="none"/>
                <w:lang w:val="en-US" w:eastAsia="zh-CN"/>
              </w:rPr>
              <w:t>4与《第七师胡杨河市“三线一单”生态环境分区管控方案》</w:t>
            </w:r>
            <w:r>
              <w:rPr>
                <w:rFonts w:hint="default" w:ascii="Times New Roman" w:hAnsi="Times New Roman" w:eastAsia="宋体" w:cs="Times New Roman"/>
                <w:b w:val="0"/>
                <w:bCs w:val="0"/>
                <w:color w:val="auto"/>
                <w:sz w:val="24"/>
                <w:highlight w:val="none"/>
              </w:rPr>
              <w:t>符合性分析</w:t>
            </w:r>
          </w:p>
          <w:p w14:paraId="44913402">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 w:val="0"/>
                <w:bCs w:val="0"/>
                <w:color w:val="auto"/>
                <w:spacing w:val="0"/>
                <w:position w:val="0"/>
                <w:sz w:val="24"/>
                <w:szCs w:val="24"/>
                <w:highlight w:val="none"/>
                <w:lang w:val="en-US" w:eastAsia="zh-CN"/>
              </w:rPr>
            </w:pPr>
            <w:r>
              <w:rPr>
                <w:rFonts w:hint="default" w:ascii="Times New Roman" w:hAnsi="Times New Roman" w:eastAsia="宋体" w:cs="Times New Roman"/>
                <w:b w:val="0"/>
                <w:bCs w:val="0"/>
                <w:color w:val="auto"/>
                <w:spacing w:val="0"/>
                <w:position w:val="0"/>
                <w:sz w:val="24"/>
                <w:szCs w:val="24"/>
                <w:highlight w:val="none"/>
                <w:lang w:val="en-US" w:eastAsia="zh-CN"/>
              </w:rPr>
              <w:t>根据《关于印发〈第七师胡杨河市“三线一单”生态环境分区管控方案〉的通知》（师市发﹝2021﹞8号），师市共划定环境管控单元66个，分为优先保护单元、重点管控单元、一般管控单元三大类。</w:t>
            </w:r>
          </w:p>
          <w:p w14:paraId="1D33A653">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 w:val="0"/>
                <w:bCs w:val="0"/>
                <w:color w:val="auto"/>
                <w:spacing w:val="0"/>
                <w:position w:val="0"/>
                <w:sz w:val="24"/>
                <w:szCs w:val="24"/>
                <w:highlight w:val="none"/>
                <w:lang w:val="en-US" w:eastAsia="zh-CN"/>
              </w:rPr>
            </w:pPr>
            <w:r>
              <w:rPr>
                <w:rFonts w:hint="default" w:ascii="Times New Roman" w:hAnsi="Times New Roman" w:eastAsia="宋体" w:cs="Times New Roman"/>
                <w:b w:val="0"/>
                <w:bCs w:val="0"/>
                <w:color w:val="auto"/>
                <w:spacing w:val="0"/>
                <w:position w:val="0"/>
                <w:sz w:val="24"/>
                <w:szCs w:val="24"/>
                <w:highlight w:val="none"/>
                <w:lang w:val="en-US" w:eastAsia="zh-CN"/>
              </w:rPr>
              <w:t>优先保护单元23个，占师市总面积的35.86%。主要包括生态保护红线、一般生态空间，水环境优先保护区，环境空气一类功能区等区域。该区域以生态环境保护优先为原则，开发建设活动应严格执行相关法律、法规要求，严守生态环境质量底线，确保生态功能不降低。</w:t>
            </w:r>
          </w:p>
          <w:p w14:paraId="35B3118E">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 w:val="0"/>
                <w:bCs w:val="0"/>
                <w:color w:val="auto"/>
                <w:spacing w:val="0"/>
                <w:position w:val="0"/>
                <w:sz w:val="24"/>
                <w:szCs w:val="24"/>
                <w:highlight w:val="none"/>
                <w:lang w:val="en-US" w:eastAsia="zh-CN"/>
              </w:rPr>
            </w:pPr>
            <w:r>
              <w:rPr>
                <w:rFonts w:hint="default" w:ascii="Times New Roman" w:hAnsi="Times New Roman" w:eastAsia="宋体" w:cs="Times New Roman"/>
                <w:b w:val="0"/>
                <w:bCs w:val="0"/>
                <w:color w:val="auto"/>
                <w:spacing w:val="0"/>
                <w:position w:val="0"/>
                <w:sz w:val="24"/>
                <w:szCs w:val="24"/>
                <w:highlight w:val="none"/>
                <w:lang w:val="en-US" w:eastAsia="zh-CN"/>
              </w:rPr>
              <w:t>重点管控单元31个，占师市总面积的30.90%。主要包括胡杨河市市区、各团（场）部区域、胡杨河经济技术开发区和天北经济技术开发区以及开发强度大、污染物排放强度高及存在环境风险的其他区域。该区域应优化空间布局，加强污染物排放控制和环境风险防控，不断提升资源利用效率，重点解决突出生态环境问题，切实推动生态环境质量持续改善。</w:t>
            </w:r>
          </w:p>
          <w:p w14:paraId="15E19F50">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 w:val="0"/>
                <w:bCs w:val="0"/>
                <w:color w:val="auto"/>
                <w:spacing w:val="0"/>
                <w:position w:val="0"/>
                <w:sz w:val="24"/>
                <w:szCs w:val="24"/>
                <w:highlight w:val="none"/>
                <w:lang w:val="en-US" w:eastAsia="zh-CN"/>
              </w:rPr>
            </w:pPr>
            <w:r>
              <w:rPr>
                <w:rFonts w:hint="default" w:ascii="Times New Roman" w:hAnsi="Times New Roman" w:eastAsia="宋体" w:cs="Times New Roman"/>
                <w:b w:val="0"/>
                <w:bCs w:val="0"/>
                <w:color w:val="auto"/>
                <w:spacing w:val="0"/>
                <w:position w:val="0"/>
                <w:sz w:val="24"/>
                <w:szCs w:val="24"/>
                <w:highlight w:val="none"/>
                <w:lang w:val="en-US" w:eastAsia="zh-CN"/>
              </w:rPr>
              <w:t>一般管控单元12个，占师市总面积的33.24%。主要指优先保护单元和重点管控单元之外的区域。该区域以经济社会可持续发展为导向，生态环境保护与适度开发相结合，开发建设应落实现行生态环境保护基本要求。</w:t>
            </w:r>
          </w:p>
          <w:p w14:paraId="7202E8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pacing w:val="0"/>
                <w:position w:val="0"/>
                <w:sz w:val="24"/>
                <w:szCs w:val="24"/>
                <w:highlight w:val="none"/>
                <w:lang w:val="en-US" w:eastAsia="zh-CN"/>
              </w:rPr>
            </w:pPr>
            <w:r>
              <w:rPr>
                <w:rFonts w:hint="default" w:ascii="Times New Roman" w:hAnsi="Times New Roman" w:eastAsia="宋体" w:cs="Times New Roman"/>
                <w:b w:val="0"/>
                <w:bCs w:val="0"/>
                <w:color w:val="auto"/>
                <w:spacing w:val="0"/>
                <w:position w:val="0"/>
                <w:sz w:val="24"/>
                <w:szCs w:val="24"/>
                <w:highlight w:val="none"/>
                <w:lang w:val="en-US" w:eastAsia="zh-CN"/>
              </w:rPr>
              <w:t>本项目位于新疆生产建设兵团第七师胡杨河市经济技术开发区工业大道以西、共青西路以南，属于《第七师胡杨河市“三线一单”生态环境分区管控方案》中重点管控单元。单元编码为ZH65771220001，拟建项目与生态环境分区位置关系详见附图4。</w:t>
            </w:r>
          </w:p>
          <w:p w14:paraId="702327AD">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b/>
                <w:bCs/>
                <w:color w:val="auto"/>
                <w:spacing w:val="0"/>
                <w:position w:val="0"/>
                <w:sz w:val="24"/>
                <w:szCs w:val="24"/>
                <w:highlight w:val="none"/>
                <w:lang w:val="en-US" w:eastAsia="zh-CN"/>
              </w:rPr>
            </w:pPr>
            <w:r>
              <w:rPr>
                <w:rFonts w:hint="eastAsia"/>
                <w:b/>
                <w:bCs/>
                <w:color w:val="auto"/>
                <w:spacing w:val="0"/>
                <w:position w:val="0"/>
                <w:sz w:val="24"/>
                <w:szCs w:val="24"/>
                <w:highlight w:val="none"/>
                <w:lang w:val="en-US" w:eastAsia="zh-CN"/>
              </w:rPr>
              <w:t>表1-2   环境管控单元准入清单</w:t>
            </w:r>
          </w:p>
          <w:tbl>
            <w:tblPr>
              <w:tblStyle w:val="2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600"/>
              <w:gridCol w:w="695"/>
              <w:gridCol w:w="3882"/>
              <w:gridCol w:w="1072"/>
            </w:tblGrid>
            <w:tr w14:paraId="61761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pct"/>
                  <w:tcBorders>
                    <w:tl2br w:val="nil"/>
                    <w:tr2bl w:val="nil"/>
                  </w:tcBorders>
                  <w:noWrap w:val="0"/>
                  <w:vAlign w:val="center"/>
                </w:tcPr>
                <w:p w14:paraId="6EFB3D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pacing w:val="0"/>
                      <w:kern w:val="2"/>
                      <w:position w:val="0"/>
                      <w:sz w:val="21"/>
                      <w:szCs w:val="21"/>
                      <w:highlight w:val="none"/>
                      <w:lang w:val="en-US" w:eastAsia="zh-CN"/>
                    </w:rPr>
                  </w:pPr>
                  <w:r>
                    <w:rPr>
                      <w:rFonts w:hint="eastAsia" w:ascii="宋体" w:hAnsi="宋体" w:eastAsia="宋体" w:cs="宋体"/>
                      <w:b/>
                      <w:bCs/>
                      <w:color w:val="auto"/>
                      <w:spacing w:val="0"/>
                      <w:kern w:val="2"/>
                      <w:position w:val="0"/>
                      <w:sz w:val="21"/>
                      <w:szCs w:val="21"/>
                      <w:highlight w:val="none"/>
                      <w:lang w:val="en-US" w:eastAsia="zh-CN" w:bidi="ar"/>
                    </w:rPr>
                    <w:t>环境管控单元名称</w:t>
                  </w:r>
                </w:p>
              </w:tc>
              <w:tc>
                <w:tcPr>
                  <w:tcW w:w="435" w:type="pct"/>
                  <w:tcBorders>
                    <w:tl2br w:val="nil"/>
                    <w:tr2bl w:val="nil"/>
                  </w:tcBorders>
                  <w:noWrap w:val="0"/>
                  <w:vAlign w:val="center"/>
                </w:tcPr>
                <w:p w14:paraId="54201D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pacing w:val="0"/>
                      <w:kern w:val="2"/>
                      <w:position w:val="0"/>
                      <w:sz w:val="21"/>
                      <w:szCs w:val="21"/>
                      <w:highlight w:val="none"/>
                      <w:lang w:val="en-US" w:eastAsia="zh-CN"/>
                    </w:rPr>
                  </w:pPr>
                  <w:r>
                    <w:rPr>
                      <w:rFonts w:hint="eastAsia" w:ascii="宋体" w:hAnsi="宋体" w:eastAsia="宋体" w:cs="宋体"/>
                      <w:b/>
                      <w:bCs/>
                      <w:color w:val="auto"/>
                      <w:spacing w:val="0"/>
                      <w:kern w:val="2"/>
                      <w:position w:val="0"/>
                      <w:sz w:val="21"/>
                      <w:szCs w:val="21"/>
                      <w:highlight w:val="none"/>
                      <w:lang w:val="en-US" w:eastAsia="zh-CN" w:bidi="ar"/>
                    </w:rPr>
                    <w:t>环境管控单元类别</w:t>
                  </w:r>
                </w:p>
              </w:tc>
              <w:tc>
                <w:tcPr>
                  <w:tcW w:w="3318" w:type="pct"/>
                  <w:gridSpan w:val="2"/>
                  <w:tcBorders>
                    <w:tl2br w:val="nil"/>
                    <w:tr2bl w:val="nil"/>
                  </w:tcBorders>
                  <w:noWrap w:val="0"/>
                  <w:vAlign w:val="center"/>
                </w:tcPr>
                <w:p w14:paraId="32FB2A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pacing w:val="0"/>
                      <w:kern w:val="2"/>
                      <w:position w:val="0"/>
                      <w:sz w:val="21"/>
                      <w:szCs w:val="21"/>
                      <w:highlight w:val="none"/>
                      <w:lang w:val="en-US" w:eastAsia="zh-CN"/>
                    </w:rPr>
                  </w:pPr>
                  <w:r>
                    <w:rPr>
                      <w:rFonts w:hint="default" w:ascii="Times New Roman" w:hAnsi="Times New Roman" w:eastAsia="宋体" w:cs="Times New Roman"/>
                      <w:b/>
                      <w:bCs/>
                      <w:color w:val="auto"/>
                      <w:spacing w:val="0"/>
                      <w:kern w:val="2"/>
                      <w:position w:val="0"/>
                      <w:sz w:val="21"/>
                      <w:szCs w:val="21"/>
                      <w:highlight w:val="none"/>
                      <w:lang w:val="en-US" w:eastAsia="zh-CN" w:bidi="ar"/>
                    </w:rPr>
                    <w:t>管控要求</w:t>
                  </w:r>
                </w:p>
              </w:tc>
              <w:tc>
                <w:tcPr>
                  <w:tcW w:w="777" w:type="pct"/>
                  <w:tcBorders>
                    <w:tl2br w:val="nil"/>
                    <w:tr2bl w:val="nil"/>
                  </w:tcBorders>
                  <w:noWrap w:val="0"/>
                  <w:vAlign w:val="center"/>
                </w:tcPr>
                <w:p w14:paraId="463DB5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pacing w:val="0"/>
                      <w:kern w:val="2"/>
                      <w:position w:val="0"/>
                      <w:sz w:val="21"/>
                      <w:szCs w:val="21"/>
                      <w:highlight w:val="none"/>
                      <w:lang w:val="en-US" w:eastAsia="zh-CN"/>
                    </w:rPr>
                  </w:pPr>
                  <w:r>
                    <w:rPr>
                      <w:rFonts w:hint="eastAsia" w:ascii="宋体" w:hAnsi="宋体" w:eastAsia="宋体" w:cs="宋体"/>
                      <w:b/>
                      <w:bCs/>
                      <w:color w:val="auto"/>
                      <w:spacing w:val="0"/>
                      <w:kern w:val="2"/>
                      <w:position w:val="0"/>
                      <w:sz w:val="21"/>
                      <w:szCs w:val="21"/>
                      <w:highlight w:val="none"/>
                      <w:lang w:val="en-US" w:eastAsia="zh-CN" w:bidi="ar"/>
                    </w:rPr>
                    <w:t>本项目符合性</w:t>
                  </w:r>
                </w:p>
              </w:tc>
            </w:tr>
            <w:tr w14:paraId="23FD0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pct"/>
                  <w:vMerge w:val="restart"/>
                  <w:tcBorders>
                    <w:tl2br w:val="nil"/>
                    <w:tr2bl w:val="nil"/>
                  </w:tcBorders>
                  <w:noWrap w:val="0"/>
                  <w:vAlign w:val="center"/>
                </w:tcPr>
                <w:p w14:paraId="59669E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pacing w:val="0"/>
                      <w:kern w:val="2"/>
                      <w:position w:val="0"/>
                      <w:sz w:val="21"/>
                      <w:szCs w:val="21"/>
                      <w:highlight w:val="none"/>
                      <w:lang w:val="en-US" w:eastAsia="zh-CN" w:bidi="ar"/>
                    </w:rPr>
                  </w:pPr>
                  <w:r>
                    <w:rPr>
                      <w:rFonts w:hint="eastAsia" w:ascii="宋体" w:hAnsi="宋体" w:eastAsia="宋体" w:cs="宋体"/>
                      <w:color w:val="auto"/>
                      <w:spacing w:val="0"/>
                      <w:kern w:val="2"/>
                      <w:position w:val="0"/>
                      <w:sz w:val="21"/>
                      <w:szCs w:val="21"/>
                      <w:highlight w:val="none"/>
                      <w:lang w:val="en-US" w:eastAsia="zh-CN" w:bidi="ar"/>
                    </w:rPr>
                    <w:t>全市通用</w:t>
                  </w:r>
                </w:p>
              </w:tc>
              <w:tc>
                <w:tcPr>
                  <w:tcW w:w="435" w:type="pct"/>
                  <w:vMerge w:val="restart"/>
                  <w:tcBorders>
                    <w:tl2br w:val="nil"/>
                    <w:tr2bl w:val="nil"/>
                  </w:tcBorders>
                  <w:noWrap w:val="0"/>
                  <w:vAlign w:val="center"/>
                </w:tcPr>
                <w:p w14:paraId="5CD10D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pacing w:val="0"/>
                      <w:kern w:val="2"/>
                      <w:position w:val="0"/>
                      <w:sz w:val="21"/>
                      <w:szCs w:val="21"/>
                      <w:highlight w:val="none"/>
                      <w:lang w:val="en-US" w:eastAsia="zh-CN" w:bidi="ar"/>
                    </w:rPr>
                  </w:pPr>
                  <w:r>
                    <w:rPr>
                      <w:rFonts w:hint="eastAsia" w:ascii="宋体" w:hAnsi="宋体" w:eastAsia="宋体" w:cs="宋体"/>
                      <w:color w:val="auto"/>
                      <w:spacing w:val="0"/>
                      <w:kern w:val="2"/>
                      <w:position w:val="0"/>
                      <w:sz w:val="21"/>
                      <w:szCs w:val="21"/>
                      <w:highlight w:val="none"/>
                      <w:lang w:val="en-US" w:eastAsia="zh-CN" w:bidi="ar"/>
                    </w:rPr>
                    <w:t>/</w:t>
                  </w:r>
                </w:p>
              </w:tc>
              <w:tc>
                <w:tcPr>
                  <w:tcW w:w="504" w:type="pct"/>
                  <w:tcBorders>
                    <w:tl2br w:val="nil"/>
                    <w:tr2bl w:val="nil"/>
                  </w:tcBorders>
                  <w:noWrap w:val="0"/>
                  <w:vAlign w:val="center"/>
                </w:tcPr>
                <w:p w14:paraId="496ED9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空间布局约束</w:t>
                  </w:r>
                </w:p>
              </w:tc>
              <w:tc>
                <w:tcPr>
                  <w:tcW w:w="2813" w:type="pct"/>
                  <w:tcBorders>
                    <w:tl2br w:val="nil"/>
                    <w:tr2bl w:val="nil"/>
                  </w:tcBorders>
                  <w:noWrap w:val="0"/>
                  <w:vAlign w:val="center"/>
                </w:tcPr>
                <w:p w14:paraId="6338DA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（1.1）禁止类：</w:t>
                  </w:r>
                </w:p>
                <w:p w14:paraId="16EBBF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1.1.1）禁止建设区（基本农田、基础设施廊道和一级水源保护区、禁止建设区）内严格禁止与限建要素无关的建设行为。按照国家规定需要有关部门批准或者核准的、以划拨方式提供国有土地使用权的建设项目。</w:t>
                  </w:r>
                </w:p>
                <w:p w14:paraId="0FE080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1.1.2）区内现有非农业建设用地和其他零星农用地优先整理、复垦或调整为耕地；不能整理、复垦或调整的，保留现状用途，但不得扩大用地面积。禁止占用区内土地进行非农建设，不得破坏、污染和荒芜区内土地，严禁占用区内土地进行开垦、采矿、挖沙、取土等破坏草原植被的活动。</w:t>
                  </w:r>
                </w:p>
                <w:p w14:paraId="11E3EC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（1.1.3）根据《饮用水水源保护区污染防治管理规定》需要对饮用水水源地一级保护区内实施封闭式管理，禁止设排污口，禁止建所有与水源无关的建筑物。</w:t>
                  </w:r>
                </w:p>
                <w:p w14:paraId="2F6E23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1.1.4）饮用水源二级保护区内禁止一切破坏水环境生态平衡的活动以及破坏水源林、护岸林、与水源保护相关植被的活动。严格禁止各类污染源进入水源地及其保护区范围内。保护区附近不得建设对水质有严重污染的建设项目。严禁在水源地及其附近地区进行矿产开采、搞地下建筑和大型建筑。</w:t>
                  </w:r>
                </w:p>
                <w:p w14:paraId="1C775D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（1.1.5）湿地省级（兵团）自然保护区内禁止一切进入保护区捡拾鸟蛋、捕鸟等违法活动。</w:t>
                  </w:r>
                </w:p>
                <w:p w14:paraId="7216CF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（1.1.6）未列入国家批准的相关规划的新建乙烯、对二甲苯（PX）、二苯基甲烷二异氰酸酯（MDI）项目，禁止建设。</w:t>
                  </w:r>
                </w:p>
                <w:p w14:paraId="32DDF3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（1.1.7）新建煤制烯烃、新建煤制对二甲苯（PX）项目，由省级政府按照国家批准的相关规划核准。新建年产超过100万吨的煤制甲醇项目，由省级政府核准。其余项目禁止建设。</w:t>
                  </w:r>
                </w:p>
                <w:p w14:paraId="0342BC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（1.1.8）规范印染建设项目环境管理，新上项目需经行业主管部门备案，未列入规划的项目不得新建，禁止未批准先建设、未验收先投产。</w:t>
                  </w:r>
                </w:p>
                <w:p w14:paraId="24B555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（1.1.9）印染企业必须对产品生产工艺采用的染料、助剂加以标识、备案，禁止使用国家公示的对人体有强致癌作用的染料品种，禁止使用国家公示的对环境影响较大的助剂品种。</w:t>
                  </w:r>
                </w:p>
                <w:p w14:paraId="5DCD70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（1.1.10）严禁在地下水超采区新增地下水开采。严格按照《新疆用水总量控制方案》开展水资源开发利用，对地下水超采区和超出地下水用水总量指标的师团，禁止新打井开采地下水。</w:t>
                  </w:r>
                </w:p>
                <w:p w14:paraId="3326B5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1.1.11）加大燃煤小锅炉淘汰力度。①城市建成区淘汰每小时10蒸吨及以下燃煤锅炉及茶水炉、经营性炉灶、储粮烘干设备等燃煤设施，原则上不再新建每小时35蒸吨以下的燃煤锅炉。②团场严禁新建10蒸吨以下的小锅炉，严格限制建设20蒸吨以下的小锅炉。③环境空气质量未达标地区加大淘汰力度。④国家级、兵团级工业园区基本淘汰每小时35蒸吨以下燃煤锅炉，禁止新建每小时65蒸吨以下燃煤锅炉。</w:t>
                  </w:r>
                </w:p>
                <w:p w14:paraId="163611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（1.1.12）具备风光电清洁供暖建设条件的区域，原则上不再新批采暖热电联产项目。</w:t>
                  </w:r>
                </w:p>
                <w:p w14:paraId="5DE7E9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（1.1.13）禁止在“奎-独-乌”区域内新建不符合国家产业政策和采用落后生产工艺技术的大气重污染项目，严格限制新建和扩建高污染、高耗能、高排放的石化、火电、钢铁、水泥、化工等项目。</w:t>
                  </w:r>
                </w:p>
                <w:p w14:paraId="330884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（1.2）限制类：</w:t>
                  </w:r>
                </w:p>
                <w:p w14:paraId="42CB68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（1.2.1）荒漠过渡带土地条件许可的情况下可进行矿产开发和独立工矿区建设。</w:t>
                  </w:r>
                </w:p>
                <w:p w14:paraId="07380F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1.2.2）新建1000万吨/年以下常减压；新建80万吨/年以下石脑油裂解制乙烯、13万吨/年以下丙烯腈、100万吨/年以下精对苯二甲酸、20万吨/年以下乙二醇、100万吨/年以下煤制甲醇生产装置（综合利用除外）；新建7万吨/年以下聚丙烯（连续法及间歇法）、20万吨／年以下聚乙烯、乙炔法聚氯乙烯、起始规模小于30万吨/年的乙烯氧氯化法聚氯乙烯；新建纯碱、烧碱、电石（以大型先进工艺设备进行等量替换的除外）；新建、扩建古龙酸和维生素C原粉（包括药用、食品用和饲料用、化妆品用）生产装置，新建药品、食品、饲料、化妆品等维生素E原料生产装置。</w:t>
                  </w:r>
                </w:p>
                <w:p w14:paraId="070FA2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（1.2.3）严格执行水资源管理制度和工业项目水耗标准，对于水耗总量大、单位产品水耗高的项目要按照相关水耗标准的先进值进行准入限制，不达标的项目视同“三高”项目严格禁止新、改、扩建。</w:t>
                  </w:r>
                </w:p>
                <w:p w14:paraId="382AEC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（1.2.4）各类建设占用的天然草地和湿地等天然绿洲、水土保持林、水源涵养林、防风固沙林及其它各类防护林用地可严格依法审批后使用。</w:t>
                  </w:r>
                </w:p>
                <w:p w14:paraId="7049B6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（1.3）鼓励类：</w:t>
                  </w:r>
                </w:p>
                <w:p w14:paraId="74495C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1.3.1）大力发展旅游业和房地产业，并为各团场转移职工提供保障性住房和商品房；围绕已有的种植业、林果业和畜牧业基础，大力发展农副产品深加工产业；依托于国道、高速公路等交通资源和未来新市的人力资源，大力发展商贸服务业和纺织、机械加工、装备制造、电子信息、环保设备、新材料等环境友好型产业。</w:t>
                  </w:r>
                </w:p>
                <w:p w14:paraId="24859B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（1.3.2）加强农田防护林网体系建设，保护基本农田，改造中低产农田和盐碱地，发展设施农业，并改进农业种植技术。</w:t>
                  </w:r>
                </w:p>
                <w:p w14:paraId="0579A0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（1.3.3）合理布局工业、商业、居住、科教等功能区块，严禁混杂建设，各区之间设置隔离带。</w:t>
                  </w:r>
                </w:p>
                <w:p w14:paraId="4C2336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1.3.4）鼓励七师胡杨河市发展铝深加工项目、硅深加工项目、煤化工及氯碱化工深加工项目、石油天然气深加工项目、纺织服装深加工项目、生物产业项目、碳、铝、硅基新材料项目和新一代信息技术产业项目。</w:t>
                  </w:r>
                </w:p>
                <w:p w14:paraId="0CF368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1.3.5）鼓励20万吨/年及以上合成气制乙二醇、10万吨/年及以上离子交换法双酚A、15万吨/年及以上直接氧化法环氧丙烷、20万吨/年及以上共氧化法环氧丙烷、5万吨/年及以上丁二烯法己二腈生产装置，万吨级脂肪族异氰酸酯生产技术开发与应用；6万吨/年及以上非光气法聚碳酸酯生产装置，吸水性树脂、导电性树脂和可降解聚合物的开发与生产。</w:t>
                  </w:r>
                </w:p>
                <w:p w14:paraId="6D94EB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1.3.6）《战略性新兴产业重点产品和服务指导目录》（2016版）强调重点发展的产品有工程塑料及合成树脂，包括“新型工程塑料与塑料合金，新型特种工程塑料，新型氟塑料，液晶聚合物，高性能热塑性树脂，阻燃改性塑料，ABS及其改性制品，HIPS及其改性材料，不饱和聚酯树脂专用料，汽车轻量化热塑性复合材料。新型聚氨酯材料。高性能环氧树脂，聚双马来酰亚胺树脂，聚酰亚胺树脂，聚异氰酸</w:t>
                  </w:r>
                  <w:r>
                    <w:rPr>
                      <w:rFonts w:hint="eastAsia" w:ascii="Times New Roman" w:hAnsi="Times New Roman" w:eastAsia="宋体" w:cs="Times New Roman"/>
                      <w:b w:val="0"/>
                      <w:bCs w:val="0"/>
                      <w:color w:val="auto"/>
                      <w:spacing w:val="0"/>
                      <w:kern w:val="2"/>
                      <w:position w:val="0"/>
                      <w:sz w:val="21"/>
                      <w:szCs w:val="21"/>
                      <w:highlight w:val="none"/>
                      <w:lang w:val="en-US" w:eastAsia="zh-CN" w:bidi="ar"/>
                    </w:rPr>
                    <w:t>酯</w:t>
                  </w:r>
                  <w:r>
                    <w:rPr>
                      <w:rFonts w:hint="default" w:ascii="Times New Roman" w:hAnsi="Times New Roman" w:eastAsia="宋体" w:cs="Times New Roman"/>
                      <w:b w:val="0"/>
                      <w:bCs w:val="0"/>
                      <w:color w:val="auto"/>
                      <w:spacing w:val="0"/>
                      <w:kern w:val="2"/>
                      <w:position w:val="0"/>
                      <w:sz w:val="21"/>
                      <w:szCs w:val="21"/>
                      <w:highlight w:val="none"/>
                      <w:lang w:val="en-US" w:eastAsia="zh-CN" w:bidi="ar"/>
                    </w:rPr>
                    <w:t>树脂，酚醛树脂。”还有高性能纤维及复合材料，包括高性能碳纤维及其复合材料，碳/碳复合材料，高强玻璃纤维、连续玄武岩纤维、陶瓷纤维、石墨纤维等无机非金属高性能纤维及其复合材料，芳纶、超高分子量聚乙烯纤维及其复合材料。芳砜纶纤维，聚苯硫醚纤维，聚四氟乙烯纤维，聚酰亚胺纤维、酚醛纤维、高吸水性纤维等具有耐腐蚀、耐高温、高强高模、抗燃、传导等功能的新型纤维。</w:t>
                  </w:r>
                </w:p>
                <w:p w14:paraId="693028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1.3.7）针对化工产业，鼓励重点发展芳烃深加工、丙烯利用、轻烃综合利用、甲醇/尿素深加工、氯产品精深加工、合成材料加工（塑料加工、橡胶加工和化纤制造）、高端专用化学品、煤焦化副产品利用八个产业集群。</w:t>
                  </w:r>
                </w:p>
                <w:p w14:paraId="41F223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1.3.8）鼓励构建棉纺产业供应链。鼓励大型棉纺企业与棉花加工企业、兵地各相关部门开展供应链构建和合作；鼓励在疆大型纺织龙头企业通过股权投资等形式进行产业融合，按照“农户+棉花加工+纺纱”的生产经营模式，构建原料供应链条，促进一产、二产融合发展。</w:t>
                  </w:r>
                </w:p>
                <w:p w14:paraId="6A52C1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（1.4）加强污水管网建设，应加快污水截污管网工程建设。</w:t>
                  </w:r>
                </w:p>
                <w:p w14:paraId="502763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（1.5）在管网难以覆盖的地方，大力推广各种净化池，在农民建房和农村居民点改造的同时配套建设相应容积的生物净化池。</w:t>
                  </w:r>
                </w:p>
                <w:p w14:paraId="5DDBA5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（1.6）水源保护区范围应设立隔离防护措施，包括物理隔离工程（护栏、围网等），防止人类不合理活动对水源保护区水量水质造成影响，进一步保护水源区核心地域。</w:t>
                  </w:r>
                </w:p>
                <w:p w14:paraId="406D89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（1.7）淘汰热电联产和集中供热管网覆盖范围内的燃煤锅炉，按照有关要求加快淘汰建成区燃煤锅炉，加大燃煤锅炉及设施“电能替代”改造力度。</w:t>
                  </w:r>
                </w:p>
                <w:p w14:paraId="085965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1.8）根据主导生态功能定位，实施差别化管理，确保生态保护红线生态功能不降低、面积不减少、性质不改变。对生态保护红线内的自然保护区、国家公园、风景名胜区、森林公园、地质公园、世界自然遗产、湿地公园、饮用水水源保护区等各类保护地的管理，法律法规和规章另有规定的，从其规定。按照中共中央办公厅国务院办公厅印发《关于在国土空间规划中统筹划定落实三条控制线的指导意见》的要求，生态保护红线内，自然保护地核心保护区原则上禁止人为活动，其他区域严格禁止开发性、生产性建设活动，在符合现行法律法规前提下，除国家重大战略项目外，仅允许对生态功能不造成破坏的有限人为活动，主要包括：1）零星的原住民在不扩大现有建设用地和耕地规模前提下，修缮生产生活设施，保留生活必需的少量种植、放牧、捕捞、养殖；2）因国家重大能源资源安全需要开展的战略性能源资源勘查，公益性自然资源调查和地质勘查；3）自然资源、生态环境监测和执法包括水文水资源监测及涉水违法事件的查处等，灾害防治和应急抢险活动；4）经依法批准进行的非破坏性科学研究观测、标本采集；5）经依法批准的考古调查发掘和文物保护活动；6）不破坏生态功能的适度参观旅游和相关的必要公共设施建设；7）必须且无法避让、符合县级以上国土空间规划的线性基础设施建设、防洪和供水设施建设与运行维护；8）重要生态修复工程。</w:t>
                  </w:r>
                </w:p>
              </w:tc>
              <w:tc>
                <w:tcPr>
                  <w:tcW w:w="777" w:type="pct"/>
                  <w:tcBorders>
                    <w:tl2br w:val="nil"/>
                    <w:tr2bl w:val="nil"/>
                  </w:tcBorders>
                  <w:noWrap w:val="0"/>
                  <w:vAlign w:val="center"/>
                </w:tcPr>
                <w:p w14:paraId="5B4A99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b w:val="0"/>
                      <w:bCs w:val="0"/>
                      <w:color w:val="auto"/>
                      <w:spacing w:val="0"/>
                      <w:kern w:val="2"/>
                      <w:position w:val="0"/>
                      <w:sz w:val="21"/>
                      <w:szCs w:val="21"/>
                      <w:highlight w:val="none"/>
                      <w:lang w:val="en-US" w:eastAsia="zh-CN" w:bidi="ar"/>
                    </w:rPr>
                  </w:pPr>
                  <w:r>
                    <w:rPr>
                      <w:rFonts w:hint="eastAsia" w:ascii="宋体" w:hAnsi="宋体" w:eastAsia="宋体" w:cs="宋体"/>
                      <w:b w:val="0"/>
                      <w:bCs w:val="0"/>
                      <w:color w:val="auto"/>
                      <w:spacing w:val="0"/>
                      <w:kern w:val="2"/>
                      <w:position w:val="0"/>
                      <w:sz w:val="21"/>
                      <w:szCs w:val="21"/>
                      <w:highlight w:val="none"/>
                      <w:lang w:val="en-US" w:eastAsia="zh-CN" w:bidi="ar"/>
                    </w:rPr>
                    <w:t>本项目位于第七师胡杨河市经济技术开发区，不属于禁止建设区，不属于在湿地内建设的项目、不属于乙烯、对二甲苯（PX）、二苯基甲烷二异氰酸酯（MDI）项目、制烯烃、新建煤制对二甲苯（PX）项目、印染建设项目；项目不涉及锅炉使用；不属于高污染、高耗能、高排放的石化、火电、钢铁、水泥、化工等项目；项目未占用天然草地和湿地等天然绿洲、水土保持林、水源涵养林、防风固沙林及其它各类防护林；综上符合要求。</w:t>
                  </w:r>
                </w:p>
              </w:tc>
            </w:tr>
            <w:tr w14:paraId="1EDC4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pct"/>
                  <w:vMerge w:val="continue"/>
                  <w:tcBorders>
                    <w:tl2br w:val="nil"/>
                    <w:tr2bl w:val="nil"/>
                  </w:tcBorders>
                  <w:noWrap w:val="0"/>
                  <w:vAlign w:val="center"/>
                </w:tcPr>
                <w:p w14:paraId="7B36DB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pacing w:val="0"/>
                      <w:kern w:val="2"/>
                      <w:position w:val="0"/>
                      <w:sz w:val="21"/>
                      <w:szCs w:val="21"/>
                      <w:highlight w:val="none"/>
                      <w:lang w:val="en-US" w:eastAsia="zh-CN" w:bidi="ar"/>
                    </w:rPr>
                  </w:pPr>
                </w:p>
              </w:tc>
              <w:tc>
                <w:tcPr>
                  <w:tcW w:w="435" w:type="pct"/>
                  <w:vMerge w:val="continue"/>
                  <w:tcBorders>
                    <w:tl2br w:val="nil"/>
                    <w:tr2bl w:val="nil"/>
                  </w:tcBorders>
                  <w:noWrap w:val="0"/>
                  <w:vAlign w:val="center"/>
                </w:tcPr>
                <w:p w14:paraId="7F89AB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pacing w:val="0"/>
                      <w:kern w:val="2"/>
                      <w:position w:val="0"/>
                      <w:sz w:val="21"/>
                      <w:szCs w:val="21"/>
                      <w:highlight w:val="none"/>
                      <w:lang w:val="en-US" w:eastAsia="zh-CN" w:bidi="ar"/>
                    </w:rPr>
                  </w:pPr>
                </w:p>
              </w:tc>
              <w:tc>
                <w:tcPr>
                  <w:tcW w:w="504" w:type="pct"/>
                  <w:tcBorders>
                    <w:tl2br w:val="nil"/>
                    <w:tr2bl w:val="nil"/>
                  </w:tcBorders>
                  <w:noWrap w:val="0"/>
                  <w:vAlign w:val="center"/>
                </w:tcPr>
                <w:p w14:paraId="2C468C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SA"/>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污染物排放管控</w:t>
                  </w:r>
                </w:p>
              </w:tc>
              <w:tc>
                <w:tcPr>
                  <w:tcW w:w="2813" w:type="pct"/>
                  <w:tcBorders>
                    <w:tl2br w:val="nil"/>
                    <w:tr2bl w:val="nil"/>
                  </w:tcBorders>
                  <w:noWrap w:val="0"/>
                  <w:vAlign w:val="center"/>
                </w:tcPr>
                <w:p w14:paraId="270B66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（2.1）废气：</w:t>
                  </w:r>
                </w:p>
                <w:p w14:paraId="6C6F4D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2.1.1）严格控制污染物排放总量（二氧化硫、氮氧化物），对电力行业重点加强结构调整与脱硫设施的稳定运行，实施低氮燃烧技术；新、扩、改建机组必须配套烟气脱硝设施。加大小锅炉淘汰，对大吨位锅炉因地制宜采取脱硫减排措施。</w:t>
                  </w:r>
                </w:p>
                <w:p w14:paraId="65BC26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（2.1.2）开展金属制品业酸雾等工艺废气污染控制与治理，通过提升行业装备水平，完善废气收集系统，减少无组织排放，做到工艺废气排放浓度和厂界浓度双达标。</w:t>
                  </w:r>
                </w:p>
                <w:p w14:paraId="1DBC90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（2.2）废水：</w:t>
                  </w:r>
                </w:p>
                <w:p w14:paraId="3E41DE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2.2.1）主要河流（奎屯河、四棵树河、古尔图河）、灌区场外引输水干渠和主要大中型水库（奎屯水库、柳沟水库、黄沟一库、黄沟二库、车排子水库、泉沟水库）水质达到III类水质标准。灌区场内灌溉渠道和小型水库，水质达到</w:t>
                  </w:r>
                  <w:r>
                    <w:rPr>
                      <w:rFonts w:hint="eastAsia" w:ascii="Times New Roman" w:hAnsi="Times New Roman" w:eastAsia="宋体" w:cs="Times New Roman"/>
                      <w:b w:val="0"/>
                      <w:bCs w:val="0"/>
                      <w:color w:val="auto"/>
                      <w:spacing w:val="0"/>
                      <w:kern w:val="2"/>
                      <w:position w:val="0"/>
                      <w:sz w:val="21"/>
                      <w:szCs w:val="21"/>
                      <w:highlight w:val="none"/>
                      <w:lang w:val="en-US" w:eastAsia="zh-CN" w:bidi="ar"/>
                    </w:rPr>
                    <w:t>Ⅳ类</w:t>
                  </w:r>
                  <w:r>
                    <w:rPr>
                      <w:rFonts w:hint="default" w:ascii="Times New Roman" w:hAnsi="Times New Roman" w:eastAsia="宋体" w:cs="Times New Roman"/>
                      <w:b w:val="0"/>
                      <w:bCs w:val="0"/>
                      <w:color w:val="auto"/>
                      <w:spacing w:val="0"/>
                      <w:kern w:val="2"/>
                      <w:position w:val="0"/>
                      <w:sz w:val="21"/>
                      <w:szCs w:val="21"/>
                      <w:highlight w:val="none"/>
                      <w:lang w:val="en-US" w:eastAsia="zh-CN" w:bidi="ar"/>
                    </w:rPr>
                    <w:t>水质标准。</w:t>
                  </w:r>
                </w:p>
                <w:p w14:paraId="74D01D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（2.2.2）重点加强各团场的污水处理厂及配套管网的建设，推进连队分散式污水处理；积极推动面源污染防治，对集中式规模化畜禽养殖场进行污染治理。</w:t>
                  </w:r>
                </w:p>
                <w:p w14:paraId="0DAFEB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（2.2.3）在湿地省级（兵团）自然保护区外围地带，与各县市环保部门合作，有效实施村镇的点源污染控制，工业废水达标排放。</w:t>
                  </w:r>
                </w:p>
                <w:p w14:paraId="08DDEF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（2.2.4）从源头消减废水排放，严格控制企业废水达标排放。重点加强化工企业的污染防治，积极推动重污染行业工艺废水的深度处理与中水回用。</w:t>
                  </w:r>
                </w:p>
                <w:p w14:paraId="2E14C8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（2.3）固废：</w:t>
                  </w:r>
                </w:p>
                <w:p w14:paraId="3F60BA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（2.3.1）推进固体废物源头减量，推进清洁生产，建立生态产业链，加强固体废物综合利用。</w:t>
                  </w:r>
                </w:p>
                <w:p w14:paraId="03F107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（2.3.2）建立和完善城镇生活垃圾收集、转运和处置设施，加快无害化处理步伐。</w:t>
                  </w:r>
                </w:p>
                <w:p w14:paraId="1B387D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（2.3.3）调整农业种植结构，实施测土配方施肥、控制农药使用量，有效控制农业面源污染。</w:t>
                  </w:r>
                </w:p>
              </w:tc>
              <w:tc>
                <w:tcPr>
                  <w:tcW w:w="777" w:type="pct"/>
                  <w:tcBorders>
                    <w:tl2br w:val="nil"/>
                    <w:tr2bl w:val="nil"/>
                  </w:tcBorders>
                  <w:noWrap w:val="0"/>
                  <w:vAlign w:val="center"/>
                </w:tcPr>
                <w:p w14:paraId="57808F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b w:val="0"/>
                      <w:bCs w:val="0"/>
                      <w:color w:val="auto"/>
                      <w:spacing w:val="0"/>
                      <w:kern w:val="2"/>
                      <w:position w:val="0"/>
                      <w:sz w:val="21"/>
                      <w:szCs w:val="21"/>
                      <w:highlight w:val="none"/>
                      <w:lang w:val="en-US" w:eastAsia="zh-CN" w:bidi="ar"/>
                    </w:rPr>
                  </w:pPr>
                  <w:r>
                    <w:rPr>
                      <w:rFonts w:hint="eastAsia" w:ascii="宋体" w:hAnsi="宋体" w:eastAsia="宋体" w:cs="宋体"/>
                      <w:b w:val="0"/>
                      <w:bCs w:val="0"/>
                      <w:color w:val="auto"/>
                      <w:spacing w:val="0"/>
                      <w:kern w:val="2"/>
                      <w:position w:val="0"/>
                      <w:sz w:val="21"/>
                      <w:szCs w:val="21"/>
                      <w:highlight w:val="none"/>
                      <w:lang w:val="en-US" w:eastAsia="zh-CN" w:bidi="ar"/>
                    </w:rPr>
                    <w:t>本项目不属于电力行业、金属制品业；项目生产废水全部回用，生活污水排入物水管网进入园区污水处理厂处理，各项废物均能得到有效、合理处置，符合要求。</w:t>
                  </w:r>
                </w:p>
              </w:tc>
            </w:tr>
            <w:tr w14:paraId="65BA6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pct"/>
                  <w:vMerge w:val="continue"/>
                  <w:tcBorders>
                    <w:tl2br w:val="nil"/>
                    <w:tr2bl w:val="nil"/>
                  </w:tcBorders>
                  <w:noWrap w:val="0"/>
                  <w:vAlign w:val="center"/>
                </w:tcPr>
                <w:p w14:paraId="1A97C4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pacing w:val="0"/>
                      <w:kern w:val="2"/>
                      <w:position w:val="0"/>
                      <w:sz w:val="21"/>
                      <w:szCs w:val="21"/>
                      <w:highlight w:val="none"/>
                      <w:lang w:val="en-US" w:eastAsia="zh-CN" w:bidi="ar"/>
                    </w:rPr>
                  </w:pPr>
                </w:p>
              </w:tc>
              <w:tc>
                <w:tcPr>
                  <w:tcW w:w="435" w:type="pct"/>
                  <w:vMerge w:val="continue"/>
                  <w:tcBorders>
                    <w:tl2br w:val="nil"/>
                    <w:tr2bl w:val="nil"/>
                  </w:tcBorders>
                  <w:noWrap w:val="0"/>
                  <w:vAlign w:val="center"/>
                </w:tcPr>
                <w:p w14:paraId="7DCDE4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pacing w:val="0"/>
                      <w:kern w:val="2"/>
                      <w:position w:val="0"/>
                      <w:sz w:val="21"/>
                      <w:szCs w:val="21"/>
                      <w:highlight w:val="none"/>
                      <w:lang w:val="en-US" w:eastAsia="zh-CN" w:bidi="ar"/>
                    </w:rPr>
                  </w:pPr>
                </w:p>
              </w:tc>
              <w:tc>
                <w:tcPr>
                  <w:tcW w:w="504" w:type="pct"/>
                  <w:tcBorders>
                    <w:tl2br w:val="nil"/>
                    <w:tr2bl w:val="nil"/>
                  </w:tcBorders>
                  <w:noWrap w:val="0"/>
                  <w:vAlign w:val="center"/>
                </w:tcPr>
                <w:p w14:paraId="5DACC5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SA"/>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环境风险防控</w:t>
                  </w:r>
                </w:p>
              </w:tc>
              <w:tc>
                <w:tcPr>
                  <w:tcW w:w="2813" w:type="pct"/>
                  <w:tcBorders>
                    <w:tl2br w:val="nil"/>
                    <w:tr2bl w:val="nil"/>
                  </w:tcBorders>
                  <w:noWrap w:val="0"/>
                  <w:vAlign w:val="center"/>
                </w:tcPr>
                <w:p w14:paraId="12436E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3.1）加强危险废物管理。加大危险废物管理法律法规宣传；继续开展危险废物经营许可证管理；加快医疗废物专业收集运输体系和集中处置设施的建设，做好医疗废物污染环境防治。</w:t>
                  </w:r>
                </w:p>
                <w:p w14:paraId="392374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（3.2）到2030年，受污染耕地安全利用率达到95%以上，污染地块安全利用率达到95%以上。</w:t>
                  </w:r>
                </w:p>
                <w:p w14:paraId="1AB7AD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（3.3）完善水源地水质监测体系，建设饮用水水源地水位动态监测网建设。</w:t>
                  </w:r>
                </w:p>
                <w:p w14:paraId="2629D8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（3.4）建立饮用水水质应急处理及快速反应机制，组建应急处理队伍，配备必要的应急处理装备，以增强城市应急能力和控制事故的能力，在饮用水水源水质发生异常，威胁供水安全等紧急情况下，应急措施。</w:t>
                  </w:r>
                </w:p>
                <w:p w14:paraId="19884A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3.5）规划在湿地省级（兵团）自然保护区内人为活动频繁区域、珍稀水禽栖息地、重要生态保护区域、典型生态类型区等重点区域进行实时监控，涉及防火防灾、资源保护、安全生境、环境监测等，进行全方位、多角度的视频监控，提高保护区保护管理的现代化水平。</w:t>
                  </w:r>
                </w:p>
                <w:p w14:paraId="65EDF6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（3.6）加强重污染天气应急管理。建立重污染天气应急体系，做好重污染天气预警预报工作。各部门、单位按照职责分工，在应急响应期间督促预案措施落实到位。</w:t>
                  </w:r>
                </w:p>
              </w:tc>
              <w:tc>
                <w:tcPr>
                  <w:tcW w:w="777" w:type="pct"/>
                  <w:tcBorders>
                    <w:tl2br w:val="nil"/>
                    <w:tr2bl w:val="nil"/>
                  </w:tcBorders>
                  <w:noWrap w:val="0"/>
                  <w:vAlign w:val="center"/>
                </w:tcPr>
                <w:p w14:paraId="4F1970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b w:val="0"/>
                      <w:bCs w:val="0"/>
                      <w:color w:val="auto"/>
                      <w:spacing w:val="0"/>
                      <w:kern w:val="2"/>
                      <w:position w:val="0"/>
                      <w:sz w:val="21"/>
                      <w:szCs w:val="21"/>
                      <w:highlight w:val="none"/>
                      <w:lang w:val="en-US" w:eastAsia="zh-CN" w:bidi="ar"/>
                    </w:rPr>
                  </w:pPr>
                  <w:r>
                    <w:rPr>
                      <w:rFonts w:hint="eastAsia" w:ascii="宋体" w:hAnsi="宋体" w:eastAsia="宋体" w:cs="宋体"/>
                      <w:b w:val="0"/>
                      <w:bCs w:val="0"/>
                      <w:color w:val="auto"/>
                      <w:spacing w:val="0"/>
                      <w:kern w:val="2"/>
                      <w:position w:val="0"/>
                      <w:sz w:val="21"/>
                      <w:szCs w:val="21"/>
                      <w:highlight w:val="none"/>
                      <w:lang w:val="en-US" w:eastAsia="zh-CN" w:bidi="ar"/>
                    </w:rPr>
                    <w:t>本项目在落实评价提出的各项风险防范措施后，风险水平处于可接受范围内。</w:t>
                  </w:r>
                </w:p>
              </w:tc>
            </w:tr>
            <w:tr w14:paraId="2A4EC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pct"/>
                  <w:vMerge w:val="continue"/>
                  <w:tcBorders>
                    <w:tl2br w:val="nil"/>
                    <w:tr2bl w:val="nil"/>
                  </w:tcBorders>
                  <w:noWrap w:val="0"/>
                  <w:vAlign w:val="center"/>
                </w:tcPr>
                <w:p w14:paraId="119CA4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pacing w:val="0"/>
                      <w:kern w:val="2"/>
                      <w:position w:val="0"/>
                      <w:sz w:val="21"/>
                      <w:szCs w:val="21"/>
                      <w:highlight w:val="none"/>
                      <w:lang w:val="en-US" w:eastAsia="zh-CN" w:bidi="ar"/>
                    </w:rPr>
                  </w:pPr>
                </w:p>
              </w:tc>
              <w:tc>
                <w:tcPr>
                  <w:tcW w:w="435" w:type="pct"/>
                  <w:vMerge w:val="continue"/>
                  <w:tcBorders>
                    <w:tl2br w:val="nil"/>
                    <w:tr2bl w:val="nil"/>
                  </w:tcBorders>
                  <w:noWrap w:val="0"/>
                  <w:vAlign w:val="center"/>
                </w:tcPr>
                <w:p w14:paraId="1BA163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pacing w:val="0"/>
                      <w:kern w:val="2"/>
                      <w:position w:val="0"/>
                      <w:sz w:val="21"/>
                      <w:szCs w:val="21"/>
                      <w:highlight w:val="none"/>
                      <w:lang w:val="en-US" w:eastAsia="zh-CN" w:bidi="ar"/>
                    </w:rPr>
                  </w:pPr>
                </w:p>
              </w:tc>
              <w:tc>
                <w:tcPr>
                  <w:tcW w:w="504" w:type="pct"/>
                  <w:tcBorders>
                    <w:tl2br w:val="nil"/>
                    <w:tr2bl w:val="nil"/>
                  </w:tcBorders>
                  <w:noWrap w:val="0"/>
                  <w:vAlign w:val="center"/>
                </w:tcPr>
                <w:p w14:paraId="56E0A4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SA"/>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资源利用效率</w:t>
                  </w:r>
                </w:p>
              </w:tc>
              <w:tc>
                <w:tcPr>
                  <w:tcW w:w="2813" w:type="pct"/>
                  <w:tcBorders>
                    <w:tl2br w:val="nil"/>
                    <w:tr2bl w:val="nil"/>
                  </w:tcBorders>
                  <w:noWrap w:val="0"/>
                  <w:vAlign w:val="center"/>
                </w:tcPr>
                <w:p w14:paraId="0DCAA9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（4.1）水资源：</w:t>
                  </w:r>
                </w:p>
                <w:p w14:paraId="1CFD88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（4.1.1）加强中水回用，提高水资源利用率；对七师所掌握的水资源进行综合统筹利用，编制园区的水资源论证报告，落实供水方案，保障产业发展的需求。</w:t>
                  </w:r>
                </w:p>
                <w:p w14:paraId="4133E9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（4.1.2）到2030年工业用水重复率不低于50%，工业固体废物处置利用率不低于80%。</w:t>
                  </w:r>
                </w:p>
                <w:p w14:paraId="010789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（4.1.3）到2030年降低河流引水率，退还生态用水。同时提高中水回用率至70%，增加中水回用量约0.5亿立方米/年。</w:t>
                  </w:r>
                </w:p>
                <w:p w14:paraId="3FEF48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（4.2）大气：</w:t>
                  </w:r>
                </w:p>
                <w:p w14:paraId="6748E0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（4.2.1）组织开展燃煤锅炉节能减排攻坚战，完成燃煤工业锅炉能效普查年度任务；推进锅炉系统安全节能标准化管理。</w:t>
                  </w:r>
                </w:p>
                <w:p w14:paraId="3EA233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（4.3）固体废物：</w:t>
                  </w:r>
                </w:p>
                <w:p w14:paraId="41DE7B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（4.3.1）强化废物在企业内部的循环使用和综合利用，推广循环经济模式，减少固体废物的产生量。</w:t>
                  </w:r>
                </w:p>
                <w:p w14:paraId="532285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（4.4）能源：</w:t>
                  </w:r>
                </w:p>
                <w:p w14:paraId="170E08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（4.4.1）考虑煤电化热联产，按照“煤炭—气化—甲醇、醋酸—燃气轮机（发电）—余热锅炉（汽轮机发电）”工艺流程，提高能源转化效率和资源利用率。</w:t>
                  </w:r>
                </w:p>
                <w:p w14:paraId="7C315B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（4.4.2）充分利用当地太阳能等可再生能源的优势，推广太阳能光电、光热等可再生能源技术在边远地区的综合应用。</w:t>
                  </w:r>
                </w:p>
                <w:p w14:paraId="790732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4.4.3）大力推广清洁能源。加大清洁能源供应，提高城市清洁能源使用比重。加快推广以电代煤、以电代柴、以电代气，提高天然气未覆盖地区居民炊事、取暖电气化水平，提高农产品加工、梯级灌溉、苦咸水淡化、烘干房、大棚取暖等方面的清洁能源利用水平，加快推进电锅炉、电供暖、地源热泵、冷热联供等基础设施建设，加快风电清洁供暖示范项目实施步伐。</w:t>
                  </w:r>
                </w:p>
                <w:p w14:paraId="09FCB8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（4.5）清洁生产：</w:t>
                  </w:r>
                </w:p>
                <w:p w14:paraId="25A55A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4.5.1）促进清洁生产。加强对重点企业的清洁生产审核和评估验收。所有重点企业完成清洁生产强制审核，按照行业清洁生产一级标准实施技术改造。将清洁生产实施情况纳入企业环保绩效考核和企业环境行为评价范围。加快制定农副食品加工、焦化、氮肥、有色金属、制革、造纸等行业治理方案，实施清洁化改造。</w:t>
                  </w:r>
                </w:p>
                <w:p w14:paraId="48B1F4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（4.6）新建城市人均绿地到2030年达到20㎡/人。</w:t>
                  </w:r>
                </w:p>
                <w:p w14:paraId="318D07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（4.7）单位地区生产总值能耗降低率目标完成进度依据兵团统计局核定数据进行核查。</w:t>
                  </w:r>
                </w:p>
              </w:tc>
              <w:tc>
                <w:tcPr>
                  <w:tcW w:w="777" w:type="pct"/>
                  <w:tcBorders>
                    <w:tl2br w:val="nil"/>
                    <w:tr2bl w:val="nil"/>
                  </w:tcBorders>
                  <w:noWrap w:val="0"/>
                  <w:vAlign w:val="center"/>
                </w:tcPr>
                <w:p w14:paraId="6DE330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b w:val="0"/>
                      <w:bCs w:val="0"/>
                      <w:color w:val="auto"/>
                      <w:spacing w:val="0"/>
                      <w:kern w:val="2"/>
                      <w:position w:val="0"/>
                      <w:sz w:val="21"/>
                      <w:szCs w:val="21"/>
                      <w:highlight w:val="none"/>
                      <w:lang w:val="en-US" w:eastAsia="zh-CN" w:bidi="ar"/>
                    </w:rPr>
                  </w:pPr>
                  <w:r>
                    <w:rPr>
                      <w:rFonts w:hint="eastAsia" w:ascii="宋体" w:hAnsi="宋体" w:eastAsia="宋体" w:cs="宋体"/>
                      <w:b w:val="0"/>
                      <w:bCs w:val="0"/>
                      <w:color w:val="auto"/>
                      <w:spacing w:val="0"/>
                      <w:kern w:val="2"/>
                      <w:position w:val="0"/>
                      <w:sz w:val="21"/>
                      <w:szCs w:val="21"/>
                      <w:highlight w:val="none"/>
                      <w:lang w:val="en-US" w:eastAsia="zh-CN" w:bidi="ar"/>
                    </w:rPr>
                    <w:t>项目生产废水全部回用，符合要求；除尘设备收集粉尘、不合格品全部回用于生产，不外排，符合要求。</w:t>
                  </w:r>
                </w:p>
              </w:tc>
            </w:tr>
            <w:tr w14:paraId="16F3D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pct"/>
                  <w:vMerge w:val="restart"/>
                  <w:tcBorders>
                    <w:tl2br w:val="nil"/>
                    <w:tr2bl w:val="nil"/>
                  </w:tcBorders>
                  <w:noWrap w:val="0"/>
                  <w:vAlign w:val="center"/>
                </w:tcPr>
                <w:p w14:paraId="505F47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2"/>
                      <w:position w:val="0"/>
                      <w:sz w:val="21"/>
                      <w:szCs w:val="21"/>
                      <w:highlight w:val="none"/>
                      <w:lang w:val="en-US" w:eastAsia="zh-CN"/>
                    </w:rPr>
                  </w:pPr>
                  <w:r>
                    <w:rPr>
                      <w:rFonts w:hint="eastAsia" w:ascii="宋体" w:hAnsi="宋体" w:eastAsia="宋体" w:cs="宋体"/>
                      <w:color w:val="auto"/>
                      <w:spacing w:val="0"/>
                      <w:kern w:val="2"/>
                      <w:position w:val="0"/>
                      <w:sz w:val="21"/>
                      <w:szCs w:val="21"/>
                      <w:highlight w:val="none"/>
                      <w:lang w:val="en-US" w:eastAsia="zh-CN" w:bidi="ar"/>
                    </w:rPr>
                    <w:t>第七师胡杨河经济技术开发区重点管控单元</w:t>
                  </w:r>
                </w:p>
              </w:tc>
              <w:tc>
                <w:tcPr>
                  <w:tcW w:w="435" w:type="pct"/>
                  <w:vMerge w:val="restart"/>
                  <w:tcBorders>
                    <w:tl2br w:val="nil"/>
                    <w:tr2bl w:val="nil"/>
                  </w:tcBorders>
                  <w:noWrap w:val="0"/>
                  <w:vAlign w:val="center"/>
                </w:tcPr>
                <w:p w14:paraId="6847F2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2"/>
                      <w:position w:val="0"/>
                      <w:sz w:val="21"/>
                      <w:szCs w:val="21"/>
                      <w:highlight w:val="none"/>
                      <w:lang w:val="en-US" w:eastAsia="zh-CN"/>
                    </w:rPr>
                  </w:pPr>
                  <w:r>
                    <w:rPr>
                      <w:rFonts w:hint="eastAsia" w:ascii="宋体" w:hAnsi="宋体" w:eastAsia="宋体" w:cs="宋体"/>
                      <w:color w:val="auto"/>
                      <w:spacing w:val="0"/>
                      <w:kern w:val="2"/>
                      <w:position w:val="0"/>
                      <w:sz w:val="21"/>
                      <w:szCs w:val="21"/>
                      <w:highlight w:val="none"/>
                      <w:lang w:val="en-US" w:eastAsia="zh-CN" w:bidi="ar"/>
                    </w:rPr>
                    <w:t>重点管控单元</w:t>
                  </w:r>
                </w:p>
              </w:tc>
              <w:tc>
                <w:tcPr>
                  <w:tcW w:w="504" w:type="pct"/>
                  <w:tcBorders>
                    <w:tl2br w:val="nil"/>
                    <w:tr2bl w:val="nil"/>
                  </w:tcBorders>
                  <w:noWrap w:val="0"/>
                  <w:vAlign w:val="center"/>
                </w:tcPr>
                <w:p w14:paraId="329F53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2"/>
                      <w:position w:val="0"/>
                      <w:sz w:val="21"/>
                      <w:szCs w:val="21"/>
                      <w:highlight w:val="none"/>
                      <w:lang w:val="en-US" w:eastAsia="zh-CN"/>
                    </w:rPr>
                  </w:pPr>
                  <w:r>
                    <w:rPr>
                      <w:rFonts w:hint="default" w:ascii="Times New Roman" w:hAnsi="Times New Roman" w:eastAsia="宋体" w:cs="Times New Roman"/>
                      <w:color w:val="auto"/>
                      <w:spacing w:val="0"/>
                      <w:kern w:val="2"/>
                      <w:position w:val="0"/>
                      <w:sz w:val="21"/>
                      <w:szCs w:val="21"/>
                      <w:highlight w:val="none"/>
                      <w:lang w:val="en-US" w:eastAsia="zh-CN" w:bidi="ar"/>
                    </w:rPr>
                    <w:t>空间布局约束</w:t>
                  </w:r>
                </w:p>
              </w:tc>
              <w:tc>
                <w:tcPr>
                  <w:tcW w:w="2813" w:type="pct"/>
                  <w:tcBorders>
                    <w:tl2br w:val="nil"/>
                    <w:tr2bl w:val="nil"/>
                  </w:tcBorders>
                  <w:noWrap w:val="0"/>
                  <w:vAlign w:val="center"/>
                </w:tcPr>
                <w:p w14:paraId="6F95CA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2"/>
                      <w:position w:val="0"/>
                      <w:sz w:val="21"/>
                      <w:szCs w:val="21"/>
                      <w:highlight w:val="none"/>
                      <w:lang w:val="en-US" w:eastAsia="zh-CN"/>
                    </w:rPr>
                  </w:pPr>
                  <w:r>
                    <w:rPr>
                      <w:rFonts w:hint="default" w:ascii="Times New Roman" w:hAnsi="Times New Roman" w:eastAsia="宋体" w:cs="Times New Roman"/>
                      <w:color w:val="auto"/>
                      <w:spacing w:val="0"/>
                      <w:kern w:val="2"/>
                      <w:position w:val="0"/>
                      <w:sz w:val="21"/>
                      <w:szCs w:val="21"/>
                      <w:highlight w:val="none"/>
                      <w:lang w:val="en-US" w:eastAsia="zh-CN"/>
                    </w:rPr>
                    <w:t>（1）园区主导产业是：化工、新材料、纺织，园区以主导产业及其下游产业链为主要方向发展产业，准入产业需符合《产业结构调整指导目录（2019年本）》相关要求。</w:t>
                  </w:r>
                </w:p>
                <w:p w14:paraId="186042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2"/>
                      <w:position w:val="0"/>
                      <w:sz w:val="21"/>
                      <w:szCs w:val="21"/>
                      <w:highlight w:val="none"/>
                      <w:lang w:val="en-US" w:eastAsia="zh-CN"/>
                    </w:rPr>
                  </w:pPr>
                  <w:r>
                    <w:rPr>
                      <w:rFonts w:hint="default" w:ascii="Times New Roman" w:hAnsi="Times New Roman" w:eastAsia="宋体" w:cs="Times New Roman"/>
                      <w:color w:val="auto"/>
                      <w:spacing w:val="0"/>
                      <w:kern w:val="2"/>
                      <w:position w:val="0"/>
                      <w:sz w:val="21"/>
                      <w:szCs w:val="21"/>
                      <w:highlight w:val="none"/>
                      <w:lang w:val="en-US" w:eastAsia="zh-CN"/>
                    </w:rPr>
                    <w:t>【禁止类】</w:t>
                  </w:r>
                </w:p>
                <w:p w14:paraId="148FC7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2"/>
                      <w:position w:val="0"/>
                      <w:sz w:val="21"/>
                      <w:szCs w:val="21"/>
                      <w:highlight w:val="none"/>
                      <w:lang w:val="en-US" w:eastAsia="zh-CN"/>
                    </w:rPr>
                  </w:pPr>
                  <w:r>
                    <w:rPr>
                      <w:rFonts w:hint="default" w:ascii="Times New Roman" w:hAnsi="Times New Roman" w:eastAsia="宋体" w:cs="Times New Roman"/>
                      <w:color w:val="auto"/>
                      <w:spacing w:val="0"/>
                      <w:kern w:val="2"/>
                      <w:position w:val="0"/>
                      <w:sz w:val="21"/>
                      <w:szCs w:val="21"/>
                      <w:highlight w:val="none"/>
                      <w:lang w:val="en-US" w:eastAsia="zh-CN"/>
                    </w:rPr>
                    <w:t>（1.1.1）严格治理园区现有化工项目，提高化工项目入驻标准，重点发展精细化工、新材料等新兴产业。禁止类产业有：《指导目录》中的淘汰类和《清单草案》中的禁止准入类，以及不具备区域资源禀赋条件、不符合所处重点生态功能区开发管制原则的限制类、允许类、鼓励类产业。</w:t>
                  </w:r>
                </w:p>
                <w:p w14:paraId="4C094F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2"/>
                      <w:position w:val="0"/>
                      <w:sz w:val="21"/>
                      <w:szCs w:val="21"/>
                      <w:highlight w:val="none"/>
                      <w:lang w:val="en-US" w:eastAsia="zh-CN"/>
                    </w:rPr>
                  </w:pPr>
                  <w:r>
                    <w:rPr>
                      <w:rFonts w:hint="default" w:ascii="Times New Roman" w:hAnsi="Times New Roman" w:eastAsia="宋体" w:cs="Times New Roman"/>
                      <w:color w:val="auto"/>
                      <w:spacing w:val="0"/>
                      <w:kern w:val="2"/>
                      <w:position w:val="0"/>
                      <w:sz w:val="21"/>
                      <w:szCs w:val="21"/>
                      <w:highlight w:val="none"/>
                      <w:lang w:val="en-US" w:eastAsia="zh-CN"/>
                    </w:rPr>
                    <w:t>（1.1.2）禁止新建或扩建棉浆粕生产项目；禁止在《关于促进新疆纺织服装产业健康可持续发展的指导意见》（新政发〔2017〕155号）布局要求以外建设印染项目；禁止新建使用禁用的直接染料（冰染色基包括C.I.冰染色基11、C.I.冰染色基48、C.I.冰染色基112、C.I冰染色基113等）进行棉印染精加工的印染项目。</w:t>
                  </w:r>
                </w:p>
                <w:p w14:paraId="18985D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2"/>
                      <w:position w:val="0"/>
                      <w:sz w:val="21"/>
                      <w:szCs w:val="21"/>
                      <w:highlight w:val="none"/>
                      <w:lang w:val="en-US" w:eastAsia="zh-CN"/>
                    </w:rPr>
                  </w:pPr>
                  <w:r>
                    <w:rPr>
                      <w:rFonts w:hint="default" w:ascii="Times New Roman" w:hAnsi="Times New Roman" w:eastAsia="宋体" w:cs="Times New Roman"/>
                      <w:color w:val="auto"/>
                      <w:spacing w:val="0"/>
                      <w:kern w:val="2"/>
                      <w:position w:val="0"/>
                      <w:sz w:val="21"/>
                      <w:szCs w:val="21"/>
                      <w:highlight w:val="none"/>
                      <w:lang w:val="en-US" w:eastAsia="zh-CN"/>
                    </w:rPr>
                    <w:t>（1.1.3）劳动力密集型的非化工企业不得与化工企业混建在同一园区内。</w:t>
                  </w:r>
                </w:p>
                <w:p w14:paraId="311D4F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2"/>
                      <w:position w:val="0"/>
                      <w:sz w:val="21"/>
                      <w:szCs w:val="21"/>
                      <w:highlight w:val="none"/>
                      <w:lang w:val="en-US" w:eastAsia="zh-CN"/>
                    </w:rPr>
                  </w:pPr>
                  <w:r>
                    <w:rPr>
                      <w:rFonts w:hint="default" w:ascii="Times New Roman" w:hAnsi="Times New Roman" w:eastAsia="宋体" w:cs="Times New Roman"/>
                      <w:color w:val="auto"/>
                      <w:spacing w:val="0"/>
                      <w:kern w:val="2"/>
                      <w:position w:val="0"/>
                      <w:sz w:val="21"/>
                      <w:szCs w:val="21"/>
                      <w:highlight w:val="none"/>
                      <w:lang w:val="en-US" w:eastAsia="zh-CN"/>
                    </w:rPr>
                    <w:t>（1.1.4）在城市规划区边界外2千米（现有城市居民供气项目和钢铁生产企业厂区内配套项目除外）以内，主要河流两岸、高速公路两旁和其他严防污染的食品、药品等企业周边1千米以内禁止建设焦化项目，已在上述区域内投产运营的焦化企业，要根据该区域规划要求，在一定期限内，通过“搬迁、转产”等方式逐步退出。</w:t>
                  </w:r>
                </w:p>
                <w:p w14:paraId="266312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2"/>
                      <w:position w:val="0"/>
                      <w:sz w:val="21"/>
                      <w:szCs w:val="21"/>
                      <w:highlight w:val="none"/>
                      <w:lang w:val="en-US" w:eastAsia="zh-CN"/>
                    </w:rPr>
                  </w:pPr>
                  <w:r>
                    <w:rPr>
                      <w:rFonts w:hint="default" w:ascii="Times New Roman" w:hAnsi="Times New Roman" w:eastAsia="宋体" w:cs="Times New Roman"/>
                      <w:color w:val="auto"/>
                      <w:spacing w:val="0"/>
                      <w:kern w:val="2"/>
                      <w:position w:val="0"/>
                      <w:sz w:val="21"/>
                      <w:szCs w:val="21"/>
                      <w:highlight w:val="none"/>
                      <w:lang w:val="en-US" w:eastAsia="zh-CN"/>
                    </w:rPr>
                    <w:t>（1.1.5）兰炭产能过剩地区不得批准新建兰炭项目，除了在原有基础上进行技改以及煤化工配套的兰炭项目以外，对新建没有后续产业的兰炭项目原则上一律不予审批，另外自治区划定的大气污染联防联控区内严禁建设任何性质焦化项目。</w:t>
                  </w:r>
                </w:p>
                <w:p w14:paraId="56A1A1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2"/>
                      <w:position w:val="0"/>
                      <w:sz w:val="21"/>
                      <w:szCs w:val="21"/>
                      <w:highlight w:val="none"/>
                      <w:lang w:val="en-US" w:eastAsia="zh-CN"/>
                    </w:rPr>
                  </w:pPr>
                  <w:r>
                    <w:rPr>
                      <w:rFonts w:hint="default" w:ascii="Times New Roman" w:hAnsi="Times New Roman" w:eastAsia="宋体" w:cs="Times New Roman"/>
                      <w:color w:val="auto"/>
                      <w:spacing w:val="0"/>
                      <w:kern w:val="2"/>
                      <w:position w:val="0"/>
                      <w:sz w:val="21"/>
                      <w:szCs w:val="21"/>
                      <w:highlight w:val="none"/>
                      <w:lang w:val="en-US" w:eastAsia="zh-CN"/>
                    </w:rPr>
                    <w:t>（1.1.6）城市规划区边界外2千米以内，主要河流两岸、公路、铁路、水路干线两侧和其它严防污染的食品、药品、精密制造产品等企业周边1千米以内及大气污染防治重点控制区内，禁止新增电石生产装置、电石法聚氯乙烯和烧碱生产装置。</w:t>
                  </w:r>
                </w:p>
                <w:p w14:paraId="2D565F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2"/>
                      <w:position w:val="0"/>
                      <w:sz w:val="21"/>
                      <w:szCs w:val="21"/>
                      <w:highlight w:val="none"/>
                      <w:lang w:val="en-US" w:eastAsia="zh-CN"/>
                    </w:rPr>
                  </w:pPr>
                  <w:r>
                    <w:rPr>
                      <w:rFonts w:hint="default" w:ascii="Times New Roman" w:hAnsi="Times New Roman" w:eastAsia="宋体" w:cs="Times New Roman"/>
                      <w:color w:val="auto"/>
                      <w:spacing w:val="0"/>
                      <w:kern w:val="2"/>
                      <w:position w:val="0"/>
                      <w:sz w:val="21"/>
                      <w:szCs w:val="21"/>
                      <w:highlight w:val="none"/>
                      <w:lang w:val="en-US" w:eastAsia="zh-CN"/>
                    </w:rPr>
                    <w:t>【限制类】</w:t>
                  </w:r>
                </w:p>
                <w:p w14:paraId="5DD356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2"/>
                      <w:position w:val="0"/>
                      <w:sz w:val="21"/>
                      <w:szCs w:val="21"/>
                      <w:highlight w:val="none"/>
                      <w:lang w:val="en-US" w:eastAsia="zh-CN"/>
                    </w:rPr>
                  </w:pPr>
                  <w:r>
                    <w:rPr>
                      <w:rFonts w:hint="default" w:ascii="Times New Roman" w:hAnsi="Times New Roman" w:eastAsia="宋体" w:cs="Times New Roman"/>
                      <w:color w:val="auto"/>
                      <w:spacing w:val="0"/>
                      <w:kern w:val="2"/>
                      <w:position w:val="0"/>
                      <w:sz w:val="21"/>
                      <w:szCs w:val="21"/>
                      <w:highlight w:val="none"/>
                      <w:lang w:val="en-US" w:eastAsia="zh-CN"/>
                    </w:rPr>
                    <w:t>（1.2.1）限制类产业有：《指导目录》中的限制类和《清单草案》中的限制准入类（已列入清单禁止类的产业除外），以及与所处重点生态功能区发展方向和开发管制原则不相符合的允许类、鼓励类产业。</w:t>
                  </w:r>
                </w:p>
                <w:p w14:paraId="050157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2"/>
                      <w:position w:val="0"/>
                      <w:sz w:val="21"/>
                      <w:szCs w:val="21"/>
                      <w:highlight w:val="none"/>
                      <w:lang w:val="en-US" w:eastAsia="zh-CN"/>
                    </w:rPr>
                  </w:pPr>
                  <w:r>
                    <w:rPr>
                      <w:rFonts w:hint="default" w:ascii="Times New Roman" w:hAnsi="Times New Roman" w:eastAsia="宋体" w:cs="Times New Roman"/>
                      <w:color w:val="auto"/>
                      <w:spacing w:val="0"/>
                      <w:kern w:val="2"/>
                      <w:position w:val="0"/>
                      <w:sz w:val="21"/>
                      <w:szCs w:val="21"/>
                      <w:highlight w:val="none"/>
                      <w:lang w:val="en-US" w:eastAsia="zh-CN"/>
                    </w:rPr>
                    <w:t>（1.2.2）对于高耗能项目，必须实行能源及环境评估，其指标不得高于同行业能耗标准值。</w:t>
                  </w:r>
                </w:p>
                <w:p w14:paraId="30909C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2"/>
                      <w:position w:val="0"/>
                      <w:sz w:val="21"/>
                      <w:szCs w:val="21"/>
                      <w:highlight w:val="none"/>
                      <w:lang w:val="en-US" w:eastAsia="zh-CN"/>
                    </w:rPr>
                  </w:pPr>
                  <w:r>
                    <w:rPr>
                      <w:rFonts w:hint="default" w:ascii="Times New Roman" w:hAnsi="Times New Roman" w:eastAsia="宋体" w:cs="Times New Roman"/>
                      <w:color w:val="auto"/>
                      <w:spacing w:val="0"/>
                      <w:kern w:val="2"/>
                      <w:position w:val="0"/>
                      <w:sz w:val="21"/>
                      <w:szCs w:val="21"/>
                      <w:highlight w:val="none"/>
                      <w:lang w:val="en-US" w:eastAsia="zh-CN"/>
                    </w:rPr>
                    <w:t>（1.2.3）劳动力密集型的非化工企业与化工企业应分区建设。</w:t>
                  </w:r>
                </w:p>
                <w:p w14:paraId="1F47A5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2"/>
                      <w:position w:val="0"/>
                      <w:sz w:val="21"/>
                      <w:szCs w:val="21"/>
                      <w:highlight w:val="none"/>
                      <w:lang w:val="en-US" w:eastAsia="zh-CN"/>
                    </w:rPr>
                  </w:pPr>
                  <w:r>
                    <w:rPr>
                      <w:rFonts w:hint="default" w:ascii="Times New Roman" w:hAnsi="Times New Roman" w:eastAsia="宋体" w:cs="Times New Roman"/>
                      <w:color w:val="auto"/>
                      <w:spacing w:val="0"/>
                      <w:kern w:val="2"/>
                      <w:position w:val="0"/>
                      <w:sz w:val="21"/>
                      <w:szCs w:val="21"/>
                      <w:highlight w:val="none"/>
                      <w:lang w:val="en-US" w:eastAsia="zh-CN"/>
                    </w:rPr>
                    <w:t>（1.2.4）合理产业布局，优化资源配置，将污染相对较大的工业项目布局在北区，远离胡杨河市。</w:t>
                  </w:r>
                </w:p>
                <w:p w14:paraId="37DAD4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2"/>
                      <w:position w:val="0"/>
                      <w:sz w:val="21"/>
                      <w:szCs w:val="21"/>
                      <w:highlight w:val="none"/>
                      <w:lang w:val="en-US" w:eastAsia="zh-CN"/>
                    </w:rPr>
                  </w:pPr>
                  <w:r>
                    <w:rPr>
                      <w:rFonts w:hint="default" w:ascii="Times New Roman" w:hAnsi="Times New Roman" w:eastAsia="宋体" w:cs="Times New Roman"/>
                      <w:color w:val="auto"/>
                      <w:spacing w:val="0"/>
                      <w:kern w:val="2"/>
                      <w:position w:val="0"/>
                      <w:sz w:val="21"/>
                      <w:szCs w:val="21"/>
                      <w:highlight w:val="none"/>
                      <w:lang w:val="en-US" w:eastAsia="zh-CN"/>
                    </w:rPr>
                    <w:t>（1.2.5）棉浆粕、粘胶纤维项目卫生防护距离通过环境影响评价计算确定，棉纺、印染项目卫生防护距离执行《纺织业卫生防护距离第1部分：棉、化纤纺织及印染精加工业》（GB18080.1）。项目卫生防护距离内不得规划、建设居民区、学校、医院等环境敏感目标，对于已存在的环境敏感目标要采取合理措施加以保护。</w:t>
                  </w:r>
                </w:p>
                <w:p w14:paraId="113C95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2"/>
                      <w:position w:val="0"/>
                      <w:sz w:val="21"/>
                      <w:szCs w:val="21"/>
                      <w:highlight w:val="none"/>
                      <w:lang w:val="en-US" w:eastAsia="zh-CN"/>
                    </w:rPr>
                  </w:pPr>
                  <w:r>
                    <w:rPr>
                      <w:rFonts w:hint="default" w:ascii="Times New Roman" w:hAnsi="Times New Roman" w:eastAsia="宋体" w:cs="Times New Roman"/>
                      <w:color w:val="auto"/>
                      <w:spacing w:val="0"/>
                      <w:kern w:val="2"/>
                      <w:position w:val="0"/>
                      <w:sz w:val="21"/>
                      <w:szCs w:val="21"/>
                      <w:highlight w:val="none"/>
                      <w:lang w:val="en-US" w:eastAsia="zh-CN"/>
                    </w:rPr>
                    <w:t>【鼓励类】</w:t>
                  </w:r>
                </w:p>
                <w:p w14:paraId="7FC553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2"/>
                      <w:position w:val="0"/>
                      <w:sz w:val="21"/>
                      <w:szCs w:val="21"/>
                      <w:highlight w:val="none"/>
                      <w:lang w:val="en-US" w:eastAsia="zh-CN"/>
                    </w:rPr>
                  </w:pPr>
                  <w:r>
                    <w:rPr>
                      <w:rFonts w:hint="default" w:ascii="Times New Roman" w:hAnsi="Times New Roman" w:eastAsia="宋体" w:cs="Times New Roman"/>
                      <w:color w:val="auto"/>
                      <w:spacing w:val="0"/>
                      <w:kern w:val="2"/>
                      <w:position w:val="0"/>
                      <w:sz w:val="21"/>
                      <w:szCs w:val="21"/>
                      <w:highlight w:val="none"/>
                      <w:lang w:val="en-US" w:eastAsia="zh-CN"/>
                    </w:rPr>
                    <w:t>（1.3.1）围绕交通运输、轻工纺织、化学建材、电子信息产业等行业积极开发化工新材料；发展精细化工产业。</w:t>
                  </w:r>
                </w:p>
                <w:p w14:paraId="33B1A5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2"/>
                      <w:position w:val="0"/>
                      <w:sz w:val="21"/>
                      <w:szCs w:val="21"/>
                      <w:highlight w:val="none"/>
                      <w:lang w:val="en-US" w:eastAsia="zh-CN"/>
                    </w:rPr>
                  </w:pPr>
                  <w:r>
                    <w:rPr>
                      <w:rFonts w:hint="default" w:ascii="Times New Roman" w:hAnsi="Times New Roman" w:eastAsia="宋体" w:cs="Times New Roman"/>
                      <w:color w:val="auto"/>
                      <w:spacing w:val="0"/>
                      <w:kern w:val="2"/>
                      <w:position w:val="0"/>
                      <w:sz w:val="21"/>
                      <w:szCs w:val="21"/>
                      <w:highlight w:val="none"/>
                      <w:lang w:val="en-US" w:eastAsia="zh-CN"/>
                    </w:rPr>
                    <w:t>（1.3.2）加快发展合成纤维。积极发展多功能纤维和生物质纤维。全力发展服装、家纺、针织产业，加快培育产业用纺织品产业。</w:t>
                  </w:r>
                </w:p>
                <w:p w14:paraId="14D79F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2"/>
                      <w:position w:val="0"/>
                      <w:sz w:val="21"/>
                      <w:szCs w:val="21"/>
                      <w:highlight w:val="none"/>
                      <w:lang w:val="en-US" w:eastAsia="zh-CN"/>
                    </w:rPr>
                  </w:pPr>
                  <w:r>
                    <w:rPr>
                      <w:rFonts w:hint="default" w:ascii="Times New Roman" w:hAnsi="Times New Roman" w:eastAsia="宋体" w:cs="Times New Roman"/>
                      <w:color w:val="auto"/>
                      <w:spacing w:val="0"/>
                      <w:kern w:val="2"/>
                      <w:position w:val="0"/>
                      <w:sz w:val="21"/>
                      <w:szCs w:val="21"/>
                      <w:highlight w:val="none"/>
                      <w:lang w:val="en-US" w:eastAsia="zh-CN"/>
                    </w:rPr>
                    <w:t>（1.3.3）鼓励七师胡杨河市发展煤化工及氯碱化工深加工项目、纺织服装深加工项目和碳、铝、硅基新材料项目。</w:t>
                  </w:r>
                </w:p>
                <w:p w14:paraId="526C97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2"/>
                      <w:position w:val="0"/>
                      <w:sz w:val="21"/>
                      <w:szCs w:val="21"/>
                      <w:highlight w:val="none"/>
                      <w:lang w:val="en-US" w:eastAsia="zh-CN"/>
                    </w:rPr>
                  </w:pPr>
                  <w:r>
                    <w:rPr>
                      <w:rFonts w:hint="default" w:ascii="Times New Roman" w:hAnsi="Times New Roman" w:eastAsia="宋体" w:cs="Times New Roman"/>
                      <w:color w:val="auto"/>
                      <w:spacing w:val="0"/>
                      <w:kern w:val="2"/>
                      <w:position w:val="0"/>
                      <w:sz w:val="21"/>
                      <w:szCs w:val="21"/>
                      <w:highlight w:val="none"/>
                      <w:lang w:val="en-US" w:eastAsia="zh-CN"/>
                    </w:rPr>
                    <w:t>（1.3.4）支持企业充分利用新疆石油、煤炭和盐3大优势资源向下游产业发展。延伸烯烃、芳烃产业链，围绕交通运输、轻工纺织、化学建材、电子信息产业等行业积极开发化工新材料；发展精细化工产业。有序发展煤制燃料、煤制烯烃、煤制乙二醇、煤制芳烃（甲醇制芳烃）、煤炭提质转化、煤炭综合利用等现代煤化工项目；推进油煤共炼工艺技术的产业化应用。</w:t>
                  </w:r>
                </w:p>
                <w:p w14:paraId="3E2367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2"/>
                      <w:position w:val="0"/>
                      <w:sz w:val="21"/>
                      <w:szCs w:val="21"/>
                      <w:highlight w:val="none"/>
                      <w:lang w:val="en-US" w:eastAsia="zh-CN"/>
                    </w:rPr>
                  </w:pPr>
                  <w:r>
                    <w:rPr>
                      <w:rFonts w:hint="default" w:ascii="Times New Roman" w:hAnsi="Times New Roman" w:eastAsia="宋体" w:cs="Times New Roman"/>
                      <w:color w:val="auto"/>
                      <w:spacing w:val="0"/>
                      <w:kern w:val="2"/>
                      <w:position w:val="0"/>
                      <w:sz w:val="21"/>
                      <w:szCs w:val="21"/>
                      <w:highlight w:val="none"/>
                      <w:lang w:val="en-US" w:eastAsia="zh-CN"/>
                    </w:rPr>
                    <w:t>（1.4）化工园区内凡存在重大事故隐患、生产工艺技术落后、不具备安全生产条件的企业，责令停产整顿，整改无望的或整改后仍不能达到要求的企业，应依法予以关闭。</w:t>
                  </w:r>
                </w:p>
              </w:tc>
              <w:tc>
                <w:tcPr>
                  <w:tcW w:w="777" w:type="pct"/>
                  <w:tcBorders>
                    <w:tl2br w:val="nil"/>
                    <w:tr2bl w:val="nil"/>
                  </w:tcBorders>
                  <w:noWrap w:val="0"/>
                  <w:vAlign w:val="center"/>
                </w:tcPr>
                <w:p w14:paraId="1C88A7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2"/>
                      <w:position w:val="0"/>
                      <w:sz w:val="21"/>
                      <w:szCs w:val="21"/>
                      <w:highlight w:val="none"/>
                      <w:lang w:val="en-US" w:eastAsia="zh-CN"/>
                    </w:rPr>
                  </w:pPr>
                  <w:r>
                    <w:rPr>
                      <w:rFonts w:hint="eastAsia" w:ascii="Times New Roman" w:hAnsi="Times New Roman" w:eastAsia="宋体" w:cs="Times New Roman"/>
                      <w:color w:val="auto"/>
                      <w:spacing w:val="0"/>
                      <w:kern w:val="2"/>
                      <w:position w:val="0"/>
                      <w:sz w:val="21"/>
                      <w:szCs w:val="21"/>
                      <w:highlight w:val="none"/>
                      <w:lang w:val="en-US" w:eastAsia="zh-CN"/>
                    </w:rPr>
                    <w:t>本项目符合《产业结构调整指导目录（2024年本）》要求；不属于管控要求中禁止类及限制类，因此符合要求。</w:t>
                  </w:r>
                </w:p>
              </w:tc>
            </w:tr>
            <w:tr w14:paraId="16DDC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pct"/>
                  <w:vMerge w:val="continue"/>
                  <w:tcBorders>
                    <w:tl2br w:val="nil"/>
                    <w:tr2bl w:val="nil"/>
                  </w:tcBorders>
                  <w:noWrap w:val="0"/>
                  <w:vAlign w:val="center"/>
                </w:tcPr>
                <w:p w14:paraId="37D144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pacing w:val="0"/>
                      <w:position w:val="0"/>
                      <w:sz w:val="20"/>
                      <w:szCs w:val="20"/>
                      <w:highlight w:val="none"/>
                      <w:lang w:val="en-US" w:eastAsia="zh-CN"/>
                    </w:rPr>
                  </w:pPr>
                </w:p>
              </w:tc>
              <w:tc>
                <w:tcPr>
                  <w:tcW w:w="435" w:type="pct"/>
                  <w:vMerge w:val="continue"/>
                  <w:tcBorders>
                    <w:tl2br w:val="nil"/>
                    <w:tr2bl w:val="nil"/>
                  </w:tcBorders>
                  <w:noWrap w:val="0"/>
                  <w:vAlign w:val="center"/>
                </w:tcPr>
                <w:p w14:paraId="4FBBE4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pacing w:val="0"/>
                      <w:position w:val="0"/>
                      <w:sz w:val="20"/>
                      <w:szCs w:val="20"/>
                      <w:highlight w:val="none"/>
                      <w:lang w:val="en-US" w:eastAsia="zh-CN"/>
                    </w:rPr>
                  </w:pPr>
                </w:p>
              </w:tc>
              <w:tc>
                <w:tcPr>
                  <w:tcW w:w="504" w:type="pct"/>
                  <w:tcBorders>
                    <w:tl2br w:val="nil"/>
                    <w:tr2bl w:val="nil"/>
                  </w:tcBorders>
                  <w:noWrap w:val="0"/>
                  <w:vAlign w:val="center"/>
                </w:tcPr>
                <w:p w14:paraId="2A030E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2"/>
                      <w:position w:val="0"/>
                      <w:sz w:val="21"/>
                      <w:szCs w:val="21"/>
                      <w:highlight w:val="none"/>
                      <w:lang w:val="en-US" w:eastAsia="zh-CN"/>
                    </w:rPr>
                  </w:pPr>
                  <w:r>
                    <w:rPr>
                      <w:rFonts w:hint="default" w:ascii="Times New Roman" w:hAnsi="Times New Roman" w:eastAsia="宋体" w:cs="Times New Roman"/>
                      <w:color w:val="auto"/>
                      <w:spacing w:val="0"/>
                      <w:kern w:val="2"/>
                      <w:position w:val="0"/>
                      <w:sz w:val="21"/>
                      <w:szCs w:val="21"/>
                      <w:highlight w:val="none"/>
                      <w:lang w:val="en-US" w:eastAsia="zh-CN" w:bidi="ar"/>
                    </w:rPr>
                    <w:t>污染物排放管控</w:t>
                  </w:r>
                </w:p>
              </w:tc>
              <w:tc>
                <w:tcPr>
                  <w:tcW w:w="2813" w:type="pct"/>
                  <w:tcBorders>
                    <w:tl2br w:val="nil"/>
                    <w:tr2bl w:val="nil"/>
                  </w:tcBorders>
                  <w:noWrap w:val="0"/>
                  <w:vAlign w:val="center"/>
                </w:tcPr>
                <w:p w14:paraId="13E339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pacing w:val="0"/>
                      <w:position w:val="0"/>
                      <w:szCs w:val="21"/>
                      <w:highlight w:val="none"/>
                    </w:rPr>
                  </w:pPr>
                  <w:r>
                    <w:rPr>
                      <w:rFonts w:hint="default" w:ascii="Times New Roman" w:hAnsi="Times New Roman" w:cs="Times New Roman"/>
                      <w:color w:val="auto"/>
                      <w:spacing w:val="0"/>
                      <w:position w:val="0"/>
                      <w:szCs w:val="21"/>
                      <w:highlight w:val="none"/>
                    </w:rPr>
                    <w:t>（2.1）废水处理：</w:t>
                  </w:r>
                </w:p>
                <w:p w14:paraId="29B80B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pacing w:val="0"/>
                      <w:position w:val="0"/>
                      <w:szCs w:val="21"/>
                      <w:highlight w:val="none"/>
                    </w:rPr>
                  </w:pPr>
                  <w:r>
                    <w:rPr>
                      <w:rFonts w:hint="default" w:ascii="Times New Roman" w:hAnsi="Times New Roman" w:cs="Times New Roman"/>
                      <w:color w:val="auto"/>
                      <w:spacing w:val="0"/>
                      <w:position w:val="0"/>
                      <w:szCs w:val="21"/>
                      <w:highlight w:val="none"/>
                    </w:rPr>
                    <w:t>（2.1.1）企业预处理达标废水经园区污水处理厂和中水厂处理满足中水回用标准，用于企业循环冷却、园区绿化、洒水降尘等。</w:t>
                  </w:r>
                </w:p>
                <w:p w14:paraId="4C3894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pacing w:val="0"/>
                      <w:position w:val="0"/>
                      <w:szCs w:val="21"/>
                      <w:highlight w:val="none"/>
                    </w:rPr>
                  </w:pPr>
                  <w:r>
                    <w:rPr>
                      <w:rFonts w:hint="default" w:ascii="Times New Roman" w:hAnsi="Times New Roman" w:cs="Times New Roman"/>
                      <w:color w:val="auto"/>
                      <w:spacing w:val="0"/>
                      <w:position w:val="0"/>
                      <w:szCs w:val="21"/>
                      <w:highlight w:val="none"/>
                    </w:rPr>
                    <w:t>（2.1.2）各企业按清污分流原则建立完善的排水系统和事故池，严禁将高浓度废水稀释排放。选择节水工艺，鼓励一水多用，减少废水排放。</w:t>
                  </w:r>
                </w:p>
                <w:p w14:paraId="05FB3D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pacing w:val="0"/>
                      <w:position w:val="0"/>
                      <w:szCs w:val="21"/>
                      <w:highlight w:val="none"/>
                    </w:rPr>
                  </w:pPr>
                  <w:r>
                    <w:rPr>
                      <w:rFonts w:hint="default" w:ascii="Times New Roman" w:hAnsi="Times New Roman" w:cs="Times New Roman"/>
                      <w:color w:val="auto"/>
                      <w:spacing w:val="0"/>
                      <w:position w:val="0"/>
                      <w:szCs w:val="21"/>
                      <w:highlight w:val="none"/>
                    </w:rPr>
                    <w:t>（2.1.3）园区废水集中收集，分质处理。强化高盐污水处理处置，制定中水回用及处置去向。污水处理装置具体规模的设置应根据园区建设的进程予以协调，设置中水回用装置，减少外排水量。</w:t>
                  </w:r>
                </w:p>
                <w:p w14:paraId="450704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pacing w:val="0"/>
                      <w:position w:val="0"/>
                      <w:szCs w:val="21"/>
                      <w:highlight w:val="none"/>
                    </w:rPr>
                  </w:pPr>
                  <w:r>
                    <w:rPr>
                      <w:rFonts w:hint="default" w:ascii="Times New Roman" w:hAnsi="Times New Roman" w:cs="Times New Roman"/>
                      <w:color w:val="auto"/>
                      <w:spacing w:val="0"/>
                      <w:position w:val="0"/>
                      <w:szCs w:val="21"/>
                      <w:highlight w:val="none"/>
                    </w:rPr>
                    <w:t>（2.1.4）新入驻企业场内必须设置污水处理及中水回用及消防设施装置。</w:t>
                  </w:r>
                </w:p>
                <w:p w14:paraId="101421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pacing w:val="0"/>
                      <w:position w:val="0"/>
                      <w:szCs w:val="21"/>
                      <w:highlight w:val="none"/>
                    </w:rPr>
                  </w:pPr>
                  <w:r>
                    <w:rPr>
                      <w:rFonts w:hint="default" w:ascii="Times New Roman" w:hAnsi="Times New Roman" w:cs="Times New Roman"/>
                      <w:color w:val="auto"/>
                      <w:spacing w:val="0"/>
                      <w:position w:val="0"/>
                      <w:szCs w:val="21"/>
                      <w:highlight w:val="none"/>
                    </w:rPr>
                    <w:t>（2.2）废气处理：</w:t>
                  </w:r>
                </w:p>
                <w:p w14:paraId="31129D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pacing w:val="0"/>
                      <w:position w:val="0"/>
                      <w:szCs w:val="21"/>
                      <w:highlight w:val="none"/>
                    </w:rPr>
                  </w:pPr>
                  <w:r>
                    <w:rPr>
                      <w:rFonts w:hint="default" w:ascii="Times New Roman" w:hAnsi="Times New Roman" w:cs="Times New Roman"/>
                      <w:color w:val="auto"/>
                      <w:spacing w:val="0"/>
                      <w:position w:val="0"/>
                      <w:szCs w:val="21"/>
                      <w:highlight w:val="none"/>
                    </w:rPr>
                    <w:t>（2.2.1）严格控制有毒和有害气体的排放，并对有毒和有害气体排放实施在线自动检测仪监控。各装置反应尾气排放气、紧急事故排放气、罐区低压排放气等视其情况或送入各装置的火炬系统、焚烧炉或进入燃料气系统回收利用。煤化工项目采用高效的除尘设备。</w:t>
                  </w:r>
                </w:p>
                <w:p w14:paraId="3E67A9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pacing w:val="0"/>
                      <w:position w:val="0"/>
                      <w:szCs w:val="21"/>
                      <w:highlight w:val="none"/>
                    </w:rPr>
                  </w:pPr>
                  <w:r>
                    <w:rPr>
                      <w:rFonts w:hint="default" w:ascii="Times New Roman" w:hAnsi="Times New Roman" w:cs="Times New Roman"/>
                      <w:color w:val="auto"/>
                      <w:spacing w:val="0"/>
                      <w:position w:val="0"/>
                      <w:szCs w:val="21"/>
                      <w:highlight w:val="none"/>
                    </w:rPr>
                    <w:t>（2.2.2）加强对企业的粉尘、烟尘污染治理。开展金属制品业酸雾等工艺废气污染控制与治理，提升行业装备水平，完善废气收集系统，减少无组织排放，做到工艺废气排放浓度和厂界浓度双达标。</w:t>
                  </w:r>
                </w:p>
                <w:p w14:paraId="1EAFA7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pacing w:val="0"/>
                      <w:position w:val="0"/>
                      <w:szCs w:val="21"/>
                      <w:highlight w:val="none"/>
                    </w:rPr>
                  </w:pPr>
                  <w:r>
                    <w:rPr>
                      <w:rFonts w:hint="default" w:ascii="Times New Roman" w:hAnsi="Times New Roman" w:cs="Times New Roman"/>
                      <w:color w:val="auto"/>
                      <w:spacing w:val="0"/>
                      <w:position w:val="0"/>
                      <w:szCs w:val="21"/>
                      <w:highlight w:val="none"/>
                    </w:rPr>
                    <w:t>（2.2.3）含尘炉气或利用后的再生气必须经除尘处理后达标排放，捕集后的粉尘不能造成二次污染。</w:t>
                  </w:r>
                </w:p>
                <w:p w14:paraId="76060A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pacing w:val="0"/>
                      <w:position w:val="0"/>
                      <w:szCs w:val="21"/>
                      <w:highlight w:val="none"/>
                    </w:rPr>
                  </w:pPr>
                  <w:r>
                    <w:rPr>
                      <w:rFonts w:hint="default" w:ascii="Times New Roman" w:hAnsi="Times New Roman" w:cs="Times New Roman"/>
                      <w:color w:val="auto"/>
                      <w:spacing w:val="0"/>
                      <w:position w:val="0"/>
                      <w:szCs w:val="21"/>
                      <w:highlight w:val="none"/>
                    </w:rPr>
                    <w:t>（2.3）固废处理：</w:t>
                  </w:r>
                </w:p>
                <w:p w14:paraId="4BD2F6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pacing w:val="0"/>
                      <w:position w:val="0"/>
                      <w:szCs w:val="21"/>
                      <w:highlight w:val="none"/>
                    </w:rPr>
                  </w:pPr>
                  <w:r>
                    <w:rPr>
                      <w:rFonts w:hint="default" w:ascii="Times New Roman" w:hAnsi="Times New Roman" w:cs="Times New Roman"/>
                      <w:color w:val="auto"/>
                      <w:spacing w:val="0"/>
                      <w:position w:val="0"/>
                      <w:szCs w:val="21"/>
                      <w:highlight w:val="none"/>
                    </w:rPr>
                    <w:t>（2.3.1）工业园区的生活垃圾近期依托五五新镇生活垃圾填埋场进行处理。园区内产生的生活垃圾用专门容器收集后通过专用垃圾车运送市政生活垃圾处置设施进行处置。生活垃圾分类处理，无害化资源化处理。推广垃圾袋装化，对垃圾中有用的物质（如废纸、金属、玻璃等）回收。</w:t>
                  </w:r>
                </w:p>
                <w:p w14:paraId="2EA4D6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pacing w:val="0"/>
                      <w:position w:val="0"/>
                      <w:szCs w:val="21"/>
                      <w:highlight w:val="none"/>
                    </w:rPr>
                  </w:pPr>
                  <w:r>
                    <w:rPr>
                      <w:rFonts w:hint="default" w:ascii="Times New Roman" w:hAnsi="Times New Roman" w:cs="Times New Roman"/>
                      <w:color w:val="auto"/>
                      <w:spacing w:val="0"/>
                      <w:position w:val="0"/>
                      <w:szCs w:val="21"/>
                      <w:highlight w:val="none"/>
                    </w:rPr>
                    <w:t>（2.3.2）一般固体废物实行综合利用，对不可综合利用的一般固体废物，应送往一般工业固体废物处理处置场所，进行安全填埋处置。园区产生的危险固体废弃物主要包括少量废旧催化剂、高沸物，污水处理装置产生的污泥，外送委托有相关危险废物处理资质的企业进行安全处置。在园区内建设危险废物临时贮存库，并进行防渗和排水设计。按照国家有关规定办理危险废物申报转移的</w:t>
                  </w:r>
                  <w:r>
                    <w:rPr>
                      <w:rFonts w:hint="default" w:ascii="Times New Roman" w:hAnsi="Times New Roman" w:cs="Times New Roman"/>
                      <w:color w:val="auto"/>
                      <w:spacing w:val="0"/>
                      <w:position w:val="0"/>
                      <w:szCs w:val="21"/>
                      <w:highlight w:val="none"/>
                      <w:lang w:eastAsia="zh-CN"/>
                    </w:rPr>
                    <w:t>“</w:t>
                  </w:r>
                  <w:r>
                    <w:rPr>
                      <w:rFonts w:hint="default" w:ascii="Times New Roman" w:hAnsi="Times New Roman" w:cs="Times New Roman"/>
                      <w:color w:val="auto"/>
                      <w:spacing w:val="0"/>
                      <w:position w:val="0"/>
                      <w:szCs w:val="21"/>
                      <w:highlight w:val="none"/>
                    </w:rPr>
                    <w:t>五联单</w:t>
                  </w:r>
                  <w:r>
                    <w:rPr>
                      <w:rFonts w:hint="default" w:ascii="Times New Roman" w:hAnsi="Times New Roman" w:cs="Times New Roman"/>
                      <w:color w:val="auto"/>
                      <w:spacing w:val="0"/>
                      <w:position w:val="0"/>
                      <w:szCs w:val="21"/>
                      <w:highlight w:val="none"/>
                      <w:lang w:eastAsia="zh-CN"/>
                    </w:rPr>
                    <w:t>”</w:t>
                  </w:r>
                  <w:r>
                    <w:rPr>
                      <w:rFonts w:hint="default" w:ascii="Times New Roman" w:hAnsi="Times New Roman" w:cs="Times New Roman"/>
                      <w:color w:val="auto"/>
                      <w:spacing w:val="0"/>
                      <w:position w:val="0"/>
                      <w:szCs w:val="21"/>
                      <w:highlight w:val="none"/>
                    </w:rPr>
                    <w:t>手续，并在贮运过程中严格执行危险化学品贮存、运输和监管的有关规定。</w:t>
                  </w:r>
                </w:p>
                <w:p w14:paraId="7FA6FF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pacing w:val="0"/>
                      <w:position w:val="0"/>
                      <w:szCs w:val="21"/>
                      <w:highlight w:val="none"/>
                    </w:rPr>
                  </w:pPr>
                  <w:r>
                    <w:rPr>
                      <w:rFonts w:hint="default" w:ascii="Times New Roman" w:hAnsi="Times New Roman" w:cs="Times New Roman"/>
                      <w:color w:val="auto"/>
                      <w:spacing w:val="0"/>
                      <w:position w:val="0"/>
                      <w:szCs w:val="21"/>
                      <w:highlight w:val="none"/>
                    </w:rPr>
                    <w:t>（2.3.3）大力推进一般工业固体废物的减量化、资源化和无害化工作。园区一般固体废物综合利用率不低于60%，对于无法综合利用的固体废物，在区外建设灰渣填埋场填埋。</w:t>
                  </w:r>
                </w:p>
                <w:p w14:paraId="4FA680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Cs w:val="21"/>
                      <w:highlight w:val="none"/>
                    </w:rPr>
                    <w:t>（2.4）</w:t>
                  </w:r>
                  <w:r>
                    <w:rPr>
                      <w:rFonts w:hint="default" w:ascii="Times New Roman" w:hAnsi="Times New Roman" w:cs="Times New Roman"/>
                      <w:color w:val="auto"/>
                      <w:spacing w:val="0"/>
                      <w:position w:val="0"/>
                      <w:szCs w:val="21"/>
                      <w:highlight w:val="none"/>
                      <w:shd w:val="clear" w:color="auto" w:fill="auto"/>
                    </w:rPr>
                    <w:t>园区开展规划环评，需重点分析园区主要污染物排放对胡杨河市影响，确保胡杨河市环境空气质量稳定达标。</w:t>
                  </w:r>
                </w:p>
              </w:tc>
              <w:tc>
                <w:tcPr>
                  <w:tcW w:w="777" w:type="pct"/>
                  <w:tcBorders>
                    <w:tl2br w:val="nil"/>
                    <w:tr2bl w:val="nil"/>
                  </w:tcBorders>
                  <w:noWrap w:val="0"/>
                  <w:vAlign w:val="center"/>
                </w:tcPr>
                <w:p w14:paraId="1BB2AF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2"/>
                      <w:position w:val="0"/>
                      <w:sz w:val="21"/>
                      <w:szCs w:val="21"/>
                      <w:highlight w:val="none"/>
                      <w:lang w:val="en-US" w:eastAsia="zh-CN"/>
                    </w:rPr>
                  </w:pPr>
                  <w:r>
                    <w:rPr>
                      <w:rFonts w:hint="eastAsia" w:ascii="Times New Roman" w:hAnsi="Times New Roman" w:eastAsia="宋体" w:cs="Times New Roman"/>
                      <w:color w:val="auto"/>
                      <w:spacing w:val="0"/>
                      <w:kern w:val="2"/>
                      <w:position w:val="0"/>
                      <w:sz w:val="21"/>
                      <w:szCs w:val="21"/>
                      <w:highlight w:val="none"/>
                      <w:lang w:val="en-US" w:eastAsia="zh-CN"/>
                    </w:rPr>
                    <w:t>本项目设备清洗用水全部回用于生产，不外排；生活污水排入园区管网后进入园区污水处理厂处理，符合要求；本项目废气均能做到达标排放；除尘设备收集粉尘、不合格品、冲洗废渣全部回用于生产，不外排；废机油等危废暂存于</w:t>
                  </w:r>
                  <w:r>
                    <w:rPr>
                      <w:rFonts w:hint="eastAsia" w:cs="Times New Roman"/>
                      <w:color w:val="auto"/>
                      <w:spacing w:val="0"/>
                      <w:kern w:val="2"/>
                      <w:position w:val="0"/>
                      <w:sz w:val="21"/>
                      <w:szCs w:val="21"/>
                      <w:highlight w:val="none"/>
                      <w:lang w:val="en-US" w:eastAsia="zh-CN"/>
                    </w:rPr>
                    <w:t>危废贮存库</w:t>
                  </w:r>
                  <w:r>
                    <w:rPr>
                      <w:rFonts w:hint="eastAsia" w:ascii="Times New Roman" w:hAnsi="Times New Roman" w:eastAsia="宋体" w:cs="Times New Roman"/>
                      <w:color w:val="auto"/>
                      <w:spacing w:val="0"/>
                      <w:kern w:val="2"/>
                      <w:position w:val="0"/>
                      <w:sz w:val="21"/>
                      <w:szCs w:val="21"/>
                      <w:highlight w:val="none"/>
                      <w:lang w:val="en-US" w:eastAsia="zh-CN"/>
                    </w:rPr>
                    <w:t>内，定期委托有资质单位统一处理，符合要求。</w:t>
                  </w:r>
                </w:p>
              </w:tc>
            </w:tr>
            <w:tr w14:paraId="343A0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pct"/>
                  <w:vMerge w:val="continue"/>
                  <w:tcBorders>
                    <w:tl2br w:val="nil"/>
                    <w:tr2bl w:val="nil"/>
                  </w:tcBorders>
                  <w:noWrap w:val="0"/>
                  <w:vAlign w:val="center"/>
                </w:tcPr>
                <w:p w14:paraId="233816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pacing w:val="0"/>
                      <w:position w:val="0"/>
                      <w:sz w:val="20"/>
                      <w:szCs w:val="20"/>
                      <w:highlight w:val="none"/>
                      <w:lang w:val="en-US" w:eastAsia="zh-CN"/>
                    </w:rPr>
                  </w:pPr>
                </w:p>
              </w:tc>
              <w:tc>
                <w:tcPr>
                  <w:tcW w:w="435" w:type="pct"/>
                  <w:vMerge w:val="continue"/>
                  <w:tcBorders>
                    <w:tl2br w:val="nil"/>
                    <w:tr2bl w:val="nil"/>
                  </w:tcBorders>
                  <w:noWrap w:val="0"/>
                  <w:vAlign w:val="center"/>
                </w:tcPr>
                <w:p w14:paraId="6B1416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pacing w:val="0"/>
                      <w:position w:val="0"/>
                      <w:sz w:val="20"/>
                      <w:szCs w:val="20"/>
                      <w:highlight w:val="none"/>
                      <w:lang w:val="en-US" w:eastAsia="zh-CN"/>
                    </w:rPr>
                  </w:pPr>
                </w:p>
              </w:tc>
              <w:tc>
                <w:tcPr>
                  <w:tcW w:w="504" w:type="pct"/>
                  <w:tcBorders>
                    <w:tl2br w:val="nil"/>
                    <w:tr2bl w:val="nil"/>
                  </w:tcBorders>
                  <w:noWrap w:val="0"/>
                  <w:vAlign w:val="center"/>
                </w:tcPr>
                <w:p w14:paraId="566952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2"/>
                      <w:position w:val="0"/>
                      <w:sz w:val="21"/>
                      <w:szCs w:val="21"/>
                      <w:highlight w:val="none"/>
                      <w:lang w:val="en-US" w:eastAsia="zh-CN"/>
                    </w:rPr>
                  </w:pPr>
                  <w:r>
                    <w:rPr>
                      <w:rFonts w:hint="default" w:ascii="Times New Roman" w:hAnsi="Times New Roman" w:eastAsia="宋体" w:cs="Times New Roman"/>
                      <w:color w:val="auto"/>
                      <w:spacing w:val="0"/>
                      <w:kern w:val="2"/>
                      <w:position w:val="0"/>
                      <w:sz w:val="21"/>
                      <w:szCs w:val="21"/>
                      <w:highlight w:val="none"/>
                      <w:lang w:val="en-US" w:eastAsia="zh-CN" w:bidi="ar"/>
                    </w:rPr>
                    <w:t>环境风险防控</w:t>
                  </w:r>
                </w:p>
              </w:tc>
              <w:tc>
                <w:tcPr>
                  <w:tcW w:w="2813" w:type="pct"/>
                  <w:tcBorders>
                    <w:tl2br w:val="nil"/>
                    <w:tr2bl w:val="nil"/>
                  </w:tcBorders>
                  <w:noWrap w:val="0"/>
                  <w:vAlign w:val="center"/>
                </w:tcPr>
                <w:p w14:paraId="133FB3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pacing w:val="0"/>
                      <w:position w:val="0"/>
                      <w:szCs w:val="21"/>
                      <w:highlight w:val="none"/>
                    </w:rPr>
                  </w:pPr>
                  <w:r>
                    <w:rPr>
                      <w:rFonts w:hint="default" w:ascii="Times New Roman" w:hAnsi="Times New Roman" w:cs="Times New Roman"/>
                      <w:color w:val="auto"/>
                      <w:spacing w:val="0"/>
                      <w:position w:val="0"/>
                      <w:szCs w:val="21"/>
                      <w:highlight w:val="none"/>
                    </w:rPr>
                    <w:t>园区自身：</w:t>
                  </w:r>
                </w:p>
                <w:p w14:paraId="7F6640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pacing w:val="0"/>
                      <w:position w:val="0"/>
                      <w:szCs w:val="21"/>
                      <w:highlight w:val="none"/>
                    </w:rPr>
                  </w:pPr>
                  <w:r>
                    <w:rPr>
                      <w:rFonts w:hint="default" w:ascii="Times New Roman" w:hAnsi="Times New Roman" w:cs="Times New Roman"/>
                      <w:color w:val="auto"/>
                      <w:spacing w:val="0"/>
                      <w:position w:val="0"/>
                      <w:szCs w:val="21"/>
                      <w:highlight w:val="none"/>
                    </w:rPr>
                    <w:t>（3.1）加强对风险概率高环节的定期检查、维护工作；定期对消防、消防报警和自控系统、防雷、防爆、防静电、防洪及管道泄露等安全措施和自动检测报警系统等全技术设施进行检修。化工园区安全生产管理机构应至少每五年开展一次化工园区整体性安全风险评估，评估安全风险，提出消除、降低、管控安全风险的对策措施。</w:t>
                  </w:r>
                </w:p>
                <w:p w14:paraId="5C5BA1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pacing w:val="0"/>
                      <w:position w:val="0"/>
                      <w:szCs w:val="21"/>
                      <w:highlight w:val="none"/>
                    </w:rPr>
                  </w:pPr>
                  <w:r>
                    <w:rPr>
                      <w:rFonts w:hint="default" w:ascii="Times New Roman" w:hAnsi="Times New Roman" w:cs="Times New Roman"/>
                      <w:color w:val="auto"/>
                      <w:spacing w:val="0"/>
                      <w:position w:val="0"/>
                      <w:szCs w:val="21"/>
                      <w:highlight w:val="none"/>
                    </w:rPr>
                    <w:t>（3.2）严格把控行业安全发展准入条件，进一步加强化工行业管理，进一步提升行业装备水平，完善并落实危险化学品安全生产责任制，严格化工从业人员准入、提高从业人员素质，强化化学品事故应急救援体系建设，建设化工行业安全发展信息化平台。</w:t>
                  </w:r>
                </w:p>
                <w:p w14:paraId="0293BF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pacing w:val="0"/>
                      <w:position w:val="0"/>
                      <w:szCs w:val="21"/>
                      <w:highlight w:val="none"/>
                    </w:rPr>
                  </w:pPr>
                  <w:r>
                    <w:rPr>
                      <w:rFonts w:hint="default" w:ascii="Times New Roman" w:hAnsi="Times New Roman" w:cs="Times New Roman"/>
                      <w:color w:val="auto"/>
                      <w:spacing w:val="0"/>
                      <w:position w:val="0"/>
                      <w:szCs w:val="21"/>
                      <w:highlight w:val="none"/>
                    </w:rPr>
                    <w:t>（3.3）建设安全监管和应急救援信息平台，构建基础信息库和风险隐患数据库，至少应接入企业重大危险源（储罐区和库区）实时在线监测监控相关数据，并且化工园区应将接入数据上传至省、市级应急管理部门。</w:t>
                  </w:r>
                </w:p>
                <w:p w14:paraId="123621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pacing w:val="0"/>
                      <w:position w:val="0"/>
                      <w:szCs w:val="21"/>
                      <w:highlight w:val="none"/>
                    </w:rPr>
                  </w:pPr>
                  <w:r>
                    <w:rPr>
                      <w:rFonts w:hint="default" w:ascii="Times New Roman" w:hAnsi="Times New Roman" w:cs="Times New Roman"/>
                      <w:color w:val="auto"/>
                      <w:spacing w:val="0"/>
                      <w:position w:val="0"/>
                      <w:szCs w:val="21"/>
                      <w:highlight w:val="none"/>
                    </w:rPr>
                    <w:t>（3.4）处于高安全风险等级的园区，要责令其限期整改提升，整改完成前将实行项目限批，原则上不得新、改、扩建危险化学品建设项目，有效降低安全风险。</w:t>
                  </w:r>
                </w:p>
                <w:p w14:paraId="6D47C3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pacing w:val="0"/>
                      <w:position w:val="0"/>
                      <w:szCs w:val="21"/>
                      <w:highlight w:val="none"/>
                    </w:rPr>
                  </w:pPr>
                  <w:r>
                    <w:rPr>
                      <w:rFonts w:hint="default" w:ascii="Times New Roman" w:hAnsi="Times New Roman" w:cs="Times New Roman"/>
                      <w:color w:val="auto"/>
                      <w:spacing w:val="0"/>
                      <w:position w:val="0"/>
                      <w:szCs w:val="21"/>
                      <w:highlight w:val="none"/>
                    </w:rPr>
                    <w:t>（3.5）组织实施精准化安全风险排查评估，分类建立完善安全风险数据库和信息管理系统，区分</w:t>
                  </w:r>
                  <w:r>
                    <w:rPr>
                      <w:rFonts w:hint="default" w:ascii="Times New Roman" w:hAnsi="Times New Roman" w:cs="Times New Roman"/>
                      <w:color w:val="auto"/>
                      <w:spacing w:val="0"/>
                      <w:position w:val="0"/>
                      <w:szCs w:val="21"/>
                      <w:highlight w:val="none"/>
                      <w:lang w:eastAsia="zh-CN"/>
                    </w:rPr>
                    <w:t>“</w:t>
                  </w:r>
                  <w:r>
                    <w:rPr>
                      <w:rFonts w:hint="default" w:ascii="Times New Roman" w:hAnsi="Times New Roman" w:cs="Times New Roman"/>
                      <w:color w:val="auto"/>
                      <w:spacing w:val="0"/>
                      <w:position w:val="0"/>
                      <w:szCs w:val="21"/>
                      <w:highlight w:val="none"/>
                    </w:rPr>
                    <w:t>红、橙、黄、蓝</w:t>
                  </w:r>
                  <w:r>
                    <w:rPr>
                      <w:rFonts w:hint="default" w:ascii="Times New Roman" w:hAnsi="Times New Roman" w:cs="Times New Roman"/>
                      <w:color w:val="auto"/>
                      <w:spacing w:val="0"/>
                      <w:position w:val="0"/>
                      <w:szCs w:val="21"/>
                      <w:highlight w:val="none"/>
                      <w:lang w:eastAsia="zh-CN"/>
                    </w:rPr>
                    <w:t>”</w:t>
                  </w:r>
                  <w:r>
                    <w:rPr>
                      <w:rFonts w:hint="default" w:ascii="Times New Roman" w:hAnsi="Times New Roman" w:cs="Times New Roman"/>
                      <w:color w:val="auto"/>
                      <w:spacing w:val="0"/>
                      <w:position w:val="0"/>
                      <w:szCs w:val="21"/>
                      <w:highlight w:val="none"/>
                    </w:rPr>
                    <w:t>四级安全风险，突出一、二级重大危险源和有毒有害、易燃易爆化工企业，按照</w:t>
                  </w:r>
                  <w:r>
                    <w:rPr>
                      <w:rFonts w:hint="default" w:ascii="Times New Roman" w:hAnsi="Times New Roman" w:cs="Times New Roman"/>
                      <w:color w:val="auto"/>
                      <w:spacing w:val="0"/>
                      <w:position w:val="0"/>
                      <w:szCs w:val="21"/>
                      <w:highlight w:val="none"/>
                      <w:lang w:eastAsia="zh-CN"/>
                    </w:rPr>
                    <w:t>“</w:t>
                  </w:r>
                  <w:r>
                    <w:rPr>
                      <w:rFonts w:hint="default" w:ascii="Times New Roman" w:hAnsi="Times New Roman" w:cs="Times New Roman"/>
                      <w:color w:val="auto"/>
                      <w:spacing w:val="0"/>
                      <w:position w:val="0"/>
                      <w:szCs w:val="21"/>
                      <w:highlight w:val="none"/>
                    </w:rPr>
                    <w:t>一企一策</w:t>
                  </w:r>
                  <w:r>
                    <w:rPr>
                      <w:rFonts w:hint="default" w:ascii="Times New Roman" w:hAnsi="Times New Roman" w:cs="Times New Roman"/>
                      <w:color w:val="auto"/>
                      <w:spacing w:val="0"/>
                      <w:position w:val="0"/>
                      <w:szCs w:val="21"/>
                      <w:highlight w:val="none"/>
                      <w:lang w:eastAsia="zh-CN"/>
                    </w:rPr>
                    <w:t>”</w:t>
                  </w:r>
                  <w:r>
                    <w:rPr>
                      <w:rFonts w:hint="default" w:ascii="Times New Roman" w:hAnsi="Times New Roman" w:cs="Times New Roman"/>
                      <w:color w:val="auto"/>
                      <w:spacing w:val="0"/>
                      <w:position w:val="0"/>
                      <w:szCs w:val="21"/>
                      <w:highlight w:val="none"/>
                    </w:rPr>
                    <w:t>、</w:t>
                  </w:r>
                  <w:r>
                    <w:rPr>
                      <w:rFonts w:hint="default" w:ascii="Times New Roman" w:hAnsi="Times New Roman" w:cs="Times New Roman"/>
                      <w:color w:val="auto"/>
                      <w:spacing w:val="0"/>
                      <w:position w:val="0"/>
                      <w:szCs w:val="21"/>
                      <w:highlight w:val="none"/>
                      <w:lang w:eastAsia="zh-CN"/>
                    </w:rPr>
                    <w:t>“</w:t>
                  </w:r>
                  <w:r>
                    <w:rPr>
                      <w:rFonts w:hint="default" w:ascii="Times New Roman" w:hAnsi="Times New Roman" w:cs="Times New Roman"/>
                      <w:color w:val="auto"/>
                      <w:spacing w:val="0"/>
                      <w:position w:val="0"/>
                      <w:szCs w:val="21"/>
                      <w:highlight w:val="none"/>
                    </w:rPr>
                    <w:t>一园一策</w:t>
                  </w:r>
                  <w:r>
                    <w:rPr>
                      <w:rFonts w:hint="default" w:ascii="Times New Roman" w:hAnsi="Times New Roman" w:cs="Times New Roman"/>
                      <w:color w:val="auto"/>
                      <w:spacing w:val="0"/>
                      <w:position w:val="0"/>
                      <w:szCs w:val="21"/>
                      <w:highlight w:val="none"/>
                      <w:lang w:eastAsia="zh-CN"/>
                    </w:rPr>
                    <w:t>”</w:t>
                  </w:r>
                  <w:r>
                    <w:rPr>
                      <w:rFonts w:hint="default" w:ascii="Times New Roman" w:hAnsi="Times New Roman" w:cs="Times New Roman"/>
                      <w:color w:val="auto"/>
                      <w:spacing w:val="0"/>
                      <w:position w:val="0"/>
                      <w:szCs w:val="21"/>
                      <w:highlight w:val="none"/>
                    </w:rPr>
                    <w:t>原则，实施最严格的治理整顿。</w:t>
                  </w:r>
                </w:p>
                <w:p w14:paraId="28A72A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pacing w:val="0"/>
                      <w:position w:val="0"/>
                      <w:szCs w:val="21"/>
                      <w:highlight w:val="none"/>
                    </w:rPr>
                  </w:pPr>
                  <w:r>
                    <w:rPr>
                      <w:rFonts w:hint="default" w:ascii="Times New Roman" w:hAnsi="Times New Roman" w:cs="Times New Roman"/>
                      <w:color w:val="auto"/>
                      <w:spacing w:val="0"/>
                      <w:position w:val="0"/>
                      <w:szCs w:val="21"/>
                      <w:highlight w:val="none"/>
                    </w:rPr>
                    <w:t>（3.6）加强地下水跟踪监测工作，观察地下水的污染动态，好提出适时提出保护措施。一旦发生地下水污染，立即启动地下水污染应急预案，采取有效的措施，保证在最短的时间内解决污染事故。</w:t>
                  </w:r>
                </w:p>
                <w:p w14:paraId="3575CB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pacing w:val="0"/>
                      <w:position w:val="0"/>
                      <w:szCs w:val="21"/>
                      <w:highlight w:val="none"/>
                    </w:rPr>
                  </w:pPr>
                  <w:r>
                    <w:rPr>
                      <w:rFonts w:hint="default" w:ascii="Times New Roman" w:hAnsi="Times New Roman" w:cs="Times New Roman"/>
                      <w:color w:val="auto"/>
                      <w:spacing w:val="0"/>
                      <w:position w:val="0"/>
                      <w:szCs w:val="21"/>
                      <w:highlight w:val="none"/>
                    </w:rPr>
                    <w:t>行业企业：</w:t>
                  </w:r>
                </w:p>
                <w:p w14:paraId="7E14C8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pacing w:val="0"/>
                      <w:position w:val="0"/>
                      <w:szCs w:val="21"/>
                      <w:highlight w:val="none"/>
                    </w:rPr>
                  </w:pPr>
                  <w:r>
                    <w:rPr>
                      <w:rFonts w:hint="default" w:ascii="Times New Roman" w:hAnsi="Times New Roman" w:cs="Times New Roman"/>
                      <w:color w:val="auto"/>
                      <w:spacing w:val="0"/>
                      <w:position w:val="0"/>
                      <w:szCs w:val="21"/>
                      <w:highlight w:val="none"/>
                    </w:rPr>
                    <w:t>（3.7）易燃易爆的企业，自身要做好防护工作。</w:t>
                  </w:r>
                </w:p>
                <w:p w14:paraId="4B4AC9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Cs w:val="21"/>
                      <w:highlight w:val="none"/>
                    </w:rPr>
                    <w:t>（3.8）企业存在重大安全隐患的，必须立即消除，消除前或消除过程中无法保证安全的，属地应急管理部门应依法责令暂时停产停业或者停止使用相关设施、设备。</w:t>
                  </w:r>
                </w:p>
              </w:tc>
              <w:tc>
                <w:tcPr>
                  <w:tcW w:w="777" w:type="pct"/>
                  <w:tcBorders>
                    <w:tl2br w:val="nil"/>
                    <w:tr2bl w:val="nil"/>
                  </w:tcBorders>
                  <w:noWrap w:val="0"/>
                  <w:vAlign w:val="center"/>
                </w:tcPr>
                <w:p w14:paraId="5DFC45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2"/>
                      <w:position w:val="0"/>
                      <w:sz w:val="21"/>
                      <w:szCs w:val="21"/>
                      <w:highlight w:val="none"/>
                      <w:lang w:val="en-US" w:eastAsia="zh-CN"/>
                    </w:rPr>
                  </w:pPr>
                  <w:r>
                    <w:rPr>
                      <w:rFonts w:hint="eastAsia" w:ascii="Times New Roman" w:hAnsi="Times New Roman" w:eastAsia="宋体" w:cs="Times New Roman"/>
                      <w:color w:val="auto"/>
                      <w:spacing w:val="0"/>
                      <w:kern w:val="2"/>
                      <w:position w:val="0"/>
                      <w:sz w:val="21"/>
                      <w:szCs w:val="21"/>
                      <w:highlight w:val="none"/>
                      <w:lang w:val="en-US" w:eastAsia="zh-CN"/>
                    </w:rPr>
                    <w:t>要求建设单位按照本次评价风险防范措施要求做好运营期环境风险管控。</w:t>
                  </w:r>
                </w:p>
              </w:tc>
            </w:tr>
            <w:tr w14:paraId="2EED7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pct"/>
                  <w:vMerge w:val="continue"/>
                  <w:tcBorders>
                    <w:tl2br w:val="nil"/>
                    <w:tr2bl w:val="nil"/>
                  </w:tcBorders>
                  <w:noWrap w:val="0"/>
                  <w:vAlign w:val="center"/>
                </w:tcPr>
                <w:p w14:paraId="411A8D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pacing w:val="0"/>
                      <w:position w:val="0"/>
                      <w:sz w:val="20"/>
                      <w:szCs w:val="20"/>
                      <w:highlight w:val="none"/>
                      <w:lang w:val="en-US" w:eastAsia="zh-CN"/>
                    </w:rPr>
                  </w:pPr>
                </w:p>
              </w:tc>
              <w:tc>
                <w:tcPr>
                  <w:tcW w:w="435" w:type="pct"/>
                  <w:vMerge w:val="continue"/>
                  <w:tcBorders>
                    <w:tl2br w:val="nil"/>
                    <w:tr2bl w:val="nil"/>
                  </w:tcBorders>
                  <w:noWrap w:val="0"/>
                  <w:vAlign w:val="center"/>
                </w:tcPr>
                <w:p w14:paraId="04EE27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pacing w:val="0"/>
                      <w:position w:val="0"/>
                      <w:sz w:val="20"/>
                      <w:szCs w:val="20"/>
                      <w:highlight w:val="none"/>
                      <w:lang w:val="en-US" w:eastAsia="zh-CN"/>
                    </w:rPr>
                  </w:pPr>
                </w:p>
              </w:tc>
              <w:tc>
                <w:tcPr>
                  <w:tcW w:w="504" w:type="pct"/>
                  <w:tcBorders>
                    <w:tl2br w:val="nil"/>
                    <w:tr2bl w:val="nil"/>
                  </w:tcBorders>
                  <w:noWrap w:val="0"/>
                  <w:vAlign w:val="center"/>
                </w:tcPr>
                <w:p w14:paraId="61ED0C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2"/>
                      <w:position w:val="0"/>
                      <w:sz w:val="21"/>
                      <w:szCs w:val="21"/>
                      <w:highlight w:val="none"/>
                      <w:lang w:val="en-US" w:eastAsia="zh-CN"/>
                    </w:rPr>
                  </w:pPr>
                  <w:r>
                    <w:rPr>
                      <w:rFonts w:hint="default" w:ascii="Times New Roman" w:hAnsi="Times New Roman" w:eastAsia="宋体" w:cs="Times New Roman"/>
                      <w:color w:val="auto"/>
                      <w:spacing w:val="0"/>
                      <w:kern w:val="2"/>
                      <w:position w:val="0"/>
                      <w:sz w:val="21"/>
                      <w:szCs w:val="21"/>
                      <w:highlight w:val="none"/>
                      <w:lang w:val="en-US" w:eastAsia="zh-CN" w:bidi="ar"/>
                    </w:rPr>
                    <w:t>资源利用效率</w:t>
                  </w:r>
                </w:p>
              </w:tc>
              <w:tc>
                <w:tcPr>
                  <w:tcW w:w="2813" w:type="pct"/>
                  <w:tcBorders>
                    <w:tl2br w:val="nil"/>
                    <w:tr2bl w:val="nil"/>
                  </w:tcBorders>
                  <w:noWrap w:val="0"/>
                  <w:vAlign w:val="center"/>
                </w:tcPr>
                <w:p w14:paraId="5D07E5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pacing w:val="0"/>
                      <w:position w:val="0"/>
                      <w:szCs w:val="21"/>
                      <w:highlight w:val="none"/>
                    </w:rPr>
                  </w:pPr>
                  <w:r>
                    <w:rPr>
                      <w:rFonts w:hint="default" w:ascii="Times New Roman" w:hAnsi="Times New Roman" w:cs="Times New Roman"/>
                      <w:color w:val="auto"/>
                      <w:spacing w:val="0"/>
                      <w:position w:val="0"/>
                      <w:szCs w:val="21"/>
                      <w:highlight w:val="none"/>
                    </w:rPr>
                    <w:t>（4.1）到2025年，工业固体废物综合利用率达到95%，工业用水重复利用率75%。</w:t>
                  </w:r>
                </w:p>
                <w:p w14:paraId="3B44EE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pacing w:val="0"/>
                      <w:position w:val="0"/>
                      <w:szCs w:val="21"/>
                      <w:highlight w:val="none"/>
                    </w:rPr>
                  </w:pPr>
                  <w:r>
                    <w:rPr>
                      <w:rFonts w:hint="default" w:ascii="Times New Roman" w:hAnsi="Times New Roman" w:cs="Times New Roman"/>
                      <w:color w:val="auto"/>
                      <w:spacing w:val="0"/>
                      <w:position w:val="0"/>
                      <w:szCs w:val="21"/>
                      <w:highlight w:val="none"/>
                    </w:rPr>
                    <w:t>（4.2）合理利用土地，提高土地使用效率。</w:t>
                  </w:r>
                </w:p>
                <w:p w14:paraId="55CD1A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Cs w:val="21"/>
                      <w:highlight w:val="none"/>
                    </w:rPr>
                    <w:t>（4.3）加大环境保护政策实施力度，到2035年使园区工业用水循环利用率达到80%。</w:t>
                  </w:r>
                </w:p>
              </w:tc>
              <w:tc>
                <w:tcPr>
                  <w:tcW w:w="777" w:type="pct"/>
                  <w:tcBorders>
                    <w:tl2br w:val="nil"/>
                    <w:tr2bl w:val="nil"/>
                  </w:tcBorders>
                  <w:noWrap w:val="0"/>
                  <w:vAlign w:val="center"/>
                </w:tcPr>
                <w:p w14:paraId="5352E8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2"/>
                      <w:position w:val="0"/>
                      <w:sz w:val="21"/>
                      <w:szCs w:val="21"/>
                      <w:highlight w:val="none"/>
                      <w:lang w:val="en-US" w:eastAsia="zh-CN"/>
                    </w:rPr>
                  </w:pPr>
                  <w:r>
                    <w:rPr>
                      <w:rFonts w:hint="eastAsia" w:ascii="Times New Roman" w:hAnsi="Times New Roman" w:eastAsia="宋体" w:cs="Times New Roman"/>
                      <w:color w:val="auto"/>
                      <w:spacing w:val="0"/>
                      <w:kern w:val="2"/>
                      <w:position w:val="0"/>
                      <w:sz w:val="21"/>
                      <w:szCs w:val="21"/>
                      <w:highlight w:val="none"/>
                      <w:lang w:val="en-US" w:eastAsia="zh-CN"/>
                    </w:rPr>
                    <w:t>本项目生产一般固废均回用于生产；设备清洗用水全部回用于生产，不外排，符合要求。</w:t>
                  </w:r>
                </w:p>
              </w:tc>
            </w:tr>
          </w:tbl>
          <w:p w14:paraId="6FA1CDB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pacing w:val="0"/>
                <w:kern w:val="0"/>
                <w:position w:val="0"/>
                <w:sz w:val="24"/>
                <w:highlight w:val="none"/>
              </w:rPr>
            </w:pPr>
            <w:r>
              <w:rPr>
                <w:rFonts w:hint="eastAsia" w:ascii="Times New Roman" w:hAnsi="Times New Roman" w:eastAsia="宋体" w:cs="Times New Roman"/>
                <w:color w:val="auto"/>
                <w:spacing w:val="0"/>
                <w:kern w:val="0"/>
                <w:position w:val="0"/>
                <w:sz w:val="24"/>
                <w:highlight w:val="none"/>
                <w:lang w:val="en-US" w:eastAsia="zh-CN"/>
              </w:rPr>
              <w:t>5</w:t>
            </w:r>
            <w:r>
              <w:rPr>
                <w:rFonts w:hint="default" w:ascii="Times New Roman" w:hAnsi="Times New Roman" w:eastAsia="宋体" w:cs="Times New Roman"/>
                <w:color w:val="auto"/>
                <w:spacing w:val="0"/>
                <w:kern w:val="0"/>
                <w:position w:val="0"/>
                <w:sz w:val="24"/>
                <w:highlight w:val="none"/>
              </w:rPr>
              <w:t>项目与</w:t>
            </w:r>
            <w:r>
              <w:rPr>
                <w:rFonts w:hint="eastAsia" w:ascii="Times New Roman" w:hAnsi="Times New Roman" w:eastAsia="宋体" w:cs="Times New Roman"/>
                <w:color w:val="auto"/>
                <w:spacing w:val="0"/>
                <w:kern w:val="0"/>
                <w:position w:val="0"/>
                <w:sz w:val="24"/>
                <w:highlight w:val="none"/>
                <w:lang w:eastAsia="zh-CN"/>
              </w:rPr>
              <w:t>《新疆生产建设兵团“十四五”生态环境保护规划》</w:t>
            </w:r>
            <w:r>
              <w:rPr>
                <w:rFonts w:hint="default" w:ascii="Times New Roman" w:hAnsi="Times New Roman" w:eastAsia="宋体" w:cs="Times New Roman"/>
                <w:color w:val="auto"/>
                <w:spacing w:val="0"/>
                <w:kern w:val="0"/>
                <w:position w:val="0"/>
                <w:sz w:val="24"/>
                <w:highlight w:val="none"/>
              </w:rPr>
              <w:t>符合性分析</w:t>
            </w:r>
          </w:p>
          <w:p w14:paraId="2EF6329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pacing w:val="0"/>
                <w:kern w:val="0"/>
                <w:position w:val="0"/>
                <w:sz w:val="24"/>
                <w:highlight w:val="none"/>
              </w:rPr>
            </w:pPr>
            <w:r>
              <w:rPr>
                <w:rFonts w:hint="default" w:ascii="Times New Roman" w:hAnsi="Times New Roman" w:eastAsia="宋体" w:cs="Times New Roman"/>
                <w:color w:val="auto"/>
                <w:spacing w:val="0"/>
                <w:kern w:val="0"/>
                <w:position w:val="0"/>
                <w:sz w:val="24"/>
                <w:highlight w:val="none"/>
              </w:rPr>
              <w:t>《新疆生产建设兵团“十四五”生态环境保护规划》</w:t>
            </w:r>
            <w:r>
              <w:rPr>
                <w:rFonts w:hint="eastAsia" w:ascii="Times New Roman" w:hAnsi="Times New Roman" w:eastAsia="宋体" w:cs="Times New Roman"/>
                <w:color w:val="auto"/>
                <w:spacing w:val="0"/>
                <w:kern w:val="0"/>
                <w:position w:val="0"/>
                <w:sz w:val="24"/>
                <w:highlight w:val="none"/>
                <w:lang w:eastAsia="zh-CN"/>
              </w:rPr>
              <w:t>提出：“</w:t>
            </w:r>
            <w:r>
              <w:rPr>
                <w:rFonts w:hint="default" w:ascii="Times New Roman" w:hAnsi="Times New Roman" w:eastAsia="宋体" w:cs="Times New Roman"/>
                <w:color w:val="auto"/>
                <w:spacing w:val="0"/>
                <w:kern w:val="0"/>
                <w:position w:val="0"/>
                <w:sz w:val="24"/>
                <w:highlight w:val="none"/>
              </w:rPr>
              <w:t>加强重点行业VOCs污染治理。重点推进石化、化工、包装印刷、工业涂装等重点行业以及机动车、油品储运销等交通源VOCs污染防治，加强VOCs排放总量控制。全面推进VOCs清洁排放改造，使用水性、紫外光固等低VOCs含量涂料替代溶剂型涂料，推广处理效率高、可重复利用活性炭的VOCs治理技术。在重点师市开展环境空气VOCs自动监测；在第一师阿拉尔市、第二师铁门关市、第七师胡杨河市新增3个环境空气VOCs自动监测站。2025年底前，初步建立兵团环境空气VOCs监测网络</w:t>
            </w:r>
            <w:r>
              <w:rPr>
                <w:rFonts w:hint="eastAsia" w:ascii="Times New Roman" w:hAnsi="Times New Roman" w:eastAsia="宋体" w:cs="Times New Roman"/>
                <w:color w:val="auto"/>
                <w:spacing w:val="0"/>
                <w:kern w:val="0"/>
                <w:position w:val="0"/>
                <w:sz w:val="24"/>
                <w:highlight w:val="none"/>
                <w:lang w:eastAsia="zh-CN"/>
              </w:rPr>
              <w:t>”</w:t>
            </w:r>
            <w:r>
              <w:rPr>
                <w:rFonts w:hint="default" w:ascii="Times New Roman" w:hAnsi="Times New Roman" w:eastAsia="宋体" w:cs="Times New Roman"/>
                <w:color w:val="auto"/>
                <w:spacing w:val="0"/>
                <w:kern w:val="0"/>
                <w:position w:val="0"/>
                <w:sz w:val="24"/>
                <w:highlight w:val="none"/>
              </w:rPr>
              <w:t>。</w:t>
            </w:r>
          </w:p>
          <w:p w14:paraId="7669E39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color w:val="auto"/>
                <w:spacing w:val="0"/>
                <w:kern w:val="0"/>
                <w:position w:val="0"/>
                <w:sz w:val="24"/>
                <w:highlight w:val="none"/>
                <w:lang w:eastAsia="zh-CN"/>
              </w:rPr>
            </w:pPr>
            <w:r>
              <w:rPr>
                <w:rFonts w:hint="eastAsia" w:ascii="Times New Roman" w:hAnsi="Times New Roman" w:eastAsia="宋体" w:cs="Times New Roman"/>
                <w:color w:val="auto"/>
                <w:spacing w:val="0"/>
                <w:kern w:val="0"/>
                <w:position w:val="0"/>
                <w:sz w:val="24"/>
                <w:highlight w:val="none"/>
                <w:lang w:eastAsia="zh-CN"/>
              </w:rPr>
              <w:t>本项目不属于上述重点行业，针对产生的</w:t>
            </w:r>
            <w:r>
              <w:rPr>
                <w:rFonts w:hint="eastAsia" w:ascii="Times New Roman" w:hAnsi="Times New Roman" w:eastAsia="宋体" w:cs="Times New Roman"/>
                <w:color w:val="auto"/>
                <w:spacing w:val="0"/>
                <w:kern w:val="0"/>
                <w:position w:val="0"/>
                <w:sz w:val="24"/>
                <w:highlight w:val="none"/>
                <w:lang w:val="en-US" w:eastAsia="zh-CN"/>
              </w:rPr>
              <w:t>VOCs，采用二级活性炭吸附装置处理达标后经15m高排气筒排放，因此符合《新疆生产建设兵团“十四五”生态环境保护规划》中要求。</w:t>
            </w:r>
          </w:p>
          <w:p w14:paraId="52FD2DF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6项目与《关于印发&lt;2020年挥发性有机物治理攻坚方案&gt;的通知》（环大气〔2020〕33号）符合性分析</w:t>
            </w:r>
          </w:p>
          <w:p w14:paraId="4C1680F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eastAsia="宋体"/>
                <w:color w:val="auto"/>
                <w:sz w:val="24"/>
                <w:szCs w:val="24"/>
                <w:highlight w:val="none"/>
                <w:lang w:val="en-US" w:eastAsia="zh-CN"/>
              </w:rPr>
            </w:pPr>
            <w:r>
              <w:rPr>
                <w:rFonts w:hint="default" w:eastAsia="宋体"/>
                <w:color w:val="auto"/>
                <w:sz w:val="24"/>
                <w:szCs w:val="24"/>
                <w:highlight w:val="none"/>
                <w:lang w:val="en-US" w:eastAsia="zh-CN"/>
              </w:rPr>
              <w:t>《关于印发&lt;2020年挥发性有机物治理攻坚方案&gt;的通知》（环大气〔2020〕33号）</w:t>
            </w:r>
            <w:r>
              <w:rPr>
                <w:rFonts w:hint="eastAsia"/>
                <w:color w:val="auto"/>
                <w:sz w:val="24"/>
                <w:szCs w:val="24"/>
                <w:highlight w:val="none"/>
                <w:lang w:val="en-US" w:eastAsia="zh-CN"/>
              </w:rPr>
              <w:t>指</w:t>
            </w:r>
            <w:r>
              <w:rPr>
                <w:rFonts w:hint="default" w:eastAsia="宋体"/>
                <w:color w:val="auto"/>
                <w:sz w:val="24"/>
                <w:szCs w:val="24"/>
                <w:highlight w:val="none"/>
                <w:lang w:val="en-US" w:eastAsia="zh-CN"/>
              </w:rPr>
              <w:t>出：</w:t>
            </w:r>
          </w:p>
          <w:p w14:paraId="62F4CFC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eastAsia="宋体"/>
                <w:color w:val="auto"/>
                <w:sz w:val="24"/>
                <w:szCs w:val="24"/>
                <w:highlight w:val="none"/>
                <w:lang w:val="en-US" w:eastAsia="zh-CN"/>
              </w:rPr>
            </w:pPr>
            <w:r>
              <w:rPr>
                <w:rFonts w:hint="eastAsia"/>
                <w:color w:val="auto"/>
                <w:sz w:val="24"/>
                <w:szCs w:val="24"/>
                <w:highlight w:val="none"/>
                <w:lang w:val="en-US" w:eastAsia="zh-CN"/>
              </w:rPr>
              <w:t>（1）</w:t>
            </w:r>
            <w:r>
              <w:rPr>
                <w:rFonts w:hint="default" w:eastAsia="宋体"/>
                <w:color w:val="auto"/>
                <w:sz w:val="24"/>
                <w:szCs w:val="24"/>
                <w:highlight w:val="none"/>
                <w:lang w:val="en-US" w:eastAsia="zh-CN"/>
              </w:rPr>
              <w:t>大力推进源头替代，有效减少VOCs产生</w:t>
            </w:r>
            <w:r>
              <w:rPr>
                <w:rFonts w:hint="eastAsia"/>
                <w:color w:val="auto"/>
                <w:sz w:val="24"/>
                <w:szCs w:val="24"/>
                <w:highlight w:val="none"/>
                <w:lang w:val="en-US" w:eastAsia="zh-CN"/>
              </w:rPr>
              <w:t>。</w:t>
            </w:r>
            <w:r>
              <w:rPr>
                <w:rFonts w:hint="default" w:eastAsia="宋体"/>
                <w:color w:val="auto"/>
                <w:sz w:val="24"/>
                <w:szCs w:val="24"/>
                <w:highlight w:val="none"/>
                <w:lang w:val="en-US" w:eastAsia="zh-CN"/>
              </w:rPr>
              <w:t>严格落实国家和地方产品VOCs含量限值标准。大力推进低（无）VOCs含量原辅材料替代。</w:t>
            </w:r>
          </w:p>
          <w:p w14:paraId="560B609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eastAsia="宋体"/>
                <w:color w:val="auto"/>
                <w:sz w:val="24"/>
                <w:szCs w:val="24"/>
                <w:highlight w:val="none"/>
                <w:lang w:val="en-US" w:eastAsia="zh-CN"/>
              </w:rPr>
            </w:pPr>
            <w:r>
              <w:rPr>
                <w:rFonts w:hint="eastAsia"/>
                <w:color w:val="auto"/>
                <w:sz w:val="24"/>
                <w:szCs w:val="24"/>
                <w:highlight w:val="none"/>
                <w:lang w:val="en-US" w:eastAsia="zh-CN"/>
              </w:rPr>
              <w:t>（2）全面落实标准要求，强化无组织排放控制。全面执行《挥发性有机物无组织排放控制标准》，重点区域应落实无组织排放特别控制要求。企业在无组织排放排查整治过程中，在保证安全的前提下，加强含VOCs物料全方位、全链条、全环节密闭管理。储存环节应采用密闭容器、包装袋，高效密封储罐，封闭式储库、料仓等。装卸、转移和输送环节应采用密闭管道或密闭容器、罐车等。生产和使用环节应采用密闭设备，或在密闭空间中操作并有效收集废气，或进行局部气体收集；非取用状态时容器应密闭。处置环节应将盛装过VOCs物料的包装容器、含VOCs废料（渣、液）、废吸附剂等通过加盖、封装等方式密闭，妥善存放，不得随意丢弃，7月15日前集中清运一次，交有资质的单位处置；处置单位在贮存、清洗、破碎等环节应按要求对VOCs无组织排放废气进行收集、处理。高VOCs含量废水的集输、储存和处理环节，应加盖密闭。企业中载有气态、液态VOCs物料的设备与管线组件密封点大于等于2000个的，应全面梳理建立台账。</w:t>
            </w:r>
          </w:p>
          <w:p w14:paraId="779291F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color w:val="auto"/>
                <w:sz w:val="24"/>
                <w:szCs w:val="24"/>
                <w:highlight w:val="none"/>
              </w:rPr>
              <w:t>聚焦治污设施“三率”，提升综合治理效率</w:t>
            </w:r>
          </w:p>
          <w:p w14:paraId="3572477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b w:val="0"/>
                <w:bCs w:val="0"/>
                <w:color w:val="auto"/>
                <w:spacing w:val="0"/>
                <w:kern w:val="0"/>
                <w:position w:val="0"/>
                <w:sz w:val="24"/>
                <w:highlight w:val="none"/>
                <w:lang w:val="en-US" w:eastAsia="zh-CN"/>
              </w:rPr>
            </w:pPr>
            <w:r>
              <w:rPr>
                <w:rFonts w:hint="eastAsia" w:ascii="Times New Roman" w:hAnsi="Times New Roman" w:eastAsia="宋体" w:cs="Times New Roman"/>
                <w:b w:val="0"/>
                <w:bCs w:val="0"/>
                <w:color w:val="auto"/>
                <w:spacing w:val="0"/>
                <w:kern w:val="0"/>
                <w:position w:val="0"/>
                <w:sz w:val="24"/>
                <w:highlight w:val="none"/>
                <w:lang w:val="en-US" w:eastAsia="zh-CN"/>
              </w:rPr>
              <w:t>组织企业对现有VOCs废气收集率、治理设施同步运行率和去除率开展自查，重点关注单一采用光氧化、光催化、低温等离子、一次性活性炭吸附、喷淋吸收等工艺的治理设施，7月15日前完成。对达不到要求的VOCs收集、治理设施进行更换或升级改造，确保实现达标排放。除恶臭异味治理外，一般不采用低温等离子、光催化、光氧化等技术。行业排放标准中规定特别排放限值和控制要求的，应按相关规定执行；未制定行业标准的应执行大气污染物综合排放标准和挥发性有机物无组织排放控制标准；已制定更严格地方排放标准的，按地方标准执行。按照“应收尽收”的原则提升废气收集率。推动取消废气排放系统旁路，因安全生产等原因必须保留的，应将保留旁路清单报当地生态环境部门，旁路在非紧急情况下保持关闭，并通过铅封、安装自动监控设施、流量计等方式加强监管，开启后应及时向当地生态环境部门报告，做好台账记录。按照与生产设备“同启同停”的原则提升治理设施运行率。根据处理工艺要求，在处理设施达到正常运行条件后方可启动生产设备，在生产设备停止、残留VOCs废气收集处理完毕后，方可停运处理设施。VOCs废气处理系统发生故障或检修时，对应生产工艺设备应停止运行，待检修完毕后同步投入使用；因安全等因素生产工艺设备不能停止或不能及时停止运行的，应设置废气应急处理设施或采取其他替代措施。按照“适宜高效”的原则提高治理设施去除率，不得稀释排放。企业新建治污设施或对现有治污设施实施改造，应依据排放废气特征、VOCs组分及浓度、生产工况等，合理选择治理技术，对治理难度大、单一治理工艺难以稳定达标的，要采用多种技术的组合工艺。采用活性炭吸附技术的，应选择碘值不低于800毫克/克的活性炭，并按设计要求足量添加、及时更换；各地要督促行政区域内采用一次性活性炭吸附技术的企业按期更换活性炭，对于长期未进行更换的，于7月底前全部更换一次，并将废旧活性炭交有资质的单位处理处置，记录更换时间和使用量。</w:t>
            </w:r>
          </w:p>
          <w:p w14:paraId="17A10BD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Times New Roman" w:hAnsi="Times New Roman" w:eastAsia="宋体" w:cs="Times New Roman"/>
                <w:b/>
                <w:bCs/>
                <w:color w:val="auto"/>
                <w:spacing w:val="0"/>
                <w:kern w:val="0"/>
                <w:position w:val="0"/>
                <w:sz w:val="24"/>
                <w:highlight w:val="none"/>
                <w:lang w:val="en-US" w:eastAsia="zh-CN"/>
              </w:rPr>
            </w:pPr>
            <w:r>
              <w:rPr>
                <w:rFonts w:hint="eastAsia" w:ascii="Times New Roman" w:hAnsi="Times New Roman" w:eastAsia="宋体" w:cs="Times New Roman"/>
                <w:b/>
                <w:bCs/>
                <w:color w:val="auto"/>
                <w:spacing w:val="0"/>
                <w:kern w:val="0"/>
                <w:position w:val="0"/>
                <w:sz w:val="24"/>
                <w:highlight w:val="none"/>
                <w:lang w:val="en-US" w:eastAsia="zh-CN"/>
              </w:rPr>
              <w:t>符合性分析：</w:t>
            </w:r>
          </w:p>
          <w:p w14:paraId="2BBCAD6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b w:val="0"/>
                <w:bCs w:val="0"/>
                <w:color w:val="auto"/>
                <w:spacing w:val="0"/>
                <w:kern w:val="0"/>
                <w:position w:val="0"/>
                <w:sz w:val="24"/>
                <w:highlight w:val="none"/>
                <w:lang w:val="en-US" w:eastAsia="zh-CN"/>
              </w:rPr>
            </w:pPr>
            <w:r>
              <w:rPr>
                <w:rFonts w:hint="eastAsia" w:ascii="Times New Roman" w:hAnsi="Times New Roman" w:eastAsia="宋体" w:cs="Times New Roman"/>
                <w:b w:val="0"/>
                <w:bCs w:val="0"/>
                <w:color w:val="auto"/>
                <w:spacing w:val="0"/>
                <w:kern w:val="0"/>
                <w:position w:val="0"/>
                <w:sz w:val="24"/>
                <w:highlight w:val="none"/>
                <w:lang w:val="en-US" w:eastAsia="zh-CN"/>
              </w:rPr>
              <w:t>（1）评价要求建设单位运营期做好原料质控工作，购置原料需严格执行国家现行有效产品标准。</w:t>
            </w:r>
          </w:p>
          <w:p w14:paraId="4341E9A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b w:val="0"/>
                <w:bCs w:val="0"/>
                <w:color w:val="auto"/>
                <w:spacing w:val="0"/>
                <w:kern w:val="0"/>
                <w:position w:val="0"/>
                <w:sz w:val="24"/>
                <w:highlight w:val="none"/>
                <w:lang w:val="en-US" w:eastAsia="zh-CN"/>
              </w:rPr>
            </w:pPr>
            <w:r>
              <w:rPr>
                <w:rFonts w:hint="eastAsia" w:ascii="Times New Roman" w:hAnsi="Times New Roman" w:eastAsia="宋体" w:cs="Times New Roman"/>
                <w:b w:val="0"/>
                <w:bCs w:val="0"/>
                <w:color w:val="auto"/>
                <w:spacing w:val="0"/>
                <w:kern w:val="0"/>
                <w:position w:val="0"/>
                <w:sz w:val="24"/>
                <w:highlight w:val="none"/>
                <w:lang w:val="en-US" w:eastAsia="zh-CN"/>
              </w:rPr>
              <w:t>（2）本项目符合《挥发性有机物无组织排放控制标准》各项要求，符合要求。</w:t>
            </w:r>
          </w:p>
          <w:p w14:paraId="0467616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b w:val="0"/>
                <w:bCs w:val="0"/>
                <w:color w:val="auto"/>
                <w:spacing w:val="0"/>
                <w:kern w:val="0"/>
                <w:position w:val="0"/>
                <w:sz w:val="24"/>
                <w:highlight w:val="none"/>
                <w:lang w:val="en-US" w:eastAsia="zh-CN"/>
              </w:rPr>
            </w:pPr>
            <w:r>
              <w:rPr>
                <w:rFonts w:hint="eastAsia" w:ascii="Times New Roman" w:hAnsi="Times New Roman" w:eastAsia="宋体" w:cs="Times New Roman"/>
                <w:b w:val="0"/>
                <w:bCs w:val="0"/>
                <w:color w:val="auto"/>
                <w:spacing w:val="0"/>
                <w:kern w:val="0"/>
                <w:position w:val="0"/>
                <w:sz w:val="24"/>
                <w:highlight w:val="none"/>
                <w:lang w:val="en-US" w:eastAsia="zh-CN"/>
              </w:rPr>
              <w:t>（3）针对产生的VOCs，采用</w:t>
            </w:r>
            <w:r>
              <w:rPr>
                <w:rFonts w:hint="eastAsia" w:ascii="Times New Roman" w:hAnsi="Times New Roman" w:eastAsia="宋体" w:cs="Times New Roman"/>
                <w:color w:val="auto"/>
                <w:spacing w:val="0"/>
                <w:kern w:val="0"/>
                <w:position w:val="0"/>
                <w:sz w:val="24"/>
                <w:highlight w:val="none"/>
                <w:lang w:val="en-US" w:eastAsia="zh-CN"/>
              </w:rPr>
              <w:t>二级活性炭吸附装置</w:t>
            </w:r>
            <w:r>
              <w:rPr>
                <w:rFonts w:hint="eastAsia" w:ascii="Times New Roman" w:hAnsi="Times New Roman" w:eastAsia="宋体" w:cs="Times New Roman"/>
                <w:b w:val="0"/>
                <w:bCs w:val="0"/>
                <w:color w:val="auto"/>
                <w:spacing w:val="0"/>
                <w:kern w:val="0"/>
                <w:position w:val="0"/>
                <w:sz w:val="24"/>
                <w:highlight w:val="none"/>
                <w:lang w:val="en-US" w:eastAsia="zh-CN"/>
              </w:rPr>
              <w:t>达标后经15m高排气筒排放，未采用低温等离子、光催化、光氧化等技术，环保设备与生产设备“同启同停”，活性炭吸附选取碘值不低于800毫克/克的活性炭，符合要求。</w:t>
            </w:r>
          </w:p>
          <w:p w14:paraId="1066915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b w:val="0"/>
                <w:bCs w:val="0"/>
                <w:color w:val="auto"/>
                <w:spacing w:val="0"/>
                <w:kern w:val="0"/>
                <w:position w:val="0"/>
                <w:sz w:val="24"/>
                <w:highlight w:val="none"/>
                <w:lang w:val="en-US" w:eastAsia="zh-CN"/>
              </w:rPr>
            </w:pPr>
            <w:r>
              <w:rPr>
                <w:rFonts w:hint="eastAsia" w:ascii="Times New Roman" w:hAnsi="Times New Roman" w:eastAsia="宋体" w:cs="Times New Roman"/>
                <w:b w:val="0"/>
                <w:bCs w:val="0"/>
                <w:color w:val="auto"/>
                <w:spacing w:val="0"/>
                <w:kern w:val="0"/>
                <w:position w:val="0"/>
                <w:sz w:val="24"/>
                <w:highlight w:val="none"/>
                <w:lang w:val="en-US" w:eastAsia="zh-CN"/>
              </w:rPr>
              <w:t>综上所述，本项目符合《关于印发&lt;2020年挥发性有机物治理攻坚方案&gt;的通知》（环大气〔2020〕33号）相关要求。</w:t>
            </w:r>
          </w:p>
          <w:p w14:paraId="5BC8A52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pacing w:val="0"/>
                <w:kern w:val="0"/>
                <w:position w:val="0"/>
                <w:sz w:val="24"/>
                <w:highlight w:val="none"/>
                <w:lang w:val="en-US" w:eastAsia="zh-CN"/>
              </w:rPr>
            </w:pPr>
            <w:r>
              <w:rPr>
                <w:rFonts w:hint="eastAsia" w:ascii="Times New Roman" w:hAnsi="Times New Roman" w:eastAsia="宋体" w:cs="Times New Roman"/>
                <w:color w:val="auto"/>
                <w:spacing w:val="0"/>
                <w:kern w:val="0"/>
                <w:position w:val="0"/>
                <w:sz w:val="24"/>
                <w:highlight w:val="none"/>
                <w:lang w:val="en-US" w:eastAsia="zh-CN"/>
              </w:rPr>
              <w:t>7</w:t>
            </w:r>
            <w:r>
              <w:rPr>
                <w:rFonts w:hint="default" w:ascii="Times New Roman" w:hAnsi="Times New Roman" w:eastAsia="宋体" w:cs="Times New Roman"/>
                <w:color w:val="auto"/>
                <w:spacing w:val="0"/>
                <w:kern w:val="0"/>
                <w:position w:val="0"/>
                <w:sz w:val="24"/>
                <w:highlight w:val="none"/>
                <w:lang w:val="en-US" w:eastAsia="zh-CN"/>
              </w:rPr>
              <w:t>项目与《关于开展兵团2020年挥发性有机物治理攻坚有关工作的通知》</w:t>
            </w:r>
            <w:r>
              <w:rPr>
                <w:rFonts w:hint="eastAsia" w:ascii="Times New Roman" w:hAnsi="Times New Roman" w:eastAsia="宋体" w:cs="Times New Roman"/>
                <w:color w:val="auto"/>
                <w:spacing w:val="0"/>
                <w:kern w:val="0"/>
                <w:position w:val="0"/>
                <w:sz w:val="24"/>
                <w:highlight w:val="none"/>
                <w:lang w:val="en-US" w:eastAsia="zh-CN"/>
              </w:rPr>
              <w:t>（兵环发〔2020〕31号）</w:t>
            </w:r>
            <w:r>
              <w:rPr>
                <w:rFonts w:hint="default" w:ascii="Times New Roman" w:hAnsi="Times New Roman" w:eastAsia="宋体" w:cs="Times New Roman"/>
                <w:color w:val="auto"/>
                <w:spacing w:val="0"/>
                <w:kern w:val="0"/>
                <w:position w:val="0"/>
                <w:sz w:val="24"/>
                <w:highlight w:val="none"/>
                <w:lang w:val="en-US" w:eastAsia="zh-CN"/>
              </w:rPr>
              <w:t>符合性分析</w:t>
            </w:r>
          </w:p>
          <w:p w14:paraId="1E7D76F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color w:val="auto"/>
                <w:spacing w:val="0"/>
                <w:kern w:val="0"/>
                <w:position w:val="0"/>
                <w:sz w:val="24"/>
                <w:highlight w:val="none"/>
                <w:lang w:val="en-US" w:eastAsia="zh-CN"/>
              </w:rPr>
            </w:pPr>
            <w:r>
              <w:rPr>
                <w:rFonts w:hint="eastAsia" w:ascii="Times New Roman" w:hAnsi="Times New Roman" w:eastAsia="宋体" w:cs="Times New Roman"/>
                <w:color w:val="auto"/>
                <w:spacing w:val="0"/>
                <w:kern w:val="0"/>
                <w:position w:val="0"/>
                <w:sz w:val="24"/>
                <w:highlight w:val="none"/>
                <w:lang w:val="en-US" w:eastAsia="zh-CN"/>
              </w:rPr>
              <w:t>《关于开展兵团2020年挥发性有机物治理攻坚有关工作的通知》（兵环发〔2020〕31号）提出：“按照生态环境部《重点行业挥发性有机物综合治理方案》有关要求，各师市生态环境部门组织实施石化、化工、工业涂装、包装印刷和油品储运销五大重点行业VOCs综合治理，尤其是“乌一昌一石”“奎一独一乌”区域有关师市应加大排查力度和强化监管，确保石化、化工（含煤化工）等重点企业VOCs污染治理稳定达标排放，加油加气站油气回收装置规范运行。对VOCs污染物排放量较大的企业，组织专家提供专业化技术支持，严格把关，指导企业编制切实可行的“一厂一策”污染治理方案。按照相关技术规范，“乌一昌一石”“奎一独一乌”区域有关师市生态环境部门，督促天业化工、浙大阳光、梅花氨基酸、新业能源等重点企业7-9月完成一轮泄漏检测与修复（LDAR）工作，及时修复泄漏源，并建立健全管理制度。按照《固定污染源排污许可分类管理名录（2019年版）》，完成涉VOCs企业排污许可发证和登记工作，强化排污许可证后执法监管。第六师五家渠市和第八师石河子市依据《重污染天气重点行业应急减排措施制定技术指南（2020年修订版）》，将涉VOCs排放企业全面纳入重污染天气应急减排清单，针对VOCs排放主要工序采取切实有效的应急减排措施，落实到具体生产线和设备，实施环保绩效差异化分级管控。”</w:t>
            </w:r>
          </w:p>
          <w:p w14:paraId="548674A2">
            <w:pPr>
              <w:pStyle w:val="3"/>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default"/>
                <w:color w:val="auto"/>
                <w:spacing w:val="0"/>
                <w:position w:val="0"/>
                <w:sz w:val="24"/>
                <w:szCs w:val="24"/>
                <w:highlight w:val="none"/>
                <w:lang w:val="en-US" w:eastAsia="zh-CN"/>
              </w:rPr>
            </w:pPr>
            <w:r>
              <w:rPr>
                <w:rFonts w:hint="eastAsia" w:ascii="Times New Roman" w:hAnsi="Times New Roman" w:eastAsia="宋体" w:cs="Times New Roman"/>
                <w:color w:val="auto"/>
                <w:spacing w:val="0"/>
                <w:kern w:val="0"/>
                <w:position w:val="0"/>
                <w:sz w:val="24"/>
                <w:highlight w:val="none"/>
                <w:lang w:eastAsia="zh-CN"/>
              </w:rPr>
              <w:t>本项目不属于上述重点行业，针对产生的</w:t>
            </w:r>
            <w:r>
              <w:rPr>
                <w:rFonts w:hint="eastAsia" w:ascii="Times New Roman" w:hAnsi="Times New Roman" w:eastAsia="宋体" w:cs="Times New Roman"/>
                <w:color w:val="auto"/>
                <w:spacing w:val="0"/>
                <w:kern w:val="0"/>
                <w:position w:val="0"/>
                <w:sz w:val="24"/>
                <w:highlight w:val="none"/>
                <w:lang w:val="en-US" w:eastAsia="zh-CN"/>
              </w:rPr>
              <w:t>VOCs，采用二级活性炭吸附装置达标后经15m高排气筒排放，因此符合《关于开展兵团2020年挥发性有机物治理攻坚有关工作的通知》（兵环发〔2020〕31号）中要求。</w:t>
            </w:r>
          </w:p>
          <w:p w14:paraId="4BC98762">
            <w:pPr>
              <w:keepNext w:val="0"/>
              <w:keepLines w:val="0"/>
              <w:pageBreakBefore w:val="0"/>
              <w:widowControl w:val="0"/>
              <w:kinsoku/>
              <w:wordWrap/>
              <w:overflowPunct w:val="0"/>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napToGrid w:val="0"/>
                <w:color w:val="auto"/>
                <w:kern w:val="0"/>
                <w:sz w:val="24"/>
                <w:szCs w:val="24"/>
                <w:highlight w:val="none"/>
              </w:rPr>
            </w:pPr>
            <w:r>
              <w:rPr>
                <w:rFonts w:hint="eastAsia" w:ascii="Times New Roman" w:hAnsi="Times New Roman" w:eastAsia="宋体" w:cs="Times New Roman"/>
                <w:snapToGrid w:val="0"/>
                <w:color w:val="auto"/>
                <w:kern w:val="0"/>
                <w:sz w:val="24"/>
                <w:szCs w:val="24"/>
                <w:highlight w:val="none"/>
                <w:lang w:val="en-US" w:eastAsia="zh-CN"/>
              </w:rPr>
              <w:t>6</w:t>
            </w:r>
            <w:r>
              <w:rPr>
                <w:rFonts w:hint="default" w:ascii="Times New Roman" w:hAnsi="Times New Roman" w:eastAsia="宋体" w:cs="Times New Roman"/>
                <w:snapToGrid w:val="0"/>
                <w:color w:val="auto"/>
                <w:kern w:val="0"/>
                <w:sz w:val="24"/>
                <w:szCs w:val="24"/>
                <w:highlight w:val="none"/>
              </w:rPr>
              <w:t>选址合理性分析</w:t>
            </w:r>
          </w:p>
          <w:p w14:paraId="6DDF41D2">
            <w:pPr>
              <w:keepNext w:val="0"/>
              <w:keepLines w:val="0"/>
              <w:pageBreakBefore w:val="0"/>
              <w:widowControl w:val="0"/>
              <w:kinsoku/>
              <w:wordWrap/>
              <w:overflowPunct w:val="0"/>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napToGrid w:val="0"/>
                <w:color w:val="auto"/>
                <w:kern w:val="0"/>
                <w:sz w:val="24"/>
                <w:szCs w:val="24"/>
                <w:highlight w:val="none"/>
              </w:rPr>
              <w:t>本项目选址于</w:t>
            </w:r>
            <w:r>
              <w:rPr>
                <w:rFonts w:hint="default" w:ascii="Times New Roman" w:hAnsi="Times New Roman" w:eastAsia="宋体" w:cs="Times New Roman"/>
                <w:color w:val="auto"/>
                <w:sz w:val="24"/>
                <w:szCs w:val="24"/>
                <w:highlight w:val="none"/>
                <w:shd w:val="clear" w:color="auto" w:fill="FFFFFF"/>
                <w:lang w:eastAsia="zh-CN"/>
              </w:rPr>
              <w:t>新疆</w:t>
            </w:r>
            <w:r>
              <w:rPr>
                <w:rFonts w:hint="eastAsia"/>
                <w:sz w:val="24"/>
                <w:szCs w:val="24"/>
                <w:lang w:val="en-US" w:eastAsia="zh-CN"/>
              </w:rPr>
              <w:t>胡杨河经济技术开发区大道18号（北区）</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占地类型属于工业用地，符合区域土地利用规划要求</w:t>
            </w:r>
            <w:r>
              <w:rPr>
                <w:rFonts w:hint="default" w:ascii="Times New Roman" w:hAnsi="Times New Roman" w:eastAsia="宋体" w:cs="Times New Roman"/>
                <w:color w:val="auto"/>
                <w:sz w:val="24"/>
                <w:szCs w:val="24"/>
                <w:highlight w:val="none"/>
              </w:rPr>
              <w:t>。</w:t>
            </w:r>
          </w:p>
          <w:p w14:paraId="5016E51C">
            <w:pPr>
              <w:pStyle w:val="58"/>
              <w:keepNext w:val="0"/>
              <w:keepLines w:val="0"/>
              <w:pageBreakBefore w:val="0"/>
              <w:widowControl w:val="0"/>
              <w:kinsoku/>
              <w:wordWrap/>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根据现场调查，</w:t>
            </w:r>
            <w:r>
              <w:rPr>
                <w:rFonts w:hint="default" w:ascii="Times New Roman" w:hAnsi="Times New Roman" w:eastAsia="宋体" w:cs="Times New Roman"/>
                <w:color w:val="auto"/>
                <w:sz w:val="24"/>
                <w:szCs w:val="24"/>
                <w:highlight w:val="none"/>
                <w:lang w:val="en-US" w:eastAsia="zh-CN"/>
              </w:rPr>
              <w:t>本项目</w:t>
            </w:r>
            <w:r>
              <w:rPr>
                <w:rFonts w:hint="eastAsia" w:ascii="Times New Roman" w:hAnsi="Times New Roman" w:eastAsia="宋体" w:cs="Times New Roman"/>
                <w:color w:val="auto"/>
                <w:sz w:val="24"/>
                <w:szCs w:val="24"/>
                <w:highlight w:val="none"/>
                <w:lang w:val="en-US" w:eastAsia="zh-CN"/>
              </w:rPr>
              <w:t>南、</w:t>
            </w:r>
            <w:r>
              <w:rPr>
                <w:rFonts w:hint="default" w:ascii="Times New Roman" w:hAnsi="Times New Roman" w:eastAsia="宋体" w:cs="Times New Roman"/>
                <w:color w:val="auto"/>
                <w:sz w:val="24"/>
                <w:szCs w:val="24"/>
                <w:highlight w:val="none"/>
                <w:lang w:val="en-US" w:eastAsia="zh-CN"/>
              </w:rPr>
              <w:t>北侧为</w:t>
            </w:r>
            <w:r>
              <w:rPr>
                <w:rFonts w:hint="eastAsia" w:ascii="Times New Roman" w:hAnsi="Times New Roman" w:eastAsia="宋体" w:cs="Times New Roman"/>
                <w:color w:val="auto"/>
                <w:sz w:val="24"/>
                <w:szCs w:val="24"/>
                <w:highlight w:val="none"/>
                <w:lang w:val="en-US" w:eastAsia="zh-CN"/>
              </w:rPr>
              <w:t>空地</w:t>
            </w:r>
            <w:r>
              <w:rPr>
                <w:rFonts w:hint="default" w:ascii="Times New Roman" w:hAnsi="Times New Roman" w:eastAsia="宋体" w:cs="Times New Roman"/>
                <w:color w:val="auto"/>
                <w:sz w:val="24"/>
                <w:szCs w:val="24"/>
                <w:highlight w:val="none"/>
              </w:rPr>
              <w:t>，东侧为</w:t>
            </w:r>
            <w:r>
              <w:rPr>
                <w:rFonts w:hint="eastAsia" w:ascii="Times New Roman" w:hAnsi="Times New Roman" w:eastAsia="宋体" w:cs="Times New Roman"/>
                <w:color w:val="auto"/>
                <w:sz w:val="24"/>
                <w:szCs w:val="24"/>
                <w:highlight w:val="none"/>
                <w:lang w:val="en-US" w:eastAsia="zh-CN"/>
              </w:rPr>
              <w:t>园区道路</w:t>
            </w:r>
            <w:r>
              <w:rPr>
                <w:rFonts w:hint="default" w:ascii="Times New Roman" w:hAnsi="Times New Roman" w:eastAsia="宋体" w:cs="Times New Roman"/>
                <w:color w:val="auto"/>
                <w:sz w:val="24"/>
                <w:szCs w:val="24"/>
                <w:highlight w:val="none"/>
                <w:lang w:val="en-US" w:eastAsia="zh-CN"/>
              </w:rPr>
              <w:t>，西侧为</w:t>
            </w:r>
            <w:r>
              <w:rPr>
                <w:rFonts w:hint="eastAsia" w:ascii="Times New Roman" w:hAnsi="Times New Roman" w:eastAsia="宋体" w:cs="Times New Roman"/>
                <w:color w:val="auto"/>
                <w:sz w:val="24"/>
                <w:szCs w:val="24"/>
                <w:highlight w:val="none"/>
                <w:lang w:val="en-US" w:eastAsia="zh-CN"/>
              </w:rPr>
              <w:t>奎屯广合商品混凝土有限责任公司</w:t>
            </w:r>
            <w:r>
              <w:rPr>
                <w:rFonts w:hint="default" w:ascii="Times New Roman" w:hAnsi="Times New Roman" w:eastAsia="宋体" w:cs="Times New Roman"/>
                <w:color w:val="auto"/>
                <w:sz w:val="24"/>
                <w:szCs w:val="24"/>
                <w:highlight w:val="none"/>
                <w:lang w:val="en-US" w:eastAsia="zh-CN"/>
              </w:rPr>
              <w:t>。本项目周</w:t>
            </w:r>
            <w:r>
              <w:rPr>
                <w:rFonts w:hint="default" w:ascii="Times New Roman" w:hAnsi="Times New Roman" w:eastAsia="宋体" w:cs="Times New Roman"/>
                <w:color w:val="auto"/>
                <w:kern w:val="2"/>
                <w:sz w:val="24"/>
                <w:szCs w:val="24"/>
                <w:highlight w:val="none"/>
                <w:lang w:val="en-US" w:eastAsia="zh-CN" w:bidi="ar-SA"/>
              </w:rPr>
              <w:t>边500m范围内无居住区，</w:t>
            </w:r>
            <w:r>
              <w:rPr>
                <w:rFonts w:hint="default" w:ascii="Times New Roman" w:hAnsi="Times New Roman" w:eastAsia="宋体" w:cs="Times New Roman"/>
                <w:color w:val="auto"/>
                <w:sz w:val="24"/>
                <w:szCs w:val="24"/>
                <w:highlight w:val="none"/>
              </w:rPr>
              <w:t>无重要保护文物、风景名胜区和水源地等环境保护目标，没有明显的外环境制约因子，项目营运期将产生废水、废气、固废、噪声等污染物，建设方将积极采取有效措施进行治理，减小其对环境的影响。</w:t>
            </w:r>
          </w:p>
          <w:p w14:paraId="09915133">
            <w:pPr>
              <w:pStyle w:val="58"/>
              <w:keepNext w:val="0"/>
              <w:keepLines w:val="0"/>
              <w:pageBreakBefore w:val="0"/>
              <w:widowControl w:val="0"/>
              <w:kinsoku/>
              <w:wordWrap/>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lang w:val="en-US" w:eastAsia="zh-CN"/>
              </w:rPr>
              <w:t>综上所述，本</w:t>
            </w:r>
            <w:r>
              <w:rPr>
                <w:rFonts w:hint="default" w:ascii="Times New Roman" w:hAnsi="Times New Roman" w:eastAsia="宋体" w:cs="Times New Roman"/>
                <w:color w:val="auto"/>
                <w:sz w:val="24"/>
                <w:szCs w:val="24"/>
                <w:highlight w:val="none"/>
              </w:rPr>
              <w:t>项目建设和周边环境相容</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选址合理</w:t>
            </w:r>
            <w:r>
              <w:rPr>
                <w:rFonts w:hint="default" w:ascii="Times New Roman" w:hAnsi="Times New Roman" w:eastAsia="宋体" w:cs="Times New Roman"/>
                <w:color w:val="auto"/>
                <w:sz w:val="24"/>
                <w:highlight w:val="none"/>
              </w:rPr>
              <w:t>。</w:t>
            </w:r>
          </w:p>
          <w:p w14:paraId="4EA6F761">
            <w:pPr>
              <w:rPr>
                <w:rFonts w:hint="eastAsia" w:eastAsia="宋体"/>
                <w:b/>
                <w:lang w:val="en-US" w:eastAsia="zh-CN"/>
              </w:rPr>
            </w:pPr>
          </w:p>
          <w:p w14:paraId="05024A8B">
            <w:pPr>
              <w:autoSpaceDE w:val="0"/>
              <w:autoSpaceDN w:val="0"/>
              <w:spacing w:line="360" w:lineRule="auto"/>
            </w:pPr>
          </w:p>
        </w:tc>
      </w:tr>
    </w:tbl>
    <w:p w14:paraId="42FD6D8C">
      <w:pPr>
        <w:spacing w:line="360" w:lineRule="auto"/>
        <w:outlineLvl w:val="0"/>
        <w:sectPr>
          <w:footerReference r:id="rId3" w:type="default"/>
          <w:pgSz w:w="11905" w:h="16838"/>
          <w:pgMar w:top="1701" w:right="1531" w:bottom="1701" w:left="1531" w:header="851" w:footer="850" w:gutter="0"/>
          <w:pgBorders>
            <w:top w:val="none" w:sz="0" w:space="0"/>
            <w:left w:val="none" w:sz="0" w:space="0"/>
            <w:bottom w:val="none" w:sz="0" w:space="0"/>
            <w:right w:val="none" w:sz="0" w:space="0"/>
          </w:pgBorders>
          <w:pgNumType w:start="1"/>
          <w:cols w:space="0" w:num="1"/>
          <w:docGrid w:type="lines" w:linePitch="312" w:charSpace="0"/>
        </w:sectPr>
      </w:pPr>
    </w:p>
    <w:p w14:paraId="1ACAFB3D">
      <w:pPr>
        <w:pStyle w:val="21"/>
        <w:spacing w:before="0" w:beforeAutospacing="0" w:after="0" w:afterAutospacing="0"/>
        <w:jc w:val="center"/>
        <w:outlineLvl w:val="0"/>
        <w:rPr>
          <w:rFonts w:ascii="Times New Roman" w:hAnsi="Times New Roman"/>
          <w:b/>
          <w:bCs/>
          <w:snapToGrid w:val="0"/>
          <w:sz w:val="30"/>
          <w:szCs w:val="30"/>
        </w:rPr>
      </w:pPr>
      <w:r>
        <w:rPr>
          <w:rFonts w:hint="eastAsia" w:ascii="Times New Roman" w:hAnsi="Times New Roman"/>
          <w:b/>
          <w:bCs/>
          <w:snapToGrid w:val="0"/>
          <w:sz w:val="30"/>
          <w:szCs w:val="30"/>
        </w:rPr>
        <w:t>二、建设项目工程分析</w:t>
      </w:r>
    </w:p>
    <w:tbl>
      <w:tblPr>
        <w:tblStyle w:val="24"/>
        <w:tblW w:w="898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34"/>
        <w:gridCol w:w="8550"/>
      </w:tblGrid>
      <w:tr w14:paraId="598141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434" w:type="dxa"/>
            <w:vAlign w:val="center"/>
          </w:tcPr>
          <w:p w14:paraId="0713D42A">
            <w:pPr>
              <w:pStyle w:val="21"/>
              <w:overflowPunct w:val="0"/>
              <w:spacing w:before="0" w:beforeAutospacing="0" w:after="0" w:afterAutospacing="0"/>
              <w:jc w:val="center"/>
              <w:rPr>
                <w:rFonts w:ascii="Times New Roman" w:hAnsi="Times New Roman"/>
                <w:sz w:val="21"/>
                <w:szCs w:val="21"/>
              </w:rPr>
            </w:pPr>
            <w:r>
              <w:rPr>
                <w:rFonts w:ascii="Times New Roman" w:hAnsi="Times New Roman"/>
                <w:sz w:val="21"/>
                <w:szCs w:val="21"/>
              </w:rPr>
              <w:t>建设内容</w:t>
            </w:r>
          </w:p>
        </w:tc>
        <w:tc>
          <w:tcPr>
            <w:tcW w:w="8550" w:type="dxa"/>
          </w:tcPr>
          <w:p w14:paraId="79D21A84">
            <w:pPr>
              <w:pStyle w:val="4"/>
              <w:rPr>
                <w:sz w:val="24"/>
                <w:szCs w:val="24"/>
              </w:rPr>
            </w:pPr>
            <w:r>
              <w:rPr>
                <w:sz w:val="24"/>
                <w:szCs w:val="24"/>
              </w:rPr>
              <w:t>1</w:t>
            </w:r>
            <w:r>
              <w:rPr>
                <w:rFonts w:hint="eastAsia"/>
                <w:sz w:val="24"/>
                <w:szCs w:val="24"/>
              </w:rPr>
              <w:t>.</w:t>
            </w:r>
            <w:r>
              <w:rPr>
                <w:sz w:val="24"/>
                <w:szCs w:val="24"/>
              </w:rPr>
              <w:t>建设内容</w:t>
            </w:r>
          </w:p>
          <w:p w14:paraId="6579CE3F">
            <w:pPr>
              <w:widowControl/>
              <w:spacing w:line="360" w:lineRule="auto"/>
              <w:ind w:firstLine="480" w:firstLineChars="200"/>
              <w:jc w:val="left"/>
              <w:rPr>
                <w:rFonts w:hint="eastAsia"/>
                <w:bCs/>
                <w:sz w:val="24"/>
                <w:szCs w:val="24"/>
              </w:rPr>
            </w:pPr>
            <w:r>
              <w:rPr>
                <w:rFonts w:hint="eastAsia"/>
                <w:bCs/>
                <w:sz w:val="24"/>
                <w:szCs w:val="24"/>
                <w:lang w:val="en-US" w:eastAsia="zh-CN"/>
              </w:rPr>
              <w:t>根据项目备案证本</w:t>
            </w:r>
            <w:r>
              <w:rPr>
                <w:rFonts w:hint="eastAsia"/>
                <w:bCs/>
                <w:sz w:val="24"/>
                <w:szCs w:val="24"/>
              </w:rPr>
              <w:t>项目分期建设，其中</w:t>
            </w:r>
            <w:r>
              <w:rPr>
                <w:rFonts w:hint="eastAsia"/>
                <w:bCs/>
                <w:sz w:val="24"/>
                <w:szCs w:val="24"/>
                <w:lang w:eastAsia="zh-CN"/>
              </w:rPr>
              <w:t>：</w:t>
            </w:r>
            <w:r>
              <w:rPr>
                <w:rFonts w:hint="eastAsia"/>
                <w:bCs/>
                <w:sz w:val="24"/>
                <w:szCs w:val="24"/>
              </w:rPr>
              <w:t>一期新建钢模板及轻钢结构生产线一条，年产C型钢和H型钢2000吨、T型梁模板、建筑模板和预埋件钢模板3000吨，配套建设附属工程</w:t>
            </w:r>
            <w:r>
              <w:rPr>
                <w:rFonts w:hint="eastAsia"/>
                <w:bCs/>
                <w:sz w:val="24"/>
                <w:szCs w:val="24"/>
                <w:lang w:eastAsia="zh-CN"/>
              </w:rPr>
              <w:t>；</w:t>
            </w:r>
            <w:r>
              <w:rPr>
                <w:rFonts w:hint="eastAsia"/>
                <w:bCs/>
                <w:sz w:val="24"/>
                <w:szCs w:val="24"/>
              </w:rPr>
              <w:t>二期购置年产20万m</w:t>
            </w:r>
            <w:r>
              <w:rPr>
                <w:rFonts w:hint="eastAsia"/>
                <w:sz w:val="24"/>
                <w:szCs w:val="24"/>
                <w:vertAlign w:val="superscript"/>
                <w:lang w:val="en-US" w:eastAsia="zh-CN"/>
              </w:rPr>
              <w:t>3</w:t>
            </w:r>
            <w:r>
              <w:rPr>
                <w:rFonts w:hint="eastAsia"/>
                <w:bCs/>
                <w:sz w:val="24"/>
                <w:szCs w:val="24"/>
              </w:rPr>
              <w:t>蒸压加气混凝土砌块和蒸压加气混凝土ALC配筋板材生产线等，配套建设厂区供电、给排水及消防等室外管网基础配套设施等。</w:t>
            </w:r>
          </w:p>
          <w:p w14:paraId="4F424B2C">
            <w:pPr>
              <w:widowControl/>
              <w:spacing w:line="360" w:lineRule="auto"/>
              <w:ind w:firstLine="480" w:firstLineChars="200"/>
              <w:jc w:val="left"/>
              <w:rPr>
                <w:sz w:val="24"/>
                <w:szCs w:val="24"/>
              </w:rPr>
            </w:pPr>
            <w:r>
              <w:rPr>
                <w:rFonts w:hint="eastAsia"/>
                <w:bCs/>
                <w:sz w:val="24"/>
                <w:szCs w:val="24"/>
                <w:lang w:val="en-US" w:eastAsia="zh-CN"/>
              </w:rPr>
              <w:t>本项目因建设单位和市场需求，本次环评仅评价二期建设内容。</w:t>
            </w:r>
            <w:r>
              <w:rPr>
                <w:rFonts w:hint="eastAsia"/>
                <w:bCs/>
                <w:sz w:val="24"/>
                <w:szCs w:val="24"/>
              </w:rPr>
              <w:t>本项目按照年产蒸压加气混凝土砌块</w:t>
            </w:r>
            <w:r>
              <w:rPr>
                <w:rFonts w:hint="eastAsia"/>
                <w:sz w:val="24"/>
                <w:szCs w:val="24"/>
                <w:lang w:val="en-US" w:eastAsia="zh-CN"/>
              </w:rPr>
              <w:t>10</w:t>
            </w:r>
            <w:r>
              <w:rPr>
                <w:rFonts w:hint="eastAsia"/>
                <w:sz w:val="24"/>
                <w:szCs w:val="24"/>
              </w:rPr>
              <w:t>万</w:t>
            </w:r>
            <w:r>
              <w:rPr>
                <w:rFonts w:hint="eastAsia"/>
                <w:sz w:val="24"/>
                <w:szCs w:val="24"/>
                <w:lang w:val="en-US" w:eastAsia="zh-CN"/>
              </w:rPr>
              <w:t>m</w:t>
            </w:r>
            <w:r>
              <w:rPr>
                <w:rFonts w:hint="eastAsia"/>
                <w:sz w:val="24"/>
                <w:szCs w:val="24"/>
                <w:vertAlign w:val="superscript"/>
                <w:lang w:val="en-US" w:eastAsia="zh-CN"/>
              </w:rPr>
              <w:t>3</w:t>
            </w:r>
            <w:r>
              <w:rPr>
                <w:rFonts w:hint="eastAsia"/>
                <w:sz w:val="24"/>
                <w:szCs w:val="24"/>
                <w:vertAlign w:val="baseline"/>
                <w:lang w:val="en-US" w:eastAsia="zh-CN"/>
              </w:rPr>
              <w:t>，</w:t>
            </w:r>
            <w:r>
              <w:rPr>
                <w:rFonts w:hint="eastAsia"/>
                <w:bCs/>
                <w:sz w:val="24"/>
                <w:szCs w:val="24"/>
              </w:rPr>
              <w:t>蒸压加气混凝土ALC配筋板材</w:t>
            </w:r>
            <w:r>
              <w:rPr>
                <w:rFonts w:hint="eastAsia"/>
                <w:sz w:val="24"/>
                <w:szCs w:val="24"/>
                <w:vertAlign w:val="baseline"/>
                <w:lang w:val="en-US" w:eastAsia="zh-CN"/>
              </w:rPr>
              <w:t>10万</w:t>
            </w:r>
            <w:r>
              <w:rPr>
                <w:rFonts w:hint="eastAsia"/>
                <w:sz w:val="24"/>
                <w:szCs w:val="24"/>
                <w:lang w:val="en-US" w:eastAsia="zh-CN"/>
              </w:rPr>
              <w:t>m</w:t>
            </w:r>
            <w:r>
              <w:rPr>
                <w:rFonts w:hint="eastAsia"/>
                <w:sz w:val="24"/>
                <w:szCs w:val="24"/>
                <w:vertAlign w:val="superscript"/>
                <w:lang w:val="en-US" w:eastAsia="zh-CN"/>
              </w:rPr>
              <w:t>3</w:t>
            </w:r>
            <w:r>
              <w:rPr>
                <w:rFonts w:hint="eastAsia"/>
                <w:sz w:val="24"/>
                <w:szCs w:val="24"/>
              </w:rPr>
              <w:t>规模设计并建设生产厂区，</w:t>
            </w:r>
            <w:r>
              <w:rPr>
                <w:rFonts w:hint="eastAsia" w:ascii="宋体" w:hAnsi="宋体" w:cs="宋体"/>
                <w:color w:val="000000"/>
                <w:kern w:val="0"/>
                <w:sz w:val="24"/>
                <w:szCs w:val="24"/>
              </w:rPr>
              <w:t>占地面积</w:t>
            </w:r>
            <w:r>
              <w:rPr>
                <w:rFonts w:hint="eastAsia"/>
                <w:sz w:val="24"/>
                <w:szCs w:val="24"/>
                <w:lang w:val="en-US" w:eastAsia="zh-CN"/>
              </w:rPr>
              <w:t>19418.87</w:t>
            </w:r>
            <w:r>
              <w:rPr>
                <w:rFonts w:hint="eastAsia" w:ascii="宋体" w:hAnsi="宋体" w:cs="宋体"/>
                <w:color w:val="000000"/>
                <w:kern w:val="0"/>
                <w:sz w:val="24"/>
                <w:szCs w:val="24"/>
              </w:rPr>
              <w:t>平方米。</w:t>
            </w:r>
            <w:r>
              <w:rPr>
                <w:rFonts w:hint="eastAsia"/>
                <w:bCs/>
                <w:kern w:val="0"/>
                <w:sz w:val="24"/>
                <w:szCs w:val="24"/>
              </w:rPr>
              <w:t>建设内容包括</w:t>
            </w:r>
            <w:r>
              <w:rPr>
                <w:rFonts w:hint="eastAsia"/>
                <w:bCs/>
                <w:kern w:val="0"/>
                <w:sz w:val="24"/>
                <w:szCs w:val="24"/>
                <w:lang w:val="en-US" w:eastAsia="zh-CN"/>
              </w:rPr>
              <w:t>新建生产车间1栋，在</w:t>
            </w:r>
            <w:r>
              <w:rPr>
                <w:rFonts w:hint="eastAsia"/>
                <w:sz w:val="24"/>
                <w:szCs w:val="24"/>
                <w:lang w:val="en-US" w:eastAsia="zh-CN"/>
              </w:rPr>
              <w:t>生产</w:t>
            </w:r>
            <w:r>
              <w:rPr>
                <w:rFonts w:hint="eastAsia"/>
                <w:kern w:val="0"/>
                <w:sz w:val="24"/>
                <w:szCs w:val="24"/>
                <w:lang w:val="en-US" w:eastAsia="zh-CN"/>
              </w:rPr>
              <w:t>车间内</w:t>
            </w:r>
            <w:r>
              <w:rPr>
                <w:rFonts w:hint="eastAsia"/>
                <w:sz w:val="24"/>
                <w:szCs w:val="24"/>
              </w:rPr>
              <w:t>布设1条</w:t>
            </w:r>
            <w:r>
              <w:rPr>
                <w:rFonts w:hint="eastAsia"/>
                <w:bCs/>
                <w:sz w:val="24"/>
                <w:szCs w:val="24"/>
              </w:rPr>
              <w:t>蒸压加气混凝土ALC配筋板材</w:t>
            </w:r>
            <w:r>
              <w:rPr>
                <w:rFonts w:hint="eastAsia"/>
                <w:sz w:val="24"/>
                <w:szCs w:val="24"/>
                <w:vertAlign w:val="baseline"/>
                <w:lang w:val="en-US" w:eastAsia="zh-CN"/>
              </w:rPr>
              <w:t>生产</w:t>
            </w:r>
            <w:r>
              <w:rPr>
                <w:rFonts w:hint="eastAsia"/>
                <w:sz w:val="24"/>
                <w:szCs w:val="24"/>
              </w:rPr>
              <w:t>线</w:t>
            </w:r>
            <w:r>
              <w:rPr>
                <w:rFonts w:hint="eastAsia"/>
                <w:sz w:val="24"/>
                <w:szCs w:val="24"/>
                <w:lang w:eastAsia="zh-CN"/>
              </w:rPr>
              <w:t>，</w:t>
            </w:r>
            <w:r>
              <w:rPr>
                <w:rFonts w:hint="eastAsia"/>
                <w:sz w:val="24"/>
                <w:szCs w:val="24"/>
                <w:lang w:val="en-US" w:eastAsia="zh-CN"/>
              </w:rPr>
              <w:t>1条</w:t>
            </w:r>
            <w:r>
              <w:rPr>
                <w:rFonts w:hint="eastAsia"/>
                <w:bCs/>
                <w:sz w:val="24"/>
                <w:szCs w:val="24"/>
              </w:rPr>
              <w:t>蒸压加气混凝土砌块</w:t>
            </w:r>
            <w:r>
              <w:rPr>
                <w:rFonts w:hint="eastAsia"/>
                <w:sz w:val="24"/>
                <w:szCs w:val="24"/>
                <w:vertAlign w:val="baseline"/>
                <w:lang w:val="en-US" w:eastAsia="zh-CN"/>
              </w:rPr>
              <w:t>生产</w:t>
            </w:r>
            <w:r>
              <w:rPr>
                <w:rFonts w:hint="eastAsia"/>
                <w:sz w:val="24"/>
                <w:szCs w:val="24"/>
              </w:rPr>
              <w:t>线</w:t>
            </w:r>
            <w:r>
              <w:rPr>
                <w:rFonts w:hint="eastAsia"/>
                <w:kern w:val="0"/>
                <w:sz w:val="24"/>
                <w:szCs w:val="24"/>
              </w:rPr>
              <w:t>，</w:t>
            </w:r>
            <w:r>
              <w:rPr>
                <w:rFonts w:hint="eastAsia"/>
                <w:kern w:val="0"/>
                <w:sz w:val="24"/>
                <w:szCs w:val="24"/>
                <w:lang w:val="en-US" w:eastAsia="zh-CN"/>
              </w:rPr>
              <w:t>水泵</w:t>
            </w:r>
            <w:r>
              <w:rPr>
                <w:rFonts w:hint="eastAsia"/>
                <w:kern w:val="0"/>
                <w:sz w:val="24"/>
                <w:szCs w:val="24"/>
              </w:rPr>
              <w:t>及其他附属设施</w:t>
            </w:r>
            <w:r>
              <w:rPr>
                <w:rFonts w:hint="eastAsia" w:ascii="宋体" w:hAnsi="宋体" w:cs="宋体"/>
                <w:bCs/>
                <w:sz w:val="24"/>
                <w:szCs w:val="24"/>
              </w:rPr>
              <w:t>。</w:t>
            </w:r>
            <w:r>
              <w:rPr>
                <w:bCs/>
                <w:sz w:val="24"/>
                <w:szCs w:val="24"/>
              </w:rPr>
              <w:t>本项目地理位置见附图1，</w:t>
            </w:r>
            <w:r>
              <w:rPr>
                <w:bCs/>
                <w:color w:val="auto"/>
                <w:sz w:val="24"/>
                <w:szCs w:val="24"/>
              </w:rPr>
              <w:t>卫星影像图见附图2。</w:t>
            </w:r>
          </w:p>
          <w:p w14:paraId="4CD56EE9">
            <w:pPr>
              <w:overflowPunct w:val="0"/>
              <w:spacing w:line="360" w:lineRule="auto"/>
              <w:ind w:firstLine="480" w:firstLineChars="200"/>
              <w:rPr>
                <w:sz w:val="24"/>
                <w:szCs w:val="24"/>
              </w:rPr>
            </w:pPr>
            <w:r>
              <w:rPr>
                <w:sz w:val="24"/>
                <w:szCs w:val="24"/>
              </w:rPr>
              <w:t>本项目主要</w:t>
            </w:r>
            <w:r>
              <w:rPr>
                <w:rFonts w:hint="eastAsia"/>
                <w:sz w:val="24"/>
                <w:szCs w:val="24"/>
              </w:rPr>
              <w:t>建设内容</w:t>
            </w:r>
            <w:r>
              <w:rPr>
                <w:sz w:val="24"/>
                <w:szCs w:val="24"/>
              </w:rPr>
              <w:t>见下表。</w:t>
            </w:r>
          </w:p>
          <w:p w14:paraId="2E924844">
            <w:pPr>
              <w:overflowPunct w:val="0"/>
              <w:ind w:firstLine="422" w:firstLineChars="200"/>
              <w:jc w:val="center"/>
              <w:rPr>
                <w:b/>
                <w:snapToGrid w:val="0"/>
                <w:kern w:val="0"/>
              </w:rPr>
            </w:pPr>
            <w:r>
              <w:rPr>
                <w:b/>
                <w:snapToGrid w:val="0"/>
                <w:kern w:val="0"/>
              </w:rPr>
              <w:t>表</w:t>
            </w:r>
            <w:r>
              <w:rPr>
                <w:rFonts w:hint="eastAsia"/>
                <w:b/>
                <w:snapToGrid w:val="0"/>
                <w:kern w:val="0"/>
              </w:rPr>
              <w:t>2-1</w:t>
            </w:r>
            <w:r>
              <w:rPr>
                <w:b/>
                <w:snapToGrid w:val="0"/>
                <w:kern w:val="0"/>
              </w:rPr>
              <w:t xml:space="preserve">  主要建设内容一览表</w:t>
            </w:r>
          </w:p>
          <w:tbl>
            <w:tblPr>
              <w:tblStyle w:val="24"/>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250"/>
              <w:gridCol w:w="1174"/>
              <w:gridCol w:w="3768"/>
              <w:gridCol w:w="1009"/>
            </w:tblGrid>
            <w:tr w14:paraId="547BC1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78" w:type="pct"/>
                  <w:vAlign w:val="center"/>
                </w:tcPr>
                <w:p w14:paraId="5A2CAE42">
                  <w:pPr>
                    <w:overflowPunct w:val="0"/>
                    <w:jc w:val="center"/>
                    <w:rPr>
                      <w:b/>
                      <w:bCs/>
                      <w:snapToGrid w:val="0"/>
                      <w:kern w:val="0"/>
                    </w:rPr>
                  </w:pPr>
                  <w:r>
                    <w:rPr>
                      <w:b/>
                      <w:bCs/>
                      <w:snapToGrid w:val="0"/>
                      <w:kern w:val="0"/>
                    </w:rPr>
                    <w:t>工程</w:t>
                  </w:r>
                  <w:r>
                    <w:rPr>
                      <w:rFonts w:hint="eastAsia"/>
                      <w:b/>
                      <w:bCs/>
                      <w:snapToGrid w:val="0"/>
                      <w:kern w:val="0"/>
                    </w:rPr>
                    <w:t>组成</w:t>
                  </w:r>
                </w:p>
              </w:tc>
              <w:tc>
                <w:tcPr>
                  <w:tcW w:w="750" w:type="pct"/>
                  <w:vAlign w:val="center"/>
                </w:tcPr>
                <w:p w14:paraId="5D3FF26D">
                  <w:pPr>
                    <w:overflowPunct w:val="0"/>
                    <w:jc w:val="center"/>
                    <w:rPr>
                      <w:b/>
                      <w:bCs/>
                      <w:snapToGrid w:val="0"/>
                      <w:kern w:val="0"/>
                    </w:rPr>
                  </w:pPr>
                  <w:r>
                    <w:rPr>
                      <w:b/>
                      <w:bCs/>
                      <w:snapToGrid w:val="0"/>
                      <w:kern w:val="0"/>
                    </w:rPr>
                    <w:t>工程名称</w:t>
                  </w:r>
                </w:p>
              </w:tc>
              <w:tc>
                <w:tcPr>
                  <w:tcW w:w="704" w:type="pct"/>
                  <w:vAlign w:val="center"/>
                </w:tcPr>
                <w:p w14:paraId="42C711A6">
                  <w:pPr>
                    <w:overflowPunct w:val="0"/>
                    <w:jc w:val="center"/>
                    <w:rPr>
                      <w:b/>
                      <w:bCs/>
                      <w:snapToGrid w:val="0"/>
                      <w:kern w:val="0"/>
                    </w:rPr>
                  </w:pPr>
                  <w:r>
                    <w:rPr>
                      <w:rFonts w:hint="eastAsia"/>
                      <w:b/>
                      <w:bCs/>
                      <w:snapToGrid w:val="0"/>
                      <w:kern w:val="0"/>
                    </w:rPr>
                    <w:t>数量</w:t>
                  </w:r>
                </w:p>
              </w:tc>
              <w:tc>
                <w:tcPr>
                  <w:tcW w:w="2261" w:type="pct"/>
                  <w:vAlign w:val="center"/>
                </w:tcPr>
                <w:p w14:paraId="6221C5A2">
                  <w:pPr>
                    <w:overflowPunct w:val="0"/>
                    <w:jc w:val="center"/>
                    <w:rPr>
                      <w:b/>
                      <w:bCs/>
                      <w:snapToGrid w:val="0"/>
                      <w:kern w:val="0"/>
                    </w:rPr>
                  </w:pPr>
                  <w:r>
                    <w:rPr>
                      <w:rFonts w:hint="eastAsia"/>
                      <w:b/>
                      <w:bCs/>
                      <w:snapToGrid w:val="0"/>
                      <w:kern w:val="0"/>
                    </w:rPr>
                    <w:t>规格</w:t>
                  </w:r>
                </w:p>
              </w:tc>
              <w:tc>
                <w:tcPr>
                  <w:tcW w:w="605" w:type="pct"/>
                  <w:vAlign w:val="center"/>
                </w:tcPr>
                <w:p w14:paraId="132B59D9">
                  <w:pPr>
                    <w:overflowPunct w:val="0"/>
                    <w:jc w:val="center"/>
                    <w:rPr>
                      <w:b/>
                      <w:bCs/>
                      <w:snapToGrid w:val="0"/>
                      <w:kern w:val="0"/>
                    </w:rPr>
                  </w:pPr>
                  <w:r>
                    <w:rPr>
                      <w:rFonts w:hint="eastAsia"/>
                      <w:b/>
                      <w:bCs/>
                      <w:snapToGrid w:val="0"/>
                      <w:kern w:val="0"/>
                    </w:rPr>
                    <w:t>备注</w:t>
                  </w:r>
                </w:p>
              </w:tc>
            </w:tr>
            <w:tr w14:paraId="685827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78" w:type="pct"/>
                  <w:vAlign w:val="center"/>
                </w:tcPr>
                <w:p w14:paraId="39675F14">
                  <w:pPr>
                    <w:overflowPunct w:val="0"/>
                    <w:jc w:val="center"/>
                    <w:rPr>
                      <w:snapToGrid w:val="0"/>
                      <w:kern w:val="0"/>
                    </w:rPr>
                  </w:pPr>
                  <w:r>
                    <w:rPr>
                      <w:snapToGrid w:val="0"/>
                      <w:kern w:val="0"/>
                    </w:rPr>
                    <w:t>主体工程</w:t>
                  </w:r>
                </w:p>
              </w:tc>
              <w:tc>
                <w:tcPr>
                  <w:tcW w:w="750" w:type="pct"/>
                  <w:vAlign w:val="center"/>
                </w:tcPr>
                <w:p w14:paraId="513FA384">
                  <w:pPr>
                    <w:widowControl/>
                    <w:jc w:val="center"/>
                    <w:rPr>
                      <w:snapToGrid w:val="0"/>
                      <w:kern w:val="0"/>
                    </w:rPr>
                  </w:pPr>
                  <w:r>
                    <w:rPr>
                      <w:rFonts w:hint="eastAsia"/>
                      <w:vertAlign w:val="baseline"/>
                      <w:lang w:val="en-US" w:eastAsia="zh-CN"/>
                    </w:rPr>
                    <w:t>生产车间</w:t>
                  </w:r>
                </w:p>
              </w:tc>
              <w:tc>
                <w:tcPr>
                  <w:tcW w:w="704" w:type="pct"/>
                  <w:vAlign w:val="center"/>
                </w:tcPr>
                <w:p w14:paraId="757A9740">
                  <w:pPr>
                    <w:overflowPunct w:val="0"/>
                    <w:jc w:val="center"/>
                    <w:rPr>
                      <w:snapToGrid w:val="0"/>
                      <w:kern w:val="0"/>
                    </w:rPr>
                  </w:pPr>
                  <w:r>
                    <w:rPr>
                      <w:rFonts w:hint="eastAsia"/>
                      <w:snapToGrid w:val="0"/>
                      <w:kern w:val="0"/>
                    </w:rPr>
                    <w:t>1栋</w:t>
                  </w:r>
                </w:p>
              </w:tc>
              <w:tc>
                <w:tcPr>
                  <w:tcW w:w="2261" w:type="pct"/>
                  <w:vAlign w:val="center"/>
                </w:tcPr>
                <w:p w14:paraId="3AC93E30">
                  <w:pPr>
                    <w:widowControl/>
                    <w:jc w:val="left"/>
                    <w:rPr>
                      <w:snapToGrid w:val="0"/>
                      <w:kern w:val="0"/>
                    </w:rPr>
                  </w:pPr>
                  <w:r>
                    <w:rPr>
                      <w:rFonts w:hint="eastAsia"/>
                      <w:kern w:val="0"/>
                      <w:lang w:val="en-US" w:eastAsia="zh-CN"/>
                    </w:rPr>
                    <w:t>建筑</w:t>
                  </w:r>
                  <w:r>
                    <w:rPr>
                      <w:rFonts w:hint="eastAsia"/>
                      <w:kern w:val="0"/>
                      <w:sz w:val="21"/>
                      <w:szCs w:val="21"/>
                      <w:lang w:val="en-US" w:eastAsia="zh-CN"/>
                    </w:rPr>
                    <w:t>面积8985.5</w:t>
                  </w:r>
                  <w:r>
                    <w:rPr>
                      <w:rFonts w:hint="eastAsia"/>
                      <w:kern w:val="0"/>
                      <w:sz w:val="21"/>
                      <w:szCs w:val="21"/>
                    </w:rPr>
                    <w:t>m</w:t>
                  </w:r>
                  <w:r>
                    <w:rPr>
                      <w:rFonts w:hint="eastAsia"/>
                      <w:kern w:val="0"/>
                      <w:sz w:val="21"/>
                      <w:szCs w:val="21"/>
                      <w:vertAlign w:val="superscript"/>
                    </w:rPr>
                    <w:t>2</w:t>
                  </w:r>
                  <w:r>
                    <w:rPr>
                      <w:rFonts w:hint="eastAsia"/>
                      <w:kern w:val="0"/>
                      <w:sz w:val="21"/>
                      <w:szCs w:val="21"/>
                    </w:rPr>
                    <w:t>，</w:t>
                  </w:r>
                  <w:r>
                    <w:rPr>
                      <w:kern w:val="0"/>
                      <w:sz w:val="21"/>
                      <w:szCs w:val="21"/>
                    </w:rPr>
                    <w:t>地上1层，</w:t>
                  </w:r>
                  <w:r>
                    <w:rPr>
                      <w:rFonts w:hint="eastAsia"/>
                      <w:sz w:val="21"/>
                      <w:szCs w:val="21"/>
                    </w:rPr>
                    <w:t>布设1条</w:t>
                  </w:r>
                  <w:r>
                    <w:rPr>
                      <w:rFonts w:hint="eastAsia"/>
                      <w:bCs/>
                      <w:sz w:val="21"/>
                      <w:szCs w:val="21"/>
                    </w:rPr>
                    <w:t>蒸压加气混凝土ALC配筋板材</w:t>
                  </w:r>
                  <w:r>
                    <w:rPr>
                      <w:rFonts w:hint="eastAsia"/>
                      <w:sz w:val="21"/>
                      <w:szCs w:val="21"/>
                      <w:vertAlign w:val="baseline"/>
                      <w:lang w:val="en-US" w:eastAsia="zh-CN"/>
                    </w:rPr>
                    <w:t>生产</w:t>
                  </w:r>
                  <w:r>
                    <w:rPr>
                      <w:rFonts w:hint="eastAsia"/>
                      <w:sz w:val="21"/>
                      <w:szCs w:val="21"/>
                    </w:rPr>
                    <w:t>线</w:t>
                  </w:r>
                  <w:r>
                    <w:rPr>
                      <w:rFonts w:hint="eastAsia"/>
                      <w:sz w:val="21"/>
                      <w:szCs w:val="21"/>
                      <w:lang w:eastAsia="zh-CN"/>
                    </w:rPr>
                    <w:t>，</w:t>
                  </w:r>
                  <w:r>
                    <w:rPr>
                      <w:rFonts w:hint="eastAsia"/>
                      <w:sz w:val="21"/>
                      <w:szCs w:val="21"/>
                      <w:lang w:val="en-US" w:eastAsia="zh-CN"/>
                    </w:rPr>
                    <w:t>1条</w:t>
                  </w:r>
                  <w:r>
                    <w:rPr>
                      <w:rFonts w:hint="eastAsia"/>
                      <w:bCs/>
                      <w:sz w:val="21"/>
                      <w:szCs w:val="21"/>
                    </w:rPr>
                    <w:t>蒸压加气混凝土砌块</w:t>
                  </w:r>
                  <w:r>
                    <w:rPr>
                      <w:rFonts w:hint="eastAsia"/>
                      <w:sz w:val="21"/>
                      <w:szCs w:val="21"/>
                      <w:vertAlign w:val="baseline"/>
                      <w:lang w:val="en-US" w:eastAsia="zh-CN"/>
                    </w:rPr>
                    <w:t>生产</w:t>
                  </w:r>
                  <w:r>
                    <w:rPr>
                      <w:rFonts w:hint="eastAsia"/>
                      <w:sz w:val="21"/>
                      <w:szCs w:val="21"/>
                    </w:rPr>
                    <w:t>线。</w:t>
                  </w:r>
                  <w:r>
                    <w:rPr>
                      <w:sz w:val="21"/>
                      <w:szCs w:val="21"/>
                    </w:rPr>
                    <w:t>等效黏土防渗层渗透系数≤1×10</w:t>
                  </w:r>
                  <w:r>
                    <w:rPr>
                      <w:sz w:val="21"/>
                      <w:szCs w:val="21"/>
                      <w:vertAlign w:val="superscript"/>
                    </w:rPr>
                    <w:t>-7</w:t>
                  </w:r>
                  <w:r>
                    <w:rPr>
                      <w:sz w:val="21"/>
                      <w:szCs w:val="21"/>
                    </w:rPr>
                    <w:t>cm/s，渗透系数≤渗透系数等效黏土防渗</w:t>
                  </w:r>
                </w:p>
              </w:tc>
              <w:tc>
                <w:tcPr>
                  <w:tcW w:w="605" w:type="pct"/>
                  <w:vAlign w:val="center"/>
                </w:tcPr>
                <w:p w14:paraId="79A3125E">
                  <w:pPr>
                    <w:overflowPunct w:val="0"/>
                    <w:jc w:val="center"/>
                    <w:rPr>
                      <w:rFonts w:hint="default" w:eastAsia="宋体"/>
                      <w:snapToGrid w:val="0"/>
                      <w:kern w:val="0"/>
                      <w:lang w:val="en-US" w:eastAsia="zh-CN"/>
                    </w:rPr>
                  </w:pPr>
                  <w:r>
                    <w:rPr>
                      <w:rFonts w:hint="eastAsia"/>
                      <w:snapToGrid w:val="0"/>
                      <w:kern w:val="0"/>
                      <w:lang w:val="en-US" w:eastAsia="zh-CN"/>
                    </w:rPr>
                    <w:t>未建</w:t>
                  </w:r>
                </w:p>
              </w:tc>
            </w:tr>
            <w:tr w14:paraId="77EF06A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78" w:type="pct"/>
                  <w:vMerge w:val="restart"/>
                  <w:vAlign w:val="center"/>
                </w:tcPr>
                <w:p w14:paraId="4BC6A5F7">
                  <w:pPr>
                    <w:overflowPunct w:val="0"/>
                    <w:jc w:val="center"/>
                    <w:rPr>
                      <w:snapToGrid w:val="0"/>
                      <w:kern w:val="0"/>
                    </w:rPr>
                  </w:pPr>
                  <w:r>
                    <w:rPr>
                      <w:rFonts w:hint="eastAsia"/>
                      <w:snapToGrid w:val="0"/>
                      <w:kern w:val="0"/>
                    </w:rPr>
                    <w:t>辅配工程</w:t>
                  </w:r>
                </w:p>
              </w:tc>
              <w:tc>
                <w:tcPr>
                  <w:tcW w:w="750" w:type="pct"/>
                  <w:vAlign w:val="center"/>
                </w:tcPr>
                <w:p w14:paraId="5104C0D8">
                  <w:pPr>
                    <w:overflowPunct w:val="0"/>
                    <w:jc w:val="center"/>
                    <w:rPr>
                      <w:snapToGrid w:val="0"/>
                      <w:kern w:val="0"/>
                    </w:rPr>
                  </w:pPr>
                  <w:r>
                    <w:rPr>
                      <w:rFonts w:hint="eastAsia"/>
                      <w:kern w:val="0"/>
                      <w:lang w:val="en-US" w:eastAsia="zh-CN"/>
                    </w:rPr>
                    <w:t>粉石灰仓</w:t>
                  </w:r>
                </w:p>
              </w:tc>
              <w:tc>
                <w:tcPr>
                  <w:tcW w:w="704" w:type="pct"/>
                  <w:vAlign w:val="center"/>
                </w:tcPr>
                <w:p w14:paraId="6DEC0F5D">
                  <w:pPr>
                    <w:overflowPunct w:val="0"/>
                    <w:jc w:val="center"/>
                    <w:rPr>
                      <w:rFonts w:hint="default" w:eastAsia="宋体"/>
                      <w:snapToGrid w:val="0"/>
                      <w:kern w:val="0"/>
                      <w:lang w:val="en-US" w:eastAsia="zh-CN"/>
                    </w:rPr>
                  </w:pPr>
                  <w:r>
                    <w:rPr>
                      <w:rFonts w:hint="eastAsia"/>
                      <w:snapToGrid w:val="0"/>
                      <w:kern w:val="0"/>
                      <w:lang w:val="en-US" w:eastAsia="zh-CN"/>
                    </w:rPr>
                    <w:t>2个</w:t>
                  </w:r>
                </w:p>
              </w:tc>
              <w:tc>
                <w:tcPr>
                  <w:tcW w:w="2261" w:type="pct"/>
                  <w:vAlign w:val="center"/>
                </w:tcPr>
                <w:p w14:paraId="47DAEE02">
                  <w:pPr>
                    <w:widowControl/>
                    <w:jc w:val="center"/>
                    <w:rPr>
                      <w:rFonts w:hint="default" w:eastAsia="宋体"/>
                      <w:kern w:val="0"/>
                      <w:lang w:val="en-US" w:eastAsia="zh-CN"/>
                    </w:rPr>
                  </w:pPr>
                  <w:r>
                    <w:rPr>
                      <w:rFonts w:hint="eastAsia"/>
                      <w:kern w:val="0"/>
                      <w:lang w:val="en-US" w:eastAsia="zh-CN"/>
                    </w:rPr>
                    <w:t>150t，存放石灰</w:t>
                  </w:r>
                </w:p>
              </w:tc>
              <w:tc>
                <w:tcPr>
                  <w:tcW w:w="605" w:type="pct"/>
                  <w:vAlign w:val="center"/>
                </w:tcPr>
                <w:p w14:paraId="38253749">
                  <w:pPr>
                    <w:overflowPunct w:val="0"/>
                    <w:jc w:val="center"/>
                    <w:rPr>
                      <w:snapToGrid w:val="0"/>
                      <w:kern w:val="0"/>
                    </w:rPr>
                  </w:pPr>
                  <w:r>
                    <w:rPr>
                      <w:rFonts w:hint="eastAsia"/>
                      <w:snapToGrid w:val="0"/>
                      <w:kern w:val="0"/>
                    </w:rPr>
                    <w:t>未建</w:t>
                  </w:r>
                </w:p>
              </w:tc>
            </w:tr>
            <w:tr w14:paraId="473BCC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8" w:type="pct"/>
                  <w:vMerge w:val="continue"/>
                  <w:vAlign w:val="center"/>
                </w:tcPr>
                <w:p w14:paraId="00DC2FFD">
                  <w:pPr>
                    <w:overflowPunct w:val="0"/>
                    <w:jc w:val="center"/>
                    <w:rPr>
                      <w:snapToGrid w:val="0"/>
                      <w:kern w:val="0"/>
                    </w:rPr>
                  </w:pPr>
                </w:p>
              </w:tc>
              <w:tc>
                <w:tcPr>
                  <w:tcW w:w="750" w:type="pct"/>
                  <w:vAlign w:val="center"/>
                </w:tcPr>
                <w:p w14:paraId="5951AAE2">
                  <w:pPr>
                    <w:widowControl/>
                    <w:jc w:val="center"/>
                    <w:rPr>
                      <w:rFonts w:hint="default"/>
                      <w:color w:val="000000"/>
                      <w:kern w:val="0"/>
                      <w:lang w:val="en-US" w:eastAsia="zh-CN"/>
                    </w:rPr>
                  </w:pPr>
                  <w:r>
                    <w:rPr>
                      <w:rFonts w:hint="eastAsia"/>
                      <w:color w:val="000000"/>
                      <w:kern w:val="0"/>
                      <w:lang w:val="en-US" w:eastAsia="zh-CN"/>
                    </w:rPr>
                    <w:t>粉煤灰仓</w:t>
                  </w:r>
                </w:p>
              </w:tc>
              <w:tc>
                <w:tcPr>
                  <w:tcW w:w="704" w:type="pct"/>
                  <w:vAlign w:val="center"/>
                </w:tcPr>
                <w:p w14:paraId="050E8D72">
                  <w:pPr>
                    <w:overflowPunct w:val="0"/>
                    <w:jc w:val="center"/>
                    <w:rPr>
                      <w:rFonts w:hint="eastAsia"/>
                      <w:snapToGrid w:val="0"/>
                      <w:kern w:val="0"/>
                    </w:rPr>
                  </w:pPr>
                  <w:r>
                    <w:rPr>
                      <w:rFonts w:hint="eastAsia"/>
                      <w:snapToGrid w:val="0"/>
                      <w:kern w:val="0"/>
                      <w:lang w:val="en-US" w:eastAsia="zh-CN"/>
                    </w:rPr>
                    <w:t>2</w:t>
                  </w:r>
                  <w:r>
                    <w:rPr>
                      <w:rFonts w:hint="eastAsia"/>
                      <w:snapToGrid w:val="0"/>
                      <w:kern w:val="0"/>
                    </w:rPr>
                    <w:t>个</w:t>
                  </w:r>
                </w:p>
              </w:tc>
              <w:tc>
                <w:tcPr>
                  <w:tcW w:w="2261" w:type="pct"/>
                  <w:vAlign w:val="center"/>
                </w:tcPr>
                <w:p w14:paraId="099E5F80">
                  <w:pPr>
                    <w:widowControl/>
                    <w:jc w:val="center"/>
                    <w:rPr>
                      <w:rFonts w:hint="default"/>
                      <w:kern w:val="0"/>
                      <w:lang w:val="en-US" w:eastAsia="zh-CN"/>
                    </w:rPr>
                  </w:pPr>
                  <w:r>
                    <w:rPr>
                      <w:rFonts w:hint="eastAsia"/>
                      <w:kern w:val="0"/>
                      <w:lang w:val="en-US" w:eastAsia="zh-CN"/>
                    </w:rPr>
                    <w:t>500t，存放粉煤灰</w:t>
                  </w:r>
                </w:p>
              </w:tc>
              <w:tc>
                <w:tcPr>
                  <w:tcW w:w="605" w:type="pct"/>
                  <w:vAlign w:val="center"/>
                </w:tcPr>
                <w:p w14:paraId="2A888D34">
                  <w:pPr>
                    <w:overflowPunct w:val="0"/>
                    <w:jc w:val="center"/>
                    <w:rPr>
                      <w:rFonts w:hint="eastAsia"/>
                      <w:color w:val="000000"/>
                    </w:rPr>
                  </w:pPr>
                  <w:r>
                    <w:rPr>
                      <w:rFonts w:hint="eastAsia"/>
                      <w:snapToGrid w:val="0"/>
                      <w:kern w:val="0"/>
                    </w:rPr>
                    <w:t>未建</w:t>
                  </w:r>
                </w:p>
              </w:tc>
            </w:tr>
            <w:tr w14:paraId="2D54E9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78" w:type="pct"/>
                  <w:vMerge w:val="continue"/>
                  <w:vAlign w:val="center"/>
                </w:tcPr>
                <w:p w14:paraId="26AEE697">
                  <w:pPr>
                    <w:overflowPunct w:val="0"/>
                    <w:jc w:val="center"/>
                    <w:rPr>
                      <w:snapToGrid w:val="0"/>
                      <w:kern w:val="0"/>
                    </w:rPr>
                  </w:pPr>
                </w:p>
              </w:tc>
              <w:tc>
                <w:tcPr>
                  <w:tcW w:w="750" w:type="pct"/>
                  <w:vAlign w:val="center"/>
                </w:tcPr>
                <w:p w14:paraId="4C882A84">
                  <w:pPr>
                    <w:widowControl/>
                    <w:jc w:val="center"/>
                    <w:rPr>
                      <w:rFonts w:hint="default"/>
                      <w:color w:val="000000"/>
                      <w:kern w:val="0"/>
                      <w:lang w:val="en-US" w:eastAsia="zh-CN"/>
                    </w:rPr>
                  </w:pPr>
                  <w:r>
                    <w:rPr>
                      <w:rFonts w:hint="eastAsia"/>
                      <w:color w:val="000000"/>
                      <w:kern w:val="0"/>
                      <w:lang w:val="en-US" w:eastAsia="zh-CN"/>
                    </w:rPr>
                    <w:t>水泥仓</w:t>
                  </w:r>
                </w:p>
              </w:tc>
              <w:tc>
                <w:tcPr>
                  <w:tcW w:w="704" w:type="pct"/>
                  <w:vAlign w:val="center"/>
                </w:tcPr>
                <w:p w14:paraId="2381780E">
                  <w:pPr>
                    <w:overflowPunct w:val="0"/>
                    <w:jc w:val="center"/>
                    <w:rPr>
                      <w:rFonts w:hint="eastAsia"/>
                      <w:snapToGrid w:val="0"/>
                      <w:kern w:val="0"/>
                    </w:rPr>
                  </w:pPr>
                  <w:r>
                    <w:rPr>
                      <w:rFonts w:hint="eastAsia"/>
                      <w:snapToGrid w:val="0"/>
                      <w:kern w:val="0"/>
                      <w:lang w:val="en-US" w:eastAsia="zh-CN"/>
                    </w:rPr>
                    <w:t>2</w:t>
                  </w:r>
                  <w:r>
                    <w:rPr>
                      <w:rFonts w:hint="eastAsia"/>
                      <w:snapToGrid w:val="0"/>
                      <w:kern w:val="0"/>
                    </w:rPr>
                    <w:t>个</w:t>
                  </w:r>
                </w:p>
              </w:tc>
              <w:tc>
                <w:tcPr>
                  <w:tcW w:w="2261" w:type="pct"/>
                  <w:vAlign w:val="center"/>
                </w:tcPr>
                <w:p w14:paraId="6A4603C4">
                  <w:pPr>
                    <w:widowControl/>
                    <w:jc w:val="center"/>
                    <w:rPr>
                      <w:rFonts w:hint="default"/>
                      <w:kern w:val="0"/>
                      <w:lang w:val="en-US" w:eastAsia="zh-CN"/>
                    </w:rPr>
                  </w:pPr>
                  <w:r>
                    <w:rPr>
                      <w:rFonts w:hint="eastAsia"/>
                      <w:kern w:val="0"/>
                      <w:lang w:val="en-US" w:eastAsia="zh-CN"/>
                    </w:rPr>
                    <w:t>150t，存放水泥</w:t>
                  </w:r>
                </w:p>
              </w:tc>
              <w:tc>
                <w:tcPr>
                  <w:tcW w:w="605" w:type="pct"/>
                  <w:vAlign w:val="center"/>
                </w:tcPr>
                <w:p w14:paraId="3F7190FB">
                  <w:pPr>
                    <w:snapToGrid w:val="0"/>
                    <w:jc w:val="center"/>
                    <w:rPr>
                      <w:rFonts w:hint="eastAsia"/>
                      <w:color w:val="000000"/>
                    </w:rPr>
                  </w:pPr>
                  <w:r>
                    <w:rPr>
                      <w:rFonts w:hint="eastAsia"/>
                      <w:color w:val="000000"/>
                    </w:rPr>
                    <w:t>未建</w:t>
                  </w:r>
                </w:p>
              </w:tc>
            </w:tr>
            <w:tr w14:paraId="35660B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78" w:type="pct"/>
                  <w:vMerge w:val="continue"/>
                  <w:vAlign w:val="center"/>
                </w:tcPr>
                <w:p w14:paraId="1CC23A86">
                  <w:pPr>
                    <w:overflowPunct w:val="0"/>
                    <w:jc w:val="center"/>
                    <w:rPr>
                      <w:snapToGrid w:val="0"/>
                      <w:kern w:val="0"/>
                    </w:rPr>
                  </w:pPr>
                </w:p>
              </w:tc>
              <w:tc>
                <w:tcPr>
                  <w:tcW w:w="750" w:type="pct"/>
                  <w:vAlign w:val="center"/>
                </w:tcPr>
                <w:p w14:paraId="639EE6EE">
                  <w:pPr>
                    <w:widowControl/>
                    <w:jc w:val="center"/>
                    <w:rPr>
                      <w:rFonts w:hint="default"/>
                      <w:color w:val="000000"/>
                      <w:kern w:val="0"/>
                      <w:lang w:val="en-US" w:eastAsia="zh-CN"/>
                    </w:rPr>
                  </w:pPr>
                  <w:r>
                    <w:rPr>
                      <w:rFonts w:hint="eastAsia"/>
                      <w:color w:val="000000"/>
                      <w:kern w:val="0"/>
                      <w:lang w:val="en-US" w:eastAsia="zh-CN"/>
                    </w:rPr>
                    <w:t>办公生活区</w:t>
                  </w:r>
                </w:p>
              </w:tc>
              <w:tc>
                <w:tcPr>
                  <w:tcW w:w="704" w:type="pct"/>
                  <w:vAlign w:val="center"/>
                </w:tcPr>
                <w:p w14:paraId="5503CF4A">
                  <w:pPr>
                    <w:overflowPunct w:val="0"/>
                    <w:jc w:val="center"/>
                    <w:rPr>
                      <w:rFonts w:hint="default"/>
                      <w:snapToGrid w:val="0"/>
                      <w:kern w:val="0"/>
                      <w:lang w:val="en-US" w:eastAsia="zh-CN"/>
                    </w:rPr>
                  </w:pPr>
                  <w:r>
                    <w:rPr>
                      <w:rFonts w:hint="eastAsia"/>
                      <w:snapToGrid w:val="0"/>
                      <w:kern w:val="0"/>
                      <w:lang w:val="en-US" w:eastAsia="zh-CN"/>
                    </w:rPr>
                    <w:t>1座</w:t>
                  </w:r>
                </w:p>
              </w:tc>
              <w:tc>
                <w:tcPr>
                  <w:tcW w:w="2261" w:type="pct"/>
                  <w:vAlign w:val="center"/>
                </w:tcPr>
                <w:p w14:paraId="730A42CC">
                  <w:pPr>
                    <w:widowControl/>
                    <w:jc w:val="center"/>
                    <w:rPr>
                      <w:rFonts w:hint="eastAsia"/>
                      <w:kern w:val="0"/>
                      <w:lang w:val="en-US" w:eastAsia="zh-CN"/>
                    </w:rPr>
                  </w:pPr>
                  <w:r>
                    <w:rPr>
                      <w:rFonts w:hint="eastAsia"/>
                      <w:kern w:val="0"/>
                      <w:lang w:val="en-US" w:eastAsia="zh-CN"/>
                    </w:rPr>
                    <w:t>建筑</w:t>
                  </w:r>
                  <w:r>
                    <w:rPr>
                      <w:rFonts w:hint="eastAsia"/>
                      <w:kern w:val="0"/>
                      <w:sz w:val="21"/>
                      <w:szCs w:val="21"/>
                      <w:lang w:val="en-US" w:eastAsia="zh-CN"/>
                    </w:rPr>
                    <w:t>面积210</w:t>
                  </w:r>
                  <w:r>
                    <w:rPr>
                      <w:rFonts w:hint="eastAsia"/>
                      <w:kern w:val="0"/>
                      <w:sz w:val="21"/>
                      <w:szCs w:val="21"/>
                    </w:rPr>
                    <w:t>m</w:t>
                  </w:r>
                  <w:r>
                    <w:rPr>
                      <w:rFonts w:hint="eastAsia"/>
                      <w:kern w:val="0"/>
                      <w:sz w:val="21"/>
                      <w:szCs w:val="21"/>
                      <w:vertAlign w:val="superscript"/>
                    </w:rPr>
                    <w:t>2</w:t>
                  </w:r>
                  <w:r>
                    <w:rPr>
                      <w:rFonts w:hint="eastAsia"/>
                      <w:kern w:val="0"/>
                      <w:sz w:val="21"/>
                      <w:szCs w:val="21"/>
                    </w:rPr>
                    <w:t>，</w:t>
                  </w:r>
                  <w:r>
                    <w:rPr>
                      <w:kern w:val="0"/>
                      <w:sz w:val="21"/>
                      <w:szCs w:val="21"/>
                    </w:rPr>
                    <w:t>地上</w:t>
                  </w:r>
                  <w:r>
                    <w:rPr>
                      <w:rFonts w:hint="eastAsia"/>
                      <w:kern w:val="0"/>
                      <w:sz w:val="21"/>
                      <w:szCs w:val="21"/>
                      <w:lang w:val="en-US" w:eastAsia="zh-CN"/>
                    </w:rPr>
                    <w:t>3</w:t>
                  </w:r>
                  <w:r>
                    <w:rPr>
                      <w:kern w:val="0"/>
                      <w:sz w:val="21"/>
                      <w:szCs w:val="21"/>
                    </w:rPr>
                    <w:t>层</w:t>
                  </w:r>
                </w:p>
              </w:tc>
              <w:tc>
                <w:tcPr>
                  <w:tcW w:w="605" w:type="pct"/>
                  <w:vAlign w:val="center"/>
                </w:tcPr>
                <w:p w14:paraId="0D094699">
                  <w:pPr>
                    <w:snapToGrid w:val="0"/>
                    <w:jc w:val="center"/>
                    <w:rPr>
                      <w:rFonts w:hint="eastAsia"/>
                      <w:color w:val="000000"/>
                    </w:rPr>
                  </w:pPr>
                  <w:r>
                    <w:rPr>
                      <w:rFonts w:hint="eastAsia"/>
                      <w:color w:val="000000"/>
                    </w:rPr>
                    <w:t>未建</w:t>
                  </w:r>
                </w:p>
              </w:tc>
            </w:tr>
            <w:tr w14:paraId="2362E24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78" w:type="pct"/>
                  <w:vMerge w:val="continue"/>
                  <w:vAlign w:val="center"/>
                </w:tcPr>
                <w:p w14:paraId="71318464">
                  <w:pPr>
                    <w:overflowPunct w:val="0"/>
                    <w:jc w:val="center"/>
                    <w:rPr>
                      <w:snapToGrid w:val="0"/>
                      <w:kern w:val="0"/>
                    </w:rPr>
                  </w:pPr>
                </w:p>
              </w:tc>
              <w:tc>
                <w:tcPr>
                  <w:tcW w:w="750" w:type="pct"/>
                  <w:vAlign w:val="center"/>
                </w:tcPr>
                <w:p w14:paraId="456B744D">
                  <w:pPr>
                    <w:widowControl/>
                    <w:jc w:val="center"/>
                    <w:rPr>
                      <w:rFonts w:hint="default"/>
                      <w:color w:val="000000"/>
                      <w:kern w:val="0"/>
                      <w:lang w:val="en-US" w:eastAsia="zh-CN"/>
                    </w:rPr>
                  </w:pPr>
                  <w:r>
                    <w:rPr>
                      <w:rFonts w:hint="eastAsia"/>
                      <w:color w:val="000000"/>
                      <w:kern w:val="0"/>
                      <w:lang w:val="en-US" w:eastAsia="zh-CN"/>
                    </w:rPr>
                    <w:t>门卫</w:t>
                  </w:r>
                </w:p>
              </w:tc>
              <w:tc>
                <w:tcPr>
                  <w:tcW w:w="704" w:type="pct"/>
                  <w:vAlign w:val="center"/>
                </w:tcPr>
                <w:p w14:paraId="4B98E701">
                  <w:pPr>
                    <w:overflowPunct w:val="0"/>
                    <w:jc w:val="center"/>
                    <w:rPr>
                      <w:rFonts w:hint="default"/>
                      <w:snapToGrid w:val="0"/>
                      <w:kern w:val="0"/>
                      <w:lang w:val="en-US" w:eastAsia="zh-CN"/>
                    </w:rPr>
                  </w:pPr>
                  <w:r>
                    <w:rPr>
                      <w:rFonts w:hint="eastAsia"/>
                      <w:snapToGrid w:val="0"/>
                      <w:kern w:val="0"/>
                      <w:lang w:val="en-US" w:eastAsia="zh-CN"/>
                    </w:rPr>
                    <w:t>1间</w:t>
                  </w:r>
                </w:p>
              </w:tc>
              <w:tc>
                <w:tcPr>
                  <w:tcW w:w="2261" w:type="pct"/>
                  <w:vAlign w:val="center"/>
                </w:tcPr>
                <w:p w14:paraId="78F33B15">
                  <w:pPr>
                    <w:widowControl/>
                    <w:jc w:val="center"/>
                    <w:rPr>
                      <w:rFonts w:hint="eastAsia"/>
                      <w:kern w:val="0"/>
                      <w:lang w:val="en-US" w:eastAsia="zh-CN"/>
                    </w:rPr>
                  </w:pPr>
                  <w:r>
                    <w:rPr>
                      <w:rFonts w:hint="eastAsia"/>
                      <w:kern w:val="0"/>
                      <w:lang w:val="en-US" w:eastAsia="zh-CN"/>
                    </w:rPr>
                    <w:t>建筑</w:t>
                  </w:r>
                  <w:r>
                    <w:rPr>
                      <w:rFonts w:hint="eastAsia"/>
                      <w:kern w:val="0"/>
                      <w:sz w:val="21"/>
                      <w:szCs w:val="21"/>
                      <w:lang w:val="en-US" w:eastAsia="zh-CN"/>
                    </w:rPr>
                    <w:t>面积124</w:t>
                  </w:r>
                  <w:r>
                    <w:rPr>
                      <w:rFonts w:hint="eastAsia"/>
                      <w:kern w:val="0"/>
                      <w:sz w:val="21"/>
                      <w:szCs w:val="21"/>
                    </w:rPr>
                    <w:t>m</w:t>
                  </w:r>
                  <w:r>
                    <w:rPr>
                      <w:rFonts w:hint="eastAsia"/>
                      <w:kern w:val="0"/>
                      <w:sz w:val="21"/>
                      <w:szCs w:val="21"/>
                      <w:vertAlign w:val="superscript"/>
                    </w:rPr>
                    <w:t>2</w:t>
                  </w:r>
                  <w:r>
                    <w:rPr>
                      <w:rFonts w:hint="eastAsia"/>
                      <w:kern w:val="0"/>
                      <w:sz w:val="21"/>
                      <w:szCs w:val="21"/>
                    </w:rPr>
                    <w:t>，</w:t>
                  </w:r>
                  <w:r>
                    <w:rPr>
                      <w:kern w:val="0"/>
                      <w:sz w:val="21"/>
                      <w:szCs w:val="21"/>
                    </w:rPr>
                    <w:t>地上1层</w:t>
                  </w:r>
                </w:p>
              </w:tc>
              <w:tc>
                <w:tcPr>
                  <w:tcW w:w="605" w:type="pct"/>
                  <w:vAlign w:val="center"/>
                </w:tcPr>
                <w:p w14:paraId="4E6C70CD">
                  <w:pPr>
                    <w:snapToGrid w:val="0"/>
                    <w:jc w:val="center"/>
                    <w:rPr>
                      <w:rFonts w:hint="eastAsia" w:eastAsia="宋体"/>
                      <w:color w:val="000000"/>
                      <w:lang w:eastAsia="zh-CN"/>
                    </w:rPr>
                  </w:pPr>
                  <w:r>
                    <w:rPr>
                      <w:rFonts w:hint="eastAsia"/>
                      <w:color w:val="000000"/>
                      <w:lang w:val="en-US" w:eastAsia="zh-CN"/>
                    </w:rPr>
                    <w:t>未建</w:t>
                  </w:r>
                </w:p>
              </w:tc>
            </w:tr>
            <w:tr w14:paraId="1162DD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678" w:type="pct"/>
                  <w:vMerge w:val="restart"/>
                  <w:vAlign w:val="center"/>
                </w:tcPr>
                <w:p w14:paraId="16203161">
                  <w:pPr>
                    <w:overflowPunct w:val="0"/>
                    <w:jc w:val="center"/>
                    <w:rPr>
                      <w:snapToGrid w:val="0"/>
                      <w:kern w:val="0"/>
                    </w:rPr>
                  </w:pPr>
                  <w:r>
                    <w:rPr>
                      <w:snapToGrid w:val="0"/>
                      <w:kern w:val="0"/>
                    </w:rPr>
                    <w:t>公用工程</w:t>
                  </w:r>
                </w:p>
              </w:tc>
              <w:tc>
                <w:tcPr>
                  <w:tcW w:w="750" w:type="pct"/>
                  <w:vAlign w:val="center"/>
                </w:tcPr>
                <w:p w14:paraId="12FCAB9B">
                  <w:pPr>
                    <w:overflowPunct w:val="0"/>
                    <w:jc w:val="center"/>
                    <w:rPr>
                      <w:snapToGrid w:val="0"/>
                      <w:kern w:val="0"/>
                    </w:rPr>
                  </w:pPr>
                  <w:r>
                    <w:rPr>
                      <w:snapToGrid w:val="0"/>
                      <w:kern w:val="0"/>
                    </w:rPr>
                    <w:t>供电</w:t>
                  </w:r>
                </w:p>
              </w:tc>
              <w:tc>
                <w:tcPr>
                  <w:tcW w:w="3571" w:type="pct"/>
                  <w:gridSpan w:val="3"/>
                  <w:vAlign w:val="center"/>
                </w:tcPr>
                <w:p w14:paraId="613A9509">
                  <w:pPr>
                    <w:overflowPunct w:val="0"/>
                    <w:jc w:val="center"/>
                    <w:rPr>
                      <w:snapToGrid w:val="0"/>
                      <w:kern w:val="0"/>
                    </w:rPr>
                  </w:pPr>
                  <w:r>
                    <w:rPr>
                      <w:rFonts w:hint="eastAsia"/>
                      <w:color w:val="000000"/>
                    </w:rPr>
                    <w:t>由</w:t>
                  </w:r>
                  <w:r>
                    <w:rPr>
                      <w:color w:val="000000"/>
                    </w:rPr>
                    <w:t>园区供电系统</w:t>
                  </w:r>
                  <w:r>
                    <w:rPr>
                      <w:rFonts w:hint="eastAsia"/>
                      <w:color w:val="000000"/>
                    </w:rPr>
                    <w:t>供给</w:t>
                  </w:r>
                </w:p>
              </w:tc>
            </w:tr>
            <w:tr w14:paraId="23A4E3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78" w:type="pct"/>
                  <w:vMerge w:val="continue"/>
                  <w:vAlign w:val="center"/>
                </w:tcPr>
                <w:p w14:paraId="404D86F6">
                  <w:pPr>
                    <w:overflowPunct w:val="0"/>
                    <w:jc w:val="center"/>
                  </w:pPr>
                </w:p>
              </w:tc>
              <w:tc>
                <w:tcPr>
                  <w:tcW w:w="750" w:type="pct"/>
                  <w:vAlign w:val="center"/>
                </w:tcPr>
                <w:p w14:paraId="76F51F45">
                  <w:pPr>
                    <w:overflowPunct w:val="0"/>
                    <w:jc w:val="center"/>
                    <w:rPr>
                      <w:snapToGrid w:val="0"/>
                      <w:kern w:val="0"/>
                    </w:rPr>
                  </w:pPr>
                  <w:r>
                    <w:rPr>
                      <w:snapToGrid w:val="0"/>
                      <w:kern w:val="0"/>
                    </w:rPr>
                    <w:t>供水</w:t>
                  </w:r>
                </w:p>
              </w:tc>
              <w:tc>
                <w:tcPr>
                  <w:tcW w:w="3571" w:type="pct"/>
                  <w:gridSpan w:val="3"/>
                  <w:vAlign w:val="center"/>
                </w:tcPr>
                <w:p w14:paraId="383549D0">
                  <w:pPr>
                    <w:overflowPunct w:val="0"/>
                    <w:jc w:val="center"/>
                    <w:rPr>
                      <w:snapToGrid w:val="0"/>
                      <w:kern w:val="0"/>
                    </w:rPr>
                  </w:pPr>
                  <w:r>
                    <w:rPr>
                      <w:rFonts w:hint="eastAsia"/>
                      <w:color w:val="000000"/>
                    </w:rPr>
                    <w:t>由</w:t>
                  </w:r>
                  <w:r>
                    <w:rPr>
                      <w:color w:val="000000"/>
                    </w:rPr>
                    <w:t>园区供水管网</w:t>
                  </w:r>
                  <w:r>
                    <w:rPr>
                      <w:rFonts w:hint="eastAsia"/>
                      <w:color w:val="000000"/>
                    </w:rPr>
                    <w:t>供给</w:t>
                  </w:r>
                </w:p>
              </w:tc>
            </w:tr>
            <w:tr w14:paraId="262E44C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78" w:type="pct"/>
                  <w:vMerge w:val="continue"/>
                  <w:vAlign w:val="center"/>
                </w:tcPr>
                <w:p w14:paraId="0BF838C9">
                  <w:pPr>
                    <w:overflowPunct w:val="0"/>
                    <w:jc w:val="center"/>
                  </w:pPr>
                </w:p>
              </w:tc>
              <w:tc>
                <w:tcPr>
                  <w:tcW w:w="750" w:type="pct"/>
                  <w:vAlign w:val="center"/>
                </w:tcPr>
                <w:p w14:paraId="1A84C3E5">
                  <w:pPr>
                    <w:overflowPunct w:val="0"/>
                    <w:jc w:val="center"/>
                    <w:rPr>
                      <w:snapToGrid w:val="0"/>
                      <w:kern w:val="0"/>
                    </w:rPr>
                  </w:pPr>
                  <w:r>
                    <w:rPr>
                      <w:rFonts w:hint="eastAsia"/>
                      <w:snapToGrid w:val="0"/>
                      <w:kern w:val="0"/>
                    </w:rPr>
                    <w:t>排水</w:t>
                  </w:r>
                </w:p>
              </w:tc>
              <w:tc>
                <w:tcPr>
                  <w:tcW w:w="3571" w:type="pct"/>
                  <w:gridSpan w:val="3"/>
                  <w:vAlign w:val="center"/>
                </w:tcPr>
                <w:p w14:paraId="37FD1E29">
                  <w:pPr>
                    <w:overflowPunct w:val="0"/>
                    <w:jc w:val="center"/>
                    <w:rPr>
                      <w:rFonts w:hint="eastAsia" w:eastAsia="宋体"/>
                      <w:snapToGrid w:val="0"/>
                      <w:kern w:val="0"/>
                      <w:lang w:val="en-US" w:eastAsia="zh-CN"/>
                    </w:rPr>
                  </w:pPr>
                  <w:r>
                    <w:rPr>
                      <w:color w:val="000000"/>
                    </w:rPr>
                    <w:t>本项目营运期无生产工艺废水产生，生活污水</w:t>
                  </w:r>
                  <w:r>
                    <w:rPr>
                      <w:rFonts w:hint="eastAsia"/>
                      <w:color w:val="000000"/>
                    </w:rPr>
                    <w:t>经</w:t>
                  </w:r>
                  <w:r>
                    <w:rPr>
                      <w:rFonts w:hint="eastAsia"/>
                      <w:color w:val="000000"/>
                      <w:lang w:val="en-US" w:eastAsia="zh-CN"/>
                    </w:rPr>
                    <w:t>污水管网排入</w:t>
                  </w:r>
                  <w:r>
                    <w:rPr>
                      <w:rFonts w:hint="eastAsia" w:ascii="宋体" w:hAnsi="宋体" w:cs="宋体"/>
                      <w:lang w:val="en-US" w:eastAsia="zh-CN"/>
                    </w:rPr>
                    <w:t>园区</w:t>
                  </w:r>
                  <w:r>
                    <w:rPr>
                      <w:rFonts w:hint="eastAsia" w:ascii="宋体" w:hAnsi="宋体" w:eastAsia="宋体" w:cs="宋体"/>
                      <w:lang w:val="en-US" w:eastAsia="zh-CN"/>
                    </w:rPr>
                    <w:t>污水处理厂</w:t>
                  </w:r>
                  <w:r>
                    <w:rPr>
                      <w:rFonts w:hint="eastAsia"/>
                      <w:color w:val="000000"/>
                      <w:lang w:val="en-US" w:eastAsia="zh-CN"/>
                    </w:rPr>
                    <w:t>处理</w:t>
                  </w:r>
                </w:p>
              </w:tc>
            </w:tr>
            <w:tr w14:paraId="2D2BE9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678" w:type="pct"/>
                  <w:vMerge w:val="continue"/>
                  <w:vAlign w:val="center"/>
                </w:tcPr>
                <w:p w14:paraId="37B7494E">
                  <w:pPr>
                    <w:overflowPunct w:val="0"/>
                    <w:jc w:val="center"/>
                    <w:rPr>
                      <w:snapToGrid w:val="0"/>
                      <w:kern w:val="0"/>
                    </w:rPr>
                  </w:pPr>
                </w:p>
              </w:tc>
              <w:tc>
                <w:tcPr>
                  <w:tcW w:w="750" w:type="pct"/>
                  <w:vAlign w:val="center"/>
                </w:tcPr>
                <w:p w14:paraId="0E9E8591">
                  <w:pPr>
                    <w:overflowPunct w:val="0"/>
                    <w:jc w:val="center"/>
                    <w:rPr>
                      <w:rFonts w:hint="eastAsia" w:eastAsia="宋体"/>
                      <w:snapToGrid w:val="0"/>
                      <w:kern w:val="0"/>
                      <w:lang w:eastAsia="zh-CN"/>
                    </w:rPr>
                  </w:pPr>
                  <w:r>
                    <w:rPr>
                      <w:rFonts w:hint="eastAsia"/>
                      <w:snapToGrid w:val="0"/>
                      <w:kern w:val="0"/>
                    </w:rPr>
                    <w:t>供</w:t>
                  </w:r>
                  <w:r>
                    <w:rPr>
                      <w:rFonts w:hint="eastAsia"/>
                      <w:snapToGrid w:val="0"/>
                      <w:kern w:val="0"/>
                      <w:lang w:val="en-US" w:eastAsia="zh-CN"/>
                    </w:rPr>
                    <w:t>热</w:t>
                  </w:r>
                </w:p>
              </w:tc>
              <w:tc>
                <w:tcPr>
                  <w:tcW w:w="3571" w:type="pct"/>
                  <w:gridSpan w:val="3"/>
                  <w:vAlign w:val="center"/>
                </w:tcPr>
                <w:p w14:paraId="487BCDE4">
                  <w:pPr>
                    <w:overflowPunct w:val="0"/>
                    <w:jc w:val="center"/>
                    <w:rPr>
                      <w:snapToGrid w:val="0"/>
                      <w:kern w:val="0"/>
                    </w:rPr>
                  </w:pPr>
                  <w:r>
                    <w:rPr>
                      <w:rFonts w:hint="eastAsia"/>
                      <w:color w:val="auto"/>
                      <w:spacing w:val="0"/>
                      <w:position w:val="0"/>
                      <w:highlight w:val="none"/>
                      <w:lang w:val="en-US" w:eastAsia="zh-CN"/>
                    </w:rPr>
                    <w:t>项目生产所用蒸汽由园区提供；项目冬季不生产，无生活供暖需求</w:t>
                  </w:r>
                </w:p>
              </w:tc>
            </w:tr>
            <w:tr w14:paraId="297FC7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78" w:type="pct"/>
                  <w:vMerge w:val="restart"/>
                  <w:vAlign w:val="center"/>
                </w:tcPr>
                <w:p w14:paraId="19B5351C">
                  <w:pPr>
                    <w:overflowPunct w:val="0"/>
                    <w:jc w:val="center"/>
                    <w:rPr>
                      <w:snapToGrid w:val="0"/>
                      <w:kern w:val="0"/>
                    </w:rPr>
                  </w:pPr>
                  <w:r>
                    <w:rPr>
                      <w:snapToGrid w:val="0"/>
                      <w:kern w:val="0"/>
                    </w:rPr>
                    <w:t>环保工程</w:t>
                  </w:r>
                </w:p>
              </w:tc>
              <w:tc>
                <w:tcPr>
                  <w:tcW w:w="750" w:type="pct"/>
                  <w:vMerge w:val="restart"/>
                  <w:vAlign w:val="center"/>
                </w:tcPr>
                <w:p w14:paraId="2BB42693">
                  <w:pPr>
                    <w:overflowPunct w:val="0"/>
                    <w:jc w:val="center"/>
                    <w:rPr>
                      <w:snapToGrid w:val="0"/>
                      <w:kern w:val="0"/>
                    </w:rPr>
                  </w:pPr>
                  <w:r>
                    <w:rPr>
                      <w:snapToGrid w:val="0"/>
                      <w:kern w:val="0"/>
                    </w:rPr>
                    <w:t>废水处理</w:t>
                  </w:r>
                </w:p>
              </w:tc>
              <w:tc>
                <w:tcPr>
                  <w:tcW w:w="704" w:type="pct"/>
                  <w:vAlign w:val="center"/>
                </w:tcPr>
                <w:p w14:paraId="357D9F11">
                  <w:pPr>
                    <w:overflowPunct w:val="0"/>
                    <w:jc w:val="center"/>
                    <w:rPr>
                      <w:snapToGrid w:val="0"/>
                      <w:kern w:val="0"/>
                    </w:rPr>
                  </w:pPr>
                  <w:r>
                    <w:t>生活污水</w:t>
                  </w:r>
                </w:p>
              </w:tc>
              <w:tc>
                <w:tcPr>
                  <w:tcW w:w="2867" w:type="pct"/>
                  <w:gridSpan w:val="2"/>
                  <w:vAlign w:val="center"/>
                </w:tcPr>
                <w:p w14:paraId="6CAD5968">
                  <w:pPr>
                    <w:overflowPunct w:val="0"/>
                    <w:jc w:val="center"/>
                  </w:pPr>
                  <w:r>
                    <w:rPr>
                      <w:color w:val="000000"/>
                    </w:rPr>
                    <w:t>生活污水</w:t>
                  </w:r>
                  <w:r>
                    <w:rPr>
                      <w:rFonts w:hint="eastAsia"/>
                      <w:color w:val="000000"/>
                    </w:rPr>
                    <w:t>经</w:t>
                  </w:r>
                  <w:r>
                    <w:rPr>
                      <w:rFonts w:hint="eastAsia"/>
                      <w:color w:val="000000"/>
                      <w:lang w:val="en-US" w:eastAsia="zh-CN"/>
                    </w:rPr>
                    <w:t>污水管网排入</w:t>
                  </w:r>
                  <w:r>
                    <w:rPr>
                      <w:rFonts w:hint="eastAsia" w:ascii="宋体" w:hAnsi="宋体" w:cs="宋体"/>
                      <w:lang w:val="en-US" w:eastAsia="zh-CN"/>
                    </w:rPr>
                    <w:t>园区</w:t>
                  </w:r>
                  <w:r>
                    <w:rPr>
                      <w:rFonts w:hint="eastAsia" w:ascii="宋体" w:hAnsi="宋体" w:eastAsia="宋体" w:cs="宋体"/>
                      <w:lang w:val="en-US" w:eastAsia="zh-CN"/>
                    </w:rPr>
                    <w:t>污水处理厂</w:t>
                  </w:r>
                  <w:r>
                    <w:rPr>
                      <w:rFonts w:hint="eastAsia"/>
                      <w:color w:val="000000"/>
                      <w:lang w:val="en-US" w:eastAsia="zh-CN"/>
                    </w:rPr>
                    <w:t>处理</w:t>
                  </w:r>
                </w:p>
              </w:tc>
            </w:tr>
            <w:tr w14:paraId="6127AB9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78" w:type="pct"/>
                  <w:vMerge w:val="continue"/>
                  <w:vAlign w:val="center"/>
                </w:tcPr>
                <w:p w14:paraId="4084ED7C">
                  <w:pPr>
                    <w:overflowPunct w:val="0"/>
                    <w:jc w:val="center"/>
                    <w:rPr>
                      <w:snapToGrid w:val="0"/>
                      <w:kern w:val="0"/>
                    </w:rPr>
                  </w:pPr>
                </w:p>
              </w:tc>
              <w:tc>
                <w:tcPr>
                  <w:tcW w:w="750" w:type="pct"/>
                  <w:vMerge w:val="continue"/>
                  <w:vAlign w:val="center"/>
                </w:tcPr>
                <w:p w14:paraId="56CBB821">
                  <w:pPr>
                    <w:overflowPunct w:val="0"/>
                    <w:jc w:val="center"/>
                    <w:rPr>
                      <w:snapToGrid w:val="0"/>
                      <w:kern w:val="0"/>
                    </w:rPr>
                  </w:pPr>
                </w:p>
              </w:tc>
              <w:tc>
                <w:tcPr>
                  <w:tcW w:w="704" w:type="pct"/>
                  <w:vAlign w:val="center"/>
                </w:tcPr>
                <w:p w14:paraId="707CACE0">
                  <w:pPr>
                    <w:overflowPunct w:val="0"/>
                    <w:jc w:val="center"/>
                  </w:pPr>
                  <w:r>
                    <w:rPr>
                      <w:rFonts w:hint="eastAsia"/>
                    </w:rPr>
                    <w:t>生产废水</w:t>
                  </w:r>
                </w:p>
              </w:tc>
              <w:tc>
                <w:tcPr>
                  <w:tcW w:w="2867" w:type="pct"/>
                  <w:gridSpan w:val="2"/>
                  <w:vAlign w:val="center"/>
                </w:tcPr>
                <w:p w14:paraId="66CE9161">
                  <w:pPr>
                    <w:overflowPunct w:val="0"/>
                    <w:jc w:val="center"/>
                  </w:pPr>
                  <w:r>
                    <w:rPr>
                      <w:rFonts w:hint="eastAsia"/>
                    </w:rPr>
                    <w:t>本项目无生产废水</w:t>
                  </w:r>
                </w:p>
              </w:tc>
            </w:tr>
            <w:tr w14:paraId="2ADFBF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78" w:type="pct"/>
                  <w:vMerge w:val="continue"/>
                  <w:vAlign w:val="center"/>
                </w:tcPr>
                <w:p w14:paraId="08A1B1F5">
                  <w:pPr>
                    <w:overflowPunct w:val="0"/>
                    <w:jc w:val="center"/>
                  </w:pPr>
                </w:p>
              </w:tc>
              <w:tc>
                <w:tcPr>
                  <w:tcW w:w="750" w:type="pct"/>
                  <w:vAlign w:val="center"/>
                </w:tcPr>
                <w:p w14:paraId="59D9410E">
                  <w:pPr>
                    <w:overflowPunct w:val="0"/>
                    <w:jc w:val="center"/>
                    <w:rPr>
                      <w:snapToGrid w:val="0"/>
                      <w:kern w:val="0"/>
                    </w:rPr>
                  </w:pPr>
                  <w:r>
                    <w:rPr>
                      <w:snapToGrid w:val="0"/>
                      <w:kern w:val="0"/>
                    </w:rPr>
                    <w:t>废气处理</w:t>
                  </w:r>
                </w:p>
              </w:tc>
              <w:tc>
                <w:tcPr>
                  <w:tcW w:w="3571" w:type="pct"/>
                  <w:gridSpan w:val="3"/>
                  <w:vAlign w:val="center"/>
                </w:tcPr>
                <w:p w14:paraId="5B1DAA39">
                  <w:pPr>
                    <w:pStyle w:val="23"/>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sz w:val="21"/>
                      <w:szCs w:val="21"/>
                    </w:rPr>
                  </w:pPr>
                  <w:r>
                    <w:rPr>
                      <w:rFonts w:hint="eastAsia"/>
                      <w:sz w:val="21"/>
                      <w:szCs w:val="21"/>
                    </w:rPr>
                    <w:t>颗粒物：集气罩+布袋除尘器+15m排气筒</w:t>
                  </w:r>
                </w:p>
                <w:p w14:paraId="6FC3D8A4">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lang w:val="en-US" w:eastAsia="zh-CN"/>
                    </w:rPr>
                  </w:pPr>
                  <w:r>
                    <w:rPr>
                      <w:rFonts w:hint="eastAsia"/>
                      <w:sz w:val="21"/>
                      <w:szCs w:val="21"/>
                      <w:lang w:val="en-US" w:eastAsia="zh-CN"/>
                    </w:rPr>
                    <w:t>有机废气：集气</w:t>
                  </w:r>
                  <w:r>
                    <w:rPr>
                      <w:rFonts w:hint="eastAsia" w:ascii="Times New Roman" w:hAnsi="Times New Roman" w:eastAsia="宋体" w:cs="Times New Roman"/>
                      <w:kern w:val="2"/>
                      <w:sz w:val="21"/>
                      <w:szCs w:val="21"/>
                      <w:lang w:val="en-US" w:eastAsia="zh-CN" w:bidi="ar-SA"/>
                    </w:rPr>
                    <w:t>罩+二级活性炭吸附装置+15m排气</w:t>
                  </w:r>
                  <w:r>
                    <w:rPr>
                      <w:rFonts w:hint="eastAsia"/>
                      <w:sz w:val="21"/>
                      <w:szCs w:val="21"/>
                    </w:rPr>
                    <w:t>筒</w:t>
                  </w:r>
                </w:p>
              </w:tc>
            </w:tr>
            <w:tr w14:paraId="20925B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78" w:type="pct"/>
                  <w:vMerge w:val="continue"/>
                  <w:vAlign w:val="center"/>
                </w:tcPr>
                <w:p w14:paraId="7DCB1FD6">
                  <w:pPr>
                    <w:overflowPunct w:val="0"/>
                    <w:jc w:val="center"/>
                    <w:rPr>
                      <w:snapToGrid w:val="0"/>
                      <w:kern w:val="0"/>
                    </w:rPr>
                  </w:pPr>
                </w:p>
              </w:tc>
              <w:tc>
                <w:tcPr>
                  <w:tcW w:w="750" w:type="pct"/>
                  <w:vAlign w:val="center"/>
                </w:tcPr>
                <w:p w14:paraId="76112071">
                  <w:pPr>
                    <w:overflowPunct w:val="0"/>
                    <w:jc w:val="center"/>
                    <w:rPr>
                      <w:snapToGrid w:val="0"/>
                      <w:kern w:val="0"/>
                    </w:rPr>
                  </w:pPr>
                  <w:r>
                    <w:rPr>
                      <w:snapToGrid w:val="0"/>
                      <w:kern w:val="0"/>
                    </w:rPr>
                    <w:t>噪声处理</w:t>
                  </w:r>
                </w:p>
              </w:tc>
              <w:tc>
                <w:tcPr>
                  <w:tcW w:w="3571" w:type="pct"/>
                  <w:gridSpan w:val="3"/>
                  <w:vAlign w:val="center"/>
                </w:tcPr>
                <w:p w14:paraId="011F363D">
                  <w:pPr>
                    <w:overflowPunct w:val="0"/>
                    <w:jc w:val="center"/>
                    <w:rPr>
                      <w:snapToGrid w:val="0"/>
                      <w:kern w:val="0"/>
                    </w:rPr>
                  </w:pPr>
                  <w:r>
                    <w:t>选用低噪声设备，减振基础、减振垫</w:t>
                  </w:r>
                </w:p>
              </w:tc>
            </w:tr>
            <w:tr w14:paraId="47E236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678" w:type="pct"/>
                  <w:vMerge w:val="continue"/>
                  <w:vAlign w:val="center"/>
                </w:tcPr>
                <w:p w14:paraId="03E1A6D1">
                  <w:pPr>
                    <w:overflowPunct w:val="0"/>
                    <w:jc w:val="center"/>
                    <w:rPr>
                      <w:snapToGrid w:val="0"/>
                      <w:kern w:val="0"/>
                    </w:rPr>
                  </w:pPr>
                </w:p>
              </w:tc>
              <w:tc>
                <w:tcPr>
                  <w:tcW w:w="750" w:type="pct"/>
                  <w:vMerge w:val="restart"/>
                  <w:vAlign w:val="center"/>
                </w:tcPr>
                <w:p w14:paraId="3B3F5923">
                  <w:pPr>
                    <w:overflowPunct w:val="0"/>
                    <w:jc w:val="center"/>
                    <w:rPr>
                      <w:snapToGrid w:val="0"/>
                      <w:kern w:val="0"/>
                    </w:rPr>
                  </w:pPr>
                  <w:r>
                    <w:rPr>
                      <w:snapToGrid w:val="0"/>
                      <w:kern w:val="0"/>
                    </w:rPr>
                    <w:t>固废处理</w:t>
                  </w:r>
                </w:p>
              </w:tc>
              <w:tc>
                <w:tcPr>
                  <w:tcW w:w="3571" w:type="pct"/>
                  <w:gridSpan w:val="3"/>
                  <w:vAlign w:val="center"/>
                </w:tcPr>
                <w:p w14:paraId="339F5CCE">
                  <w:pPr>
                    <w:overflowPunct w:val="0"/>
                    <w:jc w:val="center"/>
                    <w:rPr>
                      <w:snapToGrid w:val="0"/>
                      <w:kern w:val="0"/>
                    </w:rPr>
                  </w:pPr>
                  <w:r>
                    <w:rPr>
                      <w:color w:val="000000"/>
                    </w:rPr>
                    <w:t>生活垃圾</w:t>
                  </w:r>
                  <w:r>
                    <w:rPr>
                      <w:rFonts w:hint="eastAsia"/>
                      <w:color w:val="000000"/>
                    </w:rPr>
                    <w:t>集中</w:t>
                  </w:r>
                  <w:r>
                    <w:rPr>
                      <w:color w:val="000000"/>
                    </w:rPr>
                    <w:t>收集后交由当地环卫部门进行集中处理</w:t>
                  </w:r>
                </w:p>
              </w:tc>
            </w:tr>
            <w:tr w14:paraId="259091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78" w:type="pct"/>
                  <w:vMerge w:val="continue"/>
                  <w:vAlign w:val="center"/>
                </w:tcPr>
                <w:p w14:paraId="7073F1E8">
                  <w:pPr>
                    <w:overflowPunct w:val="0"/>
                    <w:jc w:val="center"/>
                  </w:pPr>
                </w:p>
              </w:tc>
              <w:tc>
                <w:tcPr>
                  <w:tcW w:w="750" w:type="pct"/>
                  <w:vMerge w:val="continue"/>
                  <w:vAlign w:val="center"/>
                </w:tcPr>
                <w:p w14:paraId="4A822467">
                  <w:pPr>
                    <w:overflowPunct w:val="0"/>
                    <w:jc w:val="center"/>
                  </w:pPr>
                </w:p>
              </w:tc>
              <w:tc>
                <w:tcPr>
                  <w:tcW w:w="3571" w:type="pct"/>
                  <w:gridSpan w:val="3"/>
                  <w:vAlign w:val="center"/>
                </w:tcPr>
                <w:p w14:paraId="5244FBF9">
                  <w:pPr>
                    <w:keepNext w:val="0"/>
                    <w:keepLines w:val="0"/>
                    <w:widowControl/>
                    <w:suppressLineNumbers w:val="0"/>
                    <w:jc w:val="left"/>
                    <w:rPr>
                      <w:rFonts w:hint="eastAsia" w:eastAsia="宋体"/>
                      <w:snapToGrid w:val="0"/>
                      <w:kern w:val="0"/>
                      <w:lang w:eastAsia="zh-CN"/>
                    </w:rPr>
                  </w:pPr>
                  <w:r>
                    <w:rPr>
                      <w:rFonts w:hint="default" w:ascii="Times New Roman" w:hAnsi="Times New Roman" w:eastAsia="宋体" w:cs="Times New Roman"/>
                      <w:color w:val="000000"/>
                      <w:sz w:val="21"/>
                      <w:szCs w:val="21"/>
                      <w:lang w:val="en-US" w:eastAsia="zh-CN"/>
                    </w:rPr>
                    <w:t>边角料及不合格品回用于生产；</w:t>
                  </w:r>
                  <w:r>
                    <w:rPr>
                      <w:rFonts w:hint="default" w:ascii="Times New Roman" w:hAnsi="Times New Roman" w:eastAsia="宋体" w:cs="Times New Roman"/>
                      <w:color w:val="000000"/>
                      <w:sz w:val="21"/>
                      <w:szCs w:val="21"/>
                    </w:rPr>
                    <w:t>布袋除尘器收集的粉尘集中收集后回</w:t>
                  </w:r>
                  <w:r>
                    <w:rPr>
                      <w:rFonts w:hint="default" w:ascii="Times New Roman" w:hAnsi="Times New Roman" w:eastAsia="宋体" w:cs="Times New Roman"/>
                      <w:color w:val="auto"/>
                      <w:sz w:val="21"/>
                      <w:szCs w:val="21"/>
                    </w:rPr>
                    <w:t>用于生产</w:t>
                  </w:r>
                  <w:r>
                    <w:rPr>
                      <w:rFonts w:hint="default" w:ascii="Times New Roman" w:hAnsi="Times New Roman" w:eastAsia="宋体" w:cs="Times New Roman"/>
                      <w:color w:val="000000"/>
                      <w:sz w:val="21"/>
                      <w:szCs w:val="21"/>
                    </w:rPr>
                    <w:t>；废</w:t>
                  </w:r>
                  <w:r>
                    <w:rPr>
                      <w:rFonts w:hint="eastAsia" w:cs="Times New Roman"/>
                      <w:color w:val="000000"/>
                      <w:sz w:val="21"/>
                      <w:szCs w:val="21"/>
                      <w:lang w:val="en-US" w:eastAsia="zh-CN"/>
                    </w:rPr>
                    <w:t>钢筋</w:t>
                  </w:r>
                  <w:r>
                    <w:rPr>
                      <w:rFonts w:hint="default" w:ascii="Times New Roman" w:hAnsi="Times New Roman" w:eastAsia="宋体" w:cs="Times New Roman"/>
                      <w:sz w:val="21"/>
                      <w:szCs w:val="21"/>
                    </w:rPr>
                    <w:t>定点存放，定期</w:t>
                  </w:r>
                  <w:r>
                    <w:rPr>
                      <w:rFonts w:hint="eastAsia" w:cs="Times New Roman"/>
                      <w:sz w:val="21"/>
                      <w:szCs w:val="21"/>
                      <w:lang w:val="en-US" w:eastAsia="zh-CN"/>
                    </w:rPr>
                    <w:t>外售</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color w:val="000000"/>
                      <w:kern w:val="0"/>
                      <w:sz w:val="21"/>
                      <w:szCs w:val="21"/>
                      <w:lang w:val="en-US" w:eastAsia="zh-CN" w:bidi="ar"/>
                    </w:rPr>
                    <w:t>危险废物在</w:t>
                  </w:r>
                  <w:r>
                    <w:rPr>
                      <w:rFonts w:hint="eastAsia" w:cs="Times New Roman"/>
                      <w:color w:val="000000"/>
                      <w:kern w:val="0"/>
                      <w:sz w:val="21"/>
                      <w:szCs w:val="21"/>
                      <w:lang w:val="en-US" w:eastAsia="zh-CN" w:bidi="ar"/>
                    </w:rPr>
                    <w:t>危废贮存库</w:t>
                  </w:r>
                  <w:r>
                    <w:rPr>
                      <w:rFonts w:hint="default" w:ascii="Times New Roman" w:hAnsi="Times New Roman" w:eastAsia="宋体" w:cs="Times New Roman"/>
                      <w:color w:val="000000"/>
                      <w:kern w:val="0"/>
                      <w:sz w:val="21"/>
                      <w:szCs w:val="21"/>
                      <w:lang w:val="en-US" w:eastAsia="zh-CN" w:bidi="ar"/>
                    </w:rPr>
                    <w:t>进行暂存，并委托有资质单位定期清运处置</w:t>
                  </w:r>
                </w:p>
              </w:tc>
            </w:tr>
          </w:tbl>
          <w:p w14:paraId="08CB156A">
            <w:pPr>
              <w:pStyle w:val="4"/>
              <w:rPr>
                <w:sz w:val="24"/>
                <w:szCs w:val="24"/>
              </w:rPr>
            </w:pPr>
            <w:r>
              <w:rPr>
                <w:rFonts w:hint="eastAsia"/>
                <w:sz w:val="24"/>
                <w:szCs w:val="24"/>
              </w:rPr>
              <w:t>2.</w:t>
            </w:r>
            <w:r>
              <w:rPr>
                <w:sz w:val="24"/>
                <w:szCs w:val="24"/>
              </w:rPr>
              <w:t>主要设备</w:t>
            </w:r>
          </w:p>
          <w:p w14:paraId="76DA63DA">
            <w:pPr>
              <w:spacing w:line="360" w:lineRule="auto"/>
              <w:ind w:firstLine="480" w:firstLineChars="200"/>
              <w:rPr>
                <w:sz w:val="24"/>
                <w:szCs w:val="24"/>
              </w:rPr>
            </w:pPr>
            <w:r>
              <w:rPr>
                <w:rFonts w:hint="eastAsia"/>
                <w:sz w:val="24"/>
                <w:szCs w:val="24"/>
              </w:rPr>
              <w:t>主要设备见下表。</w:t>
            </w:r>
          </w:p>
          <w:p w14:paraId="38B8F24C">
            <w:pPr>
              <w:pStyle w:val="38"/>
              <w:overflowPunct w:val="0"/>
              <w:rPr>
                <w:b/>
                <w:bCs/>
                <w:snapToGrid w:val="0"/>
              </w:rPr>
            </w:pPr>
            <w:r>
              <w:rPr>
                <w:b/>
                <w:bCs/>
                <w:snapToGrid w:val="0"/>
              </w:rPr>
              <w:t>表</w:t>
            </w:r>
            <w:r>
              <w:rPr>
                <w:rFonts w:hint="eastAsia"/>
                <w:b/>
                <w:bCs/>
                <w:snapToGrid w:val="0"/>
              </w:rPr>
              <w:t>2-</w:t>
            </w:r>
            <w:r>
              <w:rPr>
                <w:rFonts w:hint="eastAsia"/>
                <w:b/>
                <w:bCs/>
                <w:snapToGrid w:val="0"/>
                <w:lang w:val="en-US" w:eastAsia="zh-CN"/>
              </w:rPr>
              <w:t>2</w:t>
            </w:r>
            <w:r>
              <w:rPr>
                <w:b/>
                <w:bCs/>
                <w:snapToGrid w:val="0"/>
              </w:rPr>
              <w:t xml:space="preserve">  主要设备一览表</w:t>
            </w:r>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2158"/>
              <w:gridCol w:w="1159"/>
              <w:gridCol w:w="727"/>
              <w:gridCol w:w="3081"/>
            </w:tblGrid>
            <w:tr w14:paraId="507B55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25" w:type="pct"/>
                  <w:vAlign w:val="center"/>
                </w:tcPr>
                <w:p w14:paraId="67002C98">
                  <w:pPr>
                    <w:pStyle w:val="7"/>
                    <w:pageBreakBefore w:val="0"/>
                    <w:kinsoku/>
                    <w:wordWrap/>
                    <w:overflowPunct w:val="0"/>
                    <w:topLinePunct w:val="0"/>
                    <w:bidi w:val="0"/>
                    <w:adjustRightInd/>
                    <w:snapToGrid/>
                    <w:spacing w:line="240" w:lineRule="auto"/>
                    <w:ind w:right="0" w:firstLine="0" w:firstLineChars="0"/>
                    <w:jc w:val="center"/>
                    <w:textAlignment w:val="auto"/>
                    <w:rPr>
                      <w:rFonts w:hint="default" w:ascii="Times New Roman" w:hAnsi="Times New Roman" w:cs="Times New Roman"/>
                      <w:b/>
                      <w:sz w:val="21"/>
                      <w:szCs w:val="21"/>
                    </w:rPr>
                  </w:pPr>
                  <w:r>
                    <w:rPr>
                      <w:rFonts w:hint="default" w:ascii="Times New Roman" w:hAnsi="Times New Roman" w:cs="Times New Roman"/>
                      <w:b/>
                      <w:sz w:val="21"/>
                      <w:szCs w:val="21"/>
                    </w:rPr>
                    <w:t>序号</w:t>
                  </w:r>
                </w:p>
              </w:tc>
              <w:tc>
                <w:tcPr>
                  <w:tcW w:w="1294" w:type="pct"/>
                  <w:vAlign w:val="center"/>
                </w:tcPr>
                <w:p w14:paraId="023A1256">
                  <w:pPr>
                    <w:pStyle w:val="7"/>
                    <w:pageBreakBefore w:val="0"/>
                    <w:kinsoku/>
                    <w:wordWrap/>
                    <w:overflowPunct w:val="0"/>
                    <w:topLinePunct w:val="0"/>
                    <w:bidi w:val="0"/>
                    <w:adjustRightInd/>
                    <w:snapToGrid/>
                    <w:spacing w:line="240" w:lineRule="auto"/>
                    <w:ind w:right="0" w:firstLine="0" w:firstLineChars="0"/>
                    <w:jc w:val="center"/>
                    <w:textAlignment w:val="auto"/>
                    <w:rPr>
                      <w:rFonts w:hint="default" w:ascii="Times New Roman" w:hAnsi="Times New Roman" w:cs="Times New Roman"/>
                      <w:b/>
                      <w:sz w:val="21"/>
                      <w:szCs w:val="21"/>
                    </w:rPr>
                  </w:pPr>
                  <w:r>
                    <w:rPr>
                      <w:rFonts w:hint="default" w:ascii="Times New Roman" w:hAnsi="Times New Roman" w:cs="Times New Roman"/>
                      <w:b/>
                      <w:sz w:val="21"/>
                      <w:szCs w:val="21"/>
                    </w:rPr>
                    <w:t>设备名称</w:t>
                  </w:r>
                </w:p>
              </w:tc>
              <w:tc>
                <w:tcPr>
                  <w:tcW w:w="695" w:type="pct"/>
                  <w:vAlign w:val="center"/>
                </w:tcPr>
                <w:p w14:paraId="599E67DD">
                  <w:pPr>
                    <w:pStyle w:val="7"/>
                    <w:pageBreakBefore w:val="0"/>
                    <w:kinsoku/>
                    <w:wordWrap/>
                    <w:overflowPunct w:val="0"/>
                    <w:topLinePunct w:val="0"/>
                    <w:bidi w:val="0"/>
                    <w:adjustRightInd/>
                    <w:snapToGrid/>
                    <w:spacing w:line="240" w:lineRule="auto"/>
                    <w:ind w:right="0" w:firstLine="0" w:firstLineChars="0"/>
                    <w:jc w:val="center"/>
                    <w:textAlignment w:val="auto"/>
                    <w:rPr>
                      <w:rFonts w:hint="default" w:ascii="Times New Roman" w:hAnsi="Times New Roman" w:cs="Times New Roman"/>
                      <w:b/>
                      <w:sz w:val="21"/>
                      <w:szCs w:val="21"/>
                    </w:rPr>
                  </w:pPr>
                  <w:r>
                    <w:rPr>
                      <w:rFonts w:hint="default" w:ascii="Times New Roman" w:hAnsi="Times New Roman" w:cs="Times New Roman"/>
                      <w:b/>
                      <w:sz w:val="21"/>
                      <w:szCs w:val="21"/>
                    </w:rPr>
                    <w:t>单位</w:t>
                  </w:r>
                </w:p>
              </w:tc>
              <w:tc>
                <w:tcPr>
                  <w:tcW w:w="436" w:type="pct"/>
                  <w:vAlign w:val="center"/>
                </w:tcPr>
                <w:p w14:paraId="2B8CDED6">
                  <w:pPr>
                    <w:pStyle w:val="7"/>
                    <w:pageBreakBefore w:val="0"/>
                    <w:kinsoku/>
                    <w:wordWrap/>
                    <w:overflowPunct w:val="0"/>
                    <w:topLinePunct w:val="0"/>
                    <w:bidi w:val="0"/>
                    <w:adjustRightInd/>
                    <w:snapToGrid/>
                    <w:spacing w:line="240" w:lineRule="auto"/>
                    <w:ind w:right="0" w:firstLine="0" w:firstLineChars="0"/>
                    <w:jc w:val="center"/>
                    <w:textAlignment w:val="auto"/>
                    <w:rPr>
                      <w:rFonts w:hint="default" w:ascii="Times New Roman" w:hAnsi="Times New Roman" w:cs="Times New Roman"/>
                      <w:b/>
                      <w:sz w:val="21"/>
                      <w:szCs w:val="21"/>
                    </w:rPr>
                  </w:pPr>
                  <w:r>
                    <w:rPr>
                      <w:rFonts w:hint="default" w:ascii="Times New Roman" w:hAnsi="Times New Roman" w:cs="Times New Roman"/>
                      <w:b/>
                      <w:sz w:val="21"/>
                      <w:szCs w:val="21"/>
                    </w:rPr>
                    <w:t>数量</w:t>
                  </w:r>
                </w:p>
              </w:tc>
              <w:tc>
                <w:tcPr>
                  <w:tcW w:w="1848" w:type="pct"/>
                  <w:vAlign w:val="center"/>
                </w:tcPr>
                <w:p w14:paraId="484F109C">
                  <w:pPr>
                    <w:pStyle w:val="7"/>
                    <w:pageBreakBefore w:val="0"/>
                    <w:kinsoku/>
                    <w:wordWrap/>
                    <w:overflowPunct w:val="0"/>
                    <w:topLinePunct w:val="0"/>
                    <w:bidi w:val="0"/>
                    <w:adjustRightInd/>
                    <w:snapToGrid/>
                    <w:spacing w:line="240" w:lineRule="auto"/>
                    <w:ind w:right="0" w:firstLine="0" w:firstLineChars="0"/>
                    <w:jc w:val="center"/>
                    <w:textAlignment w:val="auto"/>
                    <w:rPr>
                      <w:rFonts w:hint="default" w:ascii="Times New Roman" w:hAnsi="Times New Roman" w:cs="Times New Roman"/>
                      <w:b/>
                      <w:sz w:val="21"/>
                      <w:szCs w:val="21"/>
                    </w:rPr>
                  </w:pPr>
                  <w:r>
                    <w:rPr>
                      <w:rFonts w:hint="default" w:ascii="Times New Roman" w:hAnsi="Times New Roman" w:cs="Times New Roman"/>
                      <w:b/>
                      <w:sz w:val="21"/>
                      <w:szCs w:val="21"/>
                    </w:rPr>
                    <w:t>型号</w:t>
                  </w:r>
                </w:p>
              </w:tc>
            </w:tr>
            <w:tr w14:paraId="21FAFE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25" w:type="pct"/>
                  <w:vAlign w:val="center"/>
                </w:tcPr>
                <w:p w14:paraId="1E518549">
                  <w:pPr>
                    <w:pStyle w:val="7"/>
                    <w:pageBreakBefore w:val="0"/>
                    <w:kinsoku/>
                    <w:wordWrap/>
                    <w:overflowPunct w:val="0"/>
                    <w:topLinePunct w:val="0"/>
                    <w:bidi w:val="0"/>
                    <w:adjustRightInd/>
                    <w:snapToGrid/>
                    <w:spacing w:line="240" w:lineRule="auto"/>
                    <w:ind w:right="0" w:firstLine="0" w:firstLineChars="0"/>
                    <w:jc w:val="center"/>
                    <w:textAlignment w:val="auto"/>
                    <w:rPr>
                      <w:rFonts w:hint="default" w:ascii="Times New Roman" w:hAnsi="Times New Roman" w:cs="Times New Roman"/>
                      <w:bCs w:val="0"/>
                      <w:sz w:val="21"/>
                      <w:szCs w:val="21"/>
                    </w:rPr>
                  </w:pPr>
                  <w:r>
                    <w:rPr>
                      <w:rFonts w:hint="default" w:ascii="Times New Roman" w:hAnsi="Times New Roman" w:cs="Times New Roman"/>
                      <w:bCs w:val="0"/>
                      <w:sz w:val="21"/>
                      <w:szCs w:val="21"/>
                    </w:rPr>
                    <w:t>1</w:t>
                  </w:r>
                </w:p>
              </w:tc>
              <w:tc>
                <w:tcPr>
                  <w:tcW w:w="1294" w:type="pct"/>
                  <w:vAlign w:val="center"/>
                </w:tcPr>
                <w:p w14:paraId="7F9934DC">
                  <w:pPr>
                    <w:pageBreakBefore w:val="0"/>
                    <w:widowControl/>
                    <w:kinsoku/>
                    <w:wordWrap/>
                    <w:topLinePunct w:val="0"/>
                    <w:bidi w:val="0"/>
                    <w:adjustRightInd/>
                    <w:snapToGrid/>
                    <w:ind w:right="0"/>
                    <w:jc w:val="center"/>
                    <w:textAlignment w:val="auto"/>
                    <w:rPr>
                      <w:rFonts w:hint="default" w:ascii="Times New Roman" w:hAnsi="Times New Roman" w:cs="Times New Roman"/>
                      <w:sz w:val="21"/>
                      <w:szCs w:val="21"/>
                    </w:rPr>
                  </w:pPr>
                  <w:r>
                    <w:rPr>
                      <w:rFonts w:hint="default" w:ascii="Times New Roman" w:hAnsi="Times New Roman" w:cs="Times New Roman"/>
                      <w:color w:val="000000"/>
                      <w:kern w:val="0"/>
                      <w:sz w:val="21"/>
                      <w:szCs w:val="21"/>
                      <w:lang w:val="en-US" w:eastAsia="zh-CN"/>
                    </w:rPr>
                    <w:t>粉煤灰仓</w:t>
                  </w:r>
                </w:p>
              </w:tc>
              <w:tc>
                <w:tcPr>
                  <w:tcW w:w="695" w:type="pct"/>
                  <w:vAlign w:val="center"/>
                </w:tcPr>
                <w:p w14:paraId="127C0B0D">
                  <w:pPr>
                    <w:pageBreakBefore w:val="0"/>
                    <w:kinsoku/>
                    <w:wordWrap/>
                    <w:topLinePunct w:val="0"/>
                    <w:bidi w:val="0"/>
                    <w:adjustRightInd/>
                    <w:snapToGrid/>
                    <w:ind w:right="0"/>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个</w:t>
                  </w:r>
                </w:p>
              </w:tc>
              <w:tc>
                <w:tcPr>
                  <w:tcW w:w="436" w:type="pct"/>
                  <w:vAlign w:val="center"/>
                </w:tcPr>
                <w:p w14:paraId="67C31A15">
                  <w:pPr>
                    <w:pageBreakBefore w:val="0"/>
                    <w:kinsoku/>
                    <w:wordWrap/>
                    <w:overflowPunct w:val="0"/>
                    <w:topLinePunct w:val="0"/>
                    <w:bidi w:val="0"/>
                    <w:adjustRightInd/>
                    <w:snapToGrid/>
                    <w:ind w:right="0"/>
                    <w:jc w:val="center"/>
                    <w:textAlignment w:val="auto"/>
                    <w:rPr>
                      <w:rFonts w:hint="default" w:ascii="Times New Roman" w:hAnsi="Times New Roman" w:cs="Times New Roman"/>
                      <w:sz w:val="21"/>
                      <w:szCs w:val="21"/>
                    </w:rPr>
                  </w:pPr>
                  <w:r>
                    <w:rPr>
                      <w:rFonts w:hint="default" w:ascii="Times New Roman" w:hAnsi="Times New Roman" w:cs="Times New Roman"/>
                      <w:snapToGrid w:val="0"/>
                      <w:kern w:val="0"/>
                      <w:sz w:val="21"/>
                      <w:szCs w:val="21"/>
                      <w:lang w:val="en-US" w:eastAsia="zh-CN"/>
                    </w:rPr>
                    <w:t>2</w:t>
                  </w:r>
                </w:p>
              </w:tc>
              <w:tc>
                <w:tcPr>
                  <w:tcW w:w="1848" w:type="pct"/>
                  <w:vAlign w:val="center"/>
                </w:tcPr>
                <w:p w14:paraId="3FEE2F25">
                  <w:pPr>
                    <w:pStyle w:val="49"/>
                    <w:pageBreakBefore w:val="0"/>
                    <w:kinsoku/>
                    <w:wordWrap/>
                    <w:topLinePunct w:val="0"/>
                    <w:bidi w:val="0"/>
                    <w:adjustRightInd/>
                    <w:snapToGrid/>
                    <w:ind w:right="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500t</w:t>
                  </w:r>
                </w:p>
              </w:tc>
            </w:tr>
            <w:tr w14:paraId="0761E5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pct"/>
                  <w:vAlign w:val="center"/>
                </w:tcPr>
                <w:p w14:paraId="05BC5DEB">
                  <w:pPr>
                    <w:pStyle w:val="7"/>
                    <w:pageBreakBefore w:val="0"/>
                    <w:kinsoku/>
                    <w:wordWrap/>
                    <w:overflowPunct w:val="0"/>
                    <w:topLinePunct w:val="0"/>
                    <w:bidi w:val="0"/>
                    <w:adjustRightInd/>
                    <w:snapToGrid/>
                    <w:spacing w:line="240" w:lineRule="auto"/>
                    <w:ind w:right="0" w:firstLine="0" w:firstLineChars="0"/>
                    <w:jc w:val="center"/>
                    <w:textAlignment w:val="auto"/>
                    <w:rPr>
                      <w:rFonts w:hint="default" w:ascii="Times New Roman" w:hAnsi="Times New Roman" w:cs="Times New Roman"/>
                      <w:bCs w:val="0"/>
                      <w:sz w:val="21"/>
                      <w:szCs w:val="21"/>
                    </w:rPr>
                  </w:pPr>
                  <w:r>
                    <w:rPr>
                      <w:rFonts w:hint="default" w:ascii="Times New Roman" w:hAnsi="Times New Roman" w:cs="Times New Roman"/>
                      <w:bCs w:val="0"/>
                      <w:sz w:val="21"/>
                      <w:szCs w:val="21"/>
                    </w:rPr>
                    <w:t>2</w:t>
                  </w:r>
                </w:p>
              </w:tc>
              <w:tc>
                <w:tcPr>
                  <w:tcW w:w="1294" w:type="pct"/>
                  <w:vAlign w:val="center"/>
                </w:tcPr>
                <w:p w14:paraId="761A7278">
                  <w:pPr>
                    <w:pageBreakBefore w:val="0"/>
                    <w:widowControl/>
                    <w:kinsoku/>
                    <w:wordWrap/>
                    <w:topLinePunct w:val="0"/>
                    <w:bidi w:val="0"/>
                    <w:adjustRightInd/>
                    <w:snapToGrid/>
                    <w:ind w:right="0"/>
                    <w:jc w:val="center"/>
                    <w:textAlignment w:val="auto"/>
                    <w:rPr>
                      <w:rFonts w:hint="default" w:ascii="Times New Roman" w:hAnsi="Times New Roman" w:cs="Times New Roman"/>
                      <w:sz w:val="21"/>
                      <w:szCs w:val="21"/>
                    </w:rPr>
                  </w:pPr>
                  <w:r>
                    <w:rPr>
                      <w:rFonts w:hint="default" w:ascii="Times New Roman" w:hAnsi="Times New Roman" w:cs="Times New Roman"/>
                      <w:color w:val="000000"/>
                      <w:kern w:val="0"/>
                      <w:sz w:val="21"/>
                      <w:szCs w:val="21"/>
                      <w:lang w:val="en-US" w:eastAsia="zh-CN"/>
                    </w:rPr>
                    <w:t>水泥仓</w:t>
                  </w:r>
                </w:p>
              </w:tc>
              <w:tc>
                <w:tcPr>
                  <w:tcW w:w="695" w:type="pct"/>
                  <w:vAlign w:val="center"/>
                </w:tcPr>
                <w:p w14:paraId="2944E0FD">
                  <w:pPr>
                    <w:pageBreakBefore w:val="0"/>
                    <w:kinsoku/>
                    <w:wordWrap/>
                    <w:topLinePunct w:val="0"/>
                    <w:autoSpaceDE w:val="0"/>
                    <w:autoSpaceDN w:val="0"/>
                    <w:bidi w:val="0"/>
                    <w:adjustRightInd/>
                    <w:snapToGrid/>
                    <w:ind w:right="0"/>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个</w:t>
                  </w:r>
                </w:p>
              </w:tc>
              <w:tc>
                <w:tcPr>
                  <w:tcW w:w="436" w:type="pct"/>
                  <w:vAlign w:val="center"/>
                </w:tcPr>
                <w:p w14:paraId="018760AC">
                  <w:pPr>
                    <w:pageBreakBefore w:val="0"/>
                    <w:kinsoku/>
                    <w:wordWrap/>
                    <w:overflowPunct w:val="0"/>
                    <w:topLinePunct w:val="0"/>
                    <w:bidi w:val="0"/>
                    <w:adjustRightInd/>
                    <w:snapToGrid/>
                    <w:ind w:right="0"/>
                    <w:jc w:val="center"/>
                    <w:textAlignment w:val="auto"/>
                    <w:rPr>
                      <w:rFonts w:hint="default" w:ascii="Times New Roman" w:hAnsi="Times New Roman" w:cs="Times New Roman"/>
                      <w:sz w:val="21"/>
                      <w:szCs w:val="21"/>
                    </w:rPr>
                  </w:pPr>
                  <w:r>
                    <w:rPr>
                      <w:rFonts w:hint="default" w:ascii="Times New Roman" w:hAnsi="Times New Roman" w:cs="Times New Roman"/>
                      <w:snapToGrid w:val="0"/>
                      <w:kern w:val="0"/>
                      <w:sz w:val="21"/>
                      <w:szCs w:val="21"/>
                      <w:lang w:val="en-US" w:eastAsia="zh-CN"/>
                    </w:rPr>
                    <w:t>2</w:t>
                  </w:r>
                </w:p>
              </w:tc>
              <w:tc>
                <w:tcPr>
                  <w:tcW w:w="1848" w:type="pct"/>
                  <w:vAlign w:val="center"/>
                </w:tcPr>
                <w:p w14:paraId="75A96849">
                  <w:pPr>
                    <w:pStyle w:val="49"/>
                    <w:pageBreakBefore w:val="0"/>
                    <w:kinsoku/>
                    <w:wordWrap/>
                    <w:topLinePunct w:val="0"/>
                    <w:bidi w:val="0"/>
                    <w:adjustRightInd/>
                    <w:snapToGrid/>
                    <w:ind w:right="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150t</w:t>
                  </w:r>
                </w:p>
              </w:tc>
            </w:tr>
            <w:tr w14:paraId="52A7A6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pct"/>
                  <w:vAlign w:val="center"/>
                </w:tcPr>
                <w:p w14:paraId="713E1DFF">
                  <w:pPr>
                    <w:pStyle w:val="7"/>
                    <w:pageBreakBefore w:val="0"/>
                    <w:kinsoku/>
                    <w:wordWrap/>
                    <w:overflowPunct w:val="0"/>
                    <w:topLinePunct w:val="0"/>
                    <w:bidi w:val="0"/>
                    <w:adjustRightInd/>
                    <w:snapToGrid/>
                    <w:spacing w:line="240" w:lineRule="auto"/>
                    <w:ind w:right="0" w:firstLine="0" w:firstLineChars="0"/>
                    <w:jc w:val="center"/>
                    <w:textAlignment w:val="auto"/>
                    <w:rPr>
                      <w:rFonts w:hint="default" w:ascii="Times New Roman" w:hAnsi="Times New Roman" w:cs="Times New Roman"/>
                      <w:bCs w:val="0"/>
                      <w:sz w:val="21"/>
                      <w:szCs w:val="21"/>
                    </w:rPr>
                  </w:pPr>
                  <w:r>
                    <w:rPr>
                      <w:rFonts w:hint="default" w:ascii="Times New Roman" w:hAnsi="Times New Roman" w:cs="Times New Roman"/>
                      <w:bCs w:val="0"/>
                      <w:sz w:val="21"/>
                      <w:szCs w:val="21"/>
                    </w:rPr>
                    <w:t>3</w:t>
                  </w:r>
                </w:p>
              </w:tc>
              <w:tc>
                <w:tcPr>
                  <w:tcW w:w="1294" w:type="pct"/>
                  <w:vAlign w:val="center"/>
                </w:tcPr>
                <w:p w14:paraId="124E6ECA">
                  <w:pPr>
                    <w:pageBreakBefore w:val="0"/>
                    <w:kinsoku/>
                    <w:wordWrap/>
                    <w:overflowPunct w:val="0"/>
                    <w:topLinePunct w:val="0"/>
                    <w:bidi w:val="0"/>
                    <w:adjustRightInd/>
                    <w:snapToGrid/>
                    <w:ind w:right="0"/>
                    <w:jc w:val="center"/>
                    <w:textAlignment w:val="auto"/>
                    <w:rPr>
                      <w:rFonts w:hint="default" w:ascii="Times New Roman" w:hAnsi="Times New Roman" w:cs="Times New Roman"/>
                      <w:sz w:val="21"/>
                      <w:szCs w:val="21"/>
                    </w:rPr>
                  </w:pPr>
                  <w:r>
                    <w:rPr>
                      <w:rFonts w:hint="default" w:ascii="Times New Roman" w:hAnsi="Times New Roman" w:cs="Times New Roman"/>
                      <w:snapToGrid w:val="0"/>
                      <w:kern w:val="0"/>
                      <w:sz w:val="21"/>
                      <w:szCs w:val="21"/>
                      <w:lang w:val="en-US" w:eastAsia="zh-CN"/>
                    </w:rPr>
                    <w:t>粉石灰</w:t>
                  </w:r>
                  <w:r>
                    <w:rPr>
                      <w:rFonts w:hint="default" w:ascii="Times New Roman" w:hAnsi="Times New Roman" w:cs="Times New Roman"/>
                      <w:snapToGrid w:val="0"/>
                      <w:kern w:val="0"/>
                      <w:sz w:val="21"/>
                      <w:szCs w:val="21"/>
                    </w:rPr>
                    <w:t>仓</w:t>
                  </w:r>
                </w:p>
              </w:tc>
              <w:tc>
                <w:tcPr>
                  <w:tcW w:w="695" w:type="pct"/>
                  <w:vAlign w:val="center"/>
                </w:tcPr>
                <w:p w14:paraId="13A714D3">
                  <w:pPr>
                    <w:pageBreakBefore w:val="0"/>
                    <w:kinsoku/>
                    <w:wordWrap/>
                    <w:topLinePunct w:val="0"/>
                    <w:autoSpaceDE w:val="0"/>
                    <w:autoSpaceDN w:val="0"/>
                    <w:bidi w:val="0"/>
                    <w:adjustRightInd/>
                    <w:snapToGrid/>
                    <w:ind w:right="0"/>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个</w:t>
                  </w:r>
                </w:p>
              </w:tc>
              <w:tc>
                <w:tcPr>
                  <w:tcW w:w="436" w:type="pct"/>
                  <w:vAlign w:val="center"/>
                </w:tcPr>
                <w:p w14:paraId="65F1615E">
                  <w:pPr>
                    <w:pageBreakBefore w:val="0"/>
                    <w:kinsoku/>
                    <w:wordWrap/>
                    <w:overflowPunct w:val="0"/>
                    <w:topLinePunct w:val="0"/>
                    <w:bidi w:val="0"/>
                    <w:adjustRightInd/>
                    <w:snapToGrid/>
                    <w:ind w:right="0"/>
                    <w:jc w:val="center"/>
                    <w:textAlignment w:val="auto"/>
                    <w:rPr>
                      <w:rFonts w:hint="default" w:ascii="Times New Roman" w:hAnsi="Times New Roman" w:cs="Times New Roman"/>
                      <w:sz w:val="21"/>
                      <w:szCs w:val="21"/>
                    </w:rPr>
                  </w:pPr>
                  <w:r>
                    <w:rPr>
                      <w:rFonts w:hint="default" w:ascii="Times New Roman" w:hAnsi="Times New Roman" w:cs="Times New Roman"/>
                      <w:snapToGrid w:val="0"/>
                      <w:kern w:val="0"/>
                      <w:sz w:val="21"/>
                      <w:szCs w:val="21"/>
                      <w:lang w:val="en-US" w:eastAsia="zh-CN"/>
                    </w:rPr>
                    <w:t>2</w:t>
                  </w:r>
                </w:p>
              </w:tc>
              <w:tc>
                <w:tcPr>
                  <w:tcW w:w="1848" w:type="pct"/>
                  <w:vAlign w:val="center"/>
                </w:tcPr>
                <w:p w14:paraId="51A98860">
                  <w:pPr>
                    <w:pStyle w:val="49"/>
                    <w:pageBreakBefore w:val="0"/>
                    <w:kinsoku/>
                    <w:wordWrap/>
                    <w:topLinePunct w:val="0"/>
                    <w:bidi w:val="0"/>
                    <w:adjustRightInd/>
                    <w:snapToGrid/>
                    <w:ind w:right="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150t</w:t>
                  </w:r>
                </w:p>
              </w:tc>
            </w:tr>
            <w:tr w14:paraId="346D33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pct"/>
                  <w:vAlign w:val="center"/>
                </w:tcPr>
                <w:p w14:paraId="1E0AAA09">
                  <w:pPr>
                    <w:pStyle w:val="7"/>
                    <w:pageBreakBefore w:val="0"/>
                    <w:kinsoku/>
                    <w:wordWrap/>
                    <w:overflowPunct w:val="0"/>
                    <w:topLinePunct w:val="0"/>
                    <w:bidi w:val="0"/>
                    <w:adjustRightInd/>
                    <w:snapToGrid/>
                    <w:spacing w:line="240" w:lineRule="auto"/>
                    <w:ind w:right="0" w:firstLine="0" w:firstLineChars="0"/>
                    <w:jc w:val="center"/>
                    <w:textAlignment w:val="auto"/>
                    <w:rPr>
                      <w:rFonts w:hint="default" w:ascii="Times New Roman" w:hAnsi="Times New Roman" w:cs="Times New Roman"/>
                      <w:bCs w:val="0"/>
                      <w:sz w:val="21"/>
                      <w:szCs w:val="21"/>
                    </w:rPr>
                  </w:pPr>
                  <w:r>
                    <w:rPr>
                      <w:rFonts w:hint="default" w:ascii="Times New Roman" w:hAnsi="Times New Roman" w:cs="Times New Roman"/>
                      <w:bCs w:val="0"/>
                      <w:sz w:val="21"/>
                      <w:szCs w:val="21"/>
                    </w:rPr>
                    <w:t>4</w:t>
                  </w:r>
                </w:p>
              </w:tc>
              <w:tc>
                <w:tcPr>
                  <w:tcW w:w="1294" w:type="pct"/>
                  <w:vAlign w:val="center"/>
                </w:tcPr>
                <w:p w14:paraId="13901E38">
                  <w:pPr>
                    <w:pageBreakBefore w:val="0"/>
                    <w:widowControl/>
                    <w:kinsoku/>
                    <w:wordWrap/>
                    <w:topLinePunct w:val="0"/>
                    <w:bidi w:val="0"/>
                    <w:adjustRightInd/>
                    <w:snapToGrid/>
                    <w:ind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kern w:val="0"/>
                      <w:sz w:val="21"/>
                      <w:szCs w:val="21"/>
                    </w:rPr>
                    <w:t>密闭式皮带输送机</w:t>
                  </w:r>
                </w:p>
              </w:tc>
              <w:tc>
                <w:tcPr>
                  <w:tcW w:w="695" w:type="pct"/>
                  <w:vAlign w:val="center"/>
                </w:tcPr>
                <w:p w14:paraId="651D5033">
                  <w:pPr>
                    <w:pageBreakBefore w:val="0"/>
                    <w:kinsoku/>
                    <w:wordWrap/>
                    <w:topLinePunct w:val="0"/>
                    <w:autoSpaceDE w:val="0"/>
                    <w:autoSpaceDN w:val="0"/>
                    <w:bidi w:val="0"/>
                    <w:adjustRightInd/>
                    <w:snapToGrid/>
                    <w:ind w:right="0"/>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台</w:t>
                  </w:r>
                </w:p>
              </w:tc>
              <w:tc>
                <w:tcPr>
                  <w:tcW w:w="436" w:type="pct"/>
                  <w:vAlign w:val="center"/>
                </w:tcPr>
                <w:p w14:paraId="0DE93F8D">
                  <w:pPr>
                    <w:pageBreakBefore w:val="0"/>
                    <w:widowControl/>
                    <w:kinsoku/>
                    <w:wordWrap/>
                    <w:topLinePunct w:val="0"/>
                    <w:bidi w:val="0"/>
                    <w:adjustRightInd/>
                    <w:snapToGrid/>
                    <w:ind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kern w:val="0"/>
                      <w:sz w:val="21"/>
                      <w:szCs w:val="21"/>
                    </w:rPr>
                    <w:t>2</w:t>
                  </w:r>
                </w:p>
              </w:tc>
              <w:tc>
                <w:tcPr>
                  <w:tcW w:w="1848" w:type="pct"/>
                  <w:vAlign w:val="center"/>
                </w:tcPr>
                <w:p w14:paraId="5A8B8591">
                  <w:pPr>
                    <w:pageBreakBefore w:val="0"/>
                    <w:widowControl/>
                    <w:kinsoku/>
                    <w:wordWrap/>
                    <w:topLinePunct w:val="0"/>
                    <w:bidi w:val="0"/>
                    <w:adjustRightInd/>
                    <w:snapToGrid/>
                    <w:ind w:right="0"/>
                    <w:jc w:val="center"/>
                    <w:textAlignment w:val="auto"/>
                    <w:rPr>
                      <w:rFonts w:hint="default" w:ascii="Times New Roman" w:hAnsi="Times New Roman" w:eastAsia="宋体" w:cs="Times New Roman"/>
                      <w:color w:val="000000"/>
                      <w:sz w:val="21"/>
                      <w:szCs w:val="21"/>
                    </w:rPr>
                  </w:pPr>
                  <w:r>
                    <w:rPr>
                      <w:rFonts w:hint="default" w:ascii="Times New Roman" w:hAnsi="Times New Roman" w:cs="Times New Roman"/>
                      <w:kern w:val="0"/>
                      <w:sz w:val="21"/>
                      <w:szCs w:val="21"/>
                    </w:rPr>
                    <w:t>B500×10m</w:t>
                  </w:r>
                </w:p>
              </w:tc>
            </w:tr>
            <w:tr w14:paraId="4C06F0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pct"/>
                  <w:vAlign w:val="center"/>
                </w:tcPr>
                <w:p w14:paraId="118DEDFB">
                  <w:pPr>
                    <w:pStyle w:val="7"/>
                    <w:pageBreakBefore w:val="0"/>
                    <w:kinsoku/>
                    <w:wordWrap/>
                    <w:overflowPunct w:val="0"/>
                    <w:topLinePunct w:val="0"/>
                    <w:bidi w:val="0"/>
                    <w:adjustRightInd/>
                    <w:snapToGrid/>
                    <w:spacing w:line="240" w:lineRule="auto"/>
                    <w:ind w:right="0" w:firstLine="0" w:firstLineChars="0"/>
                    <w:jc w:val="center"/>
                    <w:textAlignment w:val="auto"/>
                    <w:rPr>
                      <w:rFonts w:hint="default" w:ascii="Times New Roman" w:hAnsi="Times New Roman" w:cs="Times New Roman"/>
                      <w:bCs w:val="0"/>
                      <w:sz w:val="21"/>
                      <w:szCs w:val="21"/>
                    </w:rPr>
                  </w:pPr>
                  <w:r>
                    <w:rPr>
                      <w:rFonts w:hint="default" w:ascii="Times New Roman" w:hAnsi="Times New Roman" w:cs="Times New Roman"/>
                      <w:bCs w:val="0"/>
                      <w:sz w:val="21"/>
                      <w:szCs w:val="21"/>
                    </w:rPr>
                    <w:t>5</w:t>
                  </w:r>
                </w:p>
              </w:tc>
              <w:tc>
                <w:tcPr>
                  <w:tcW w:w="1294" w:type="pct"/>
                  <w:vAlign w:val="center"/>
                </w:tcPr>
                <w:p w14:paraId="4FA0752B">
                  <w:pPr>
                    <w:pageBreakBefore w:val="0"/>
                    <w:widowControl/>
                    <w:kinsoku/>
                    <w:wordWrap/>
                    <w:topLinePunct w:val="0"/>
                    <w:bidi w:val="0"/>
                    <w:adjustRightInd/>
                    <w:snapToGrid/>
                    <w:ind w:right="0"/>
                    <w:jc w:val="center"/>
                    <w:textAlignment w:val="auto"/>
                    <w:rPr>
                      <w:rFonts w:hint="default" w:ascii="Times New Roman" w:hAnsi="Times New Roman" w:cs="Times New Roman"/>
                      <w:sz w:val="21"/>
                      <w:szCs w:val="21"/>
                    </w:rPr>
                  </w:pPr>
                  <w:r>
                    <w:rPr>
                      <w:rFonts w:hint="default" w:ascii="Times New Roman" w:hAnsi="Times New Roman" w:cs="Times New Roman"/>
                      <w:kern w:val="0"/>
                      <w:sz w:val="21"/>
                      <w:szCs w:val="21"/>
                    </w:rPr>
                    <w:t>砂子喂料输送机</w:t>
                  </w:r>
                </w:p>
              </w:tc>
              <w:tc>
                <w:tcPr>
                  <w:tcW w:w="695" w:type="pct"/>
                  <w:vAlign w:val="center"/>
                </w:tcPr>
                <w:p w14:paraId="6529486F">
                  <w:pPr>
                    <w:pageBreakBefore w:val="0"/>
                    <w:kinsoku/>
                    <w:wordWrap/>
                    <w:topLinePunct w:val="0"/>
                    <w:autoSpaceDE w:val="0"/>
                    <w:autoSpaceDN w:val="0"/>
                    <w:bidi w:val="0"/>
                    <w:adjustRightInd/>
                    <w:snapToGrid/>
                    <w:ind w:right="0"/>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台</w:t>
                  </w:r>
                </w:p>
              </w:tc>
              <w:tc>
                <w:tcPr>
                  <w:tcW w:w="436" w:type="pct"/>
                  <w:vAlign w:val="center"/>
                </w:tcPr>
                <w:p w14:paraId="1F93B91E">
                  <w:pPr>
                    <w:pageBreakBefore w:val="0"/>
                    <w:widowControl/>
                    <w:kinsoku/>
                    <w:wordWrap/>
                    <w:topLinePunct w:val="0"/>
                    <w:bidi w:val="0"/>
                    <w:adjustRightInd/>
                    <w:snapToGrid/>
                    <w:ind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kern w:val="0"/>
                      <w:sz w:val="21"/>
                      <w:szCs w:val="21"/>
                    </w:rPr>
                    <w:t>1</w:t>
                  </w:r>
                </w:p>
              </w:tc>
              <w:tc>
                <w:tcPr>
                  <w:tcW w:w="1848" w:type="pct"/>
                  <w:vAlign w:val="center"/>
                </w:tcPr>
                <w:p w14:paraId="6C2D1C0D">
                  <w:pPr>
                    <w:pageBreakBefore w:val="0"/>
                    <w:widowControl/>
                    <w:kinsoku/>
                    <w:wordWrap/>
                    <w:topLinePunct w:val="0"/>
                    <w:bidi w:val="0"/>
                    <w:adjustRightInd/>
                    <w:snapToGrid/>
                    <w:ind w:right="0"/>
                    <w:jc w:val="center"/>
                    <w:textAlignment w:val="auto"/>
                    <w:rPr>
                      <w:rFonts w:hint="default" w:ascii="Times New Roman" w:hAnsi="Times New Roman" w:eastAsia="宋体" w:cs="Times New Roman"/>
                      <w:color w:val="000000"/>
                      <w:sz w:val="21"/>
                      <w:szCs w:val="21"/>
                      <w:lang w:val="en-US"/>
                    </w:rPr>
                  </w:pPr>
                  <w:r>
                    <w:rPr>
                      <w:rFonts w:hint="default" w:ascii="Times New Roman" w:hAnsi="Times New Roman" w:cs="Times New Roman"/>
                      <w:kern w:val="0"/>
                      <w:sz w:val="21"/>
                      <w:szCs w:val="21"/>
                    </w:rPr>
                    <w:t>BS</w:t>
                  </w:r>
                </w:p>
              </w:tc>
            </w:tr>
            <w:tr w14:paraId="65F7D2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pct"/>
                  <w:vAlign w:val="center"/>
                </w:tcPr>
                <w:p w14:paraId="081E4922">
                  <w:pPr>
                    <w:pStyle w:val="7"/>
                    <w:pageBreakBefore w:val="0"/>
                    <w:kinsoku/>
                    <w:wordWrap/>
                    <w:overflowPunct w:val="0"/>
                    <w:topLinePunct w:val="0"/>
                    <w:bidi w:val="0"/>
                    <w:adjustRightInd/>
                    <w:snapToGrid/>
                    <w:spacing w:line="240" w:lineRule="auto"/>
                    <w:ind w:right="0" w:firstLine="0" w:firstLineChars="0"/>
                    <w:jc w:val="center"/>
                    <w:textAlignment w:val="auto"/>
                    <w:rPr>
                      <w:rFonts w:hint="default" w:ascii="Times New Roman" w:hAnsi="Times New Roman" w:cs="Times New Roman"/>
                      <w:bCs w:val="0"/>
                      <w:sz w:val="21"/>
                      <w:szCs w:val="21"/>
                    </w:rPr>
                  </w:pPr>
                  <w:r>
                    <w:rPr>
                      <w:rFonts w:hint="default" w:ascii="Times New Roman" w:hAnsi="Times New Roman" w:cs="Times New Roman"/>
                      <w:bCs w:val="0"/>
                      <w:sz w:val="21"/>
                      <w:szCs w:val="21"/>
                    </w:rPr>
                    <w:t>6</w:t>
                  </w:r>
                </w:p>
              </w:tc>
              <w:tc>
                <w:tcPr>
                  <w:tcW w:w="1294" w:type="pct"/>
                  <w:vAlign w:val="center"/>
                </w:tcPr>
                <w:p w14:paraId="02F2723D">
                  <w:pPr>
                    <w:pageBreakBefore w:val="0"/>
                    <w:widowControl/>
                    <w:kinsoku/>
                    <w:wordWrap/>
                    <w:topLinePunct w:val="0"/>
                    <w:bidi w:val="0"/>
                    <w:adjustRightInd/>
                    <w:snapToGrid/>
                    <w:ind w:right="0"/>
                    <w:jc w:val="center"/>
                    <w:textAlignment w:val="auto"/>
                    <w:rPr>
                      <w:rFonts w:hint="default" w:ascii="Times New Roman" w:hAnsi="Times New Roman" w:cs="Times New Roman"/>
                      <w:sz w:val="21"/>
                      <w:szCs w:val="21"/>
                    </w:rPr>
                  </w:pPr>
                  <w:r>
                    <w:rPr>
                      <w:rFonts w:hint="default" w:ascii="Times New Roman" w:hAnsi="Times New Roman" w:cs="Times New Roman"/>
                      <w:kern w:val="0"/>
                      <w:sz w:val="21"/>
                      <w:szCs w:val="21"/>
                    </w:rPr>
                    <w:t>球磨机</w:t>
                  </w:r>
                </w:p>
              </w:tc>
              <w:tc>
                <w:tcPr>
                  <w:tcW w:w="695" w:type="pct"/>
                  <w:vAlign w:val="center"/>
                </w:tcPr>
                <w:p w14:paraId="68A76F86">
                  <w:pPr>
                    <w:pageBreakBefore w:val="0"/>
                    <w:kinsoku/>
                    <w:wordWrap/>
                    <w:topLinePunct w:val="0"/>
                    <w:autoSpaceDE w:val="0"/>
                    <w:autoSpaceDN w:val="0"/>
                    <w:bidi w:val="0"/>
                    <w:adjustRightInd/>
                    <w:snapToGrid/>
                    <w:ind w:right="0"/>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台</w:t>
                  </w:r>
                </w:p>
              </w:tc>
              <w:tc>
                <w:tcPr>
                  <w:tcW w:w="436" w:type="pct"/>
                  <w:vAlign w:val="center"/>
                </w:tcPr>
                <w:p w14:paraId="0F6D394E">
                  <w:pPr>
                    <w:pageBreakBefore w:val="0"/>
                    <w:widowControl/>
                    <w:kinsoku/>
                    <w:wordWrap/>
                    <w:topLinePunct w:val="0"/>
                    <w:bidi w:val="0"/>
                    <w:adjustRightInd/>
                    <w:snapToGrid/>
                    <w:ind w:right="0"/>
                    <w:jc w:val="center"/>
                    <w:textAlignment w:val="auto"/>
                    <w:rPr>
                      <w:rFonts w:hint="default" w:ascii="Times New Roman" w:hAnsi="Times New Roman" w:cs="Times New Roman"/>
                      <w:sz w:val="21"/>
                      <w:szCs w:val="21"/>
                      <w:lang w:val="en-US"/>
                    </w:rPr>
                  </w:pPr>
                  <w:r>
                    <w:rPr>
                      <w:rFonts w:hint="default" w:ascii="Times New Roman" w:hAnsi="Times New Roman" w:cs="Times New Roman"/>
                      <w:kern w:val="0"/>
                      <w:sz w:val="21"/>
                      <w:szCs w:val="21"/>
                    </w:rPr>
                    <w:t>1</w:t>
                  </w:r>
                </w:p>
              </w:tc>
              <w:tc>
                <w:tcPr>
                  <w:tcW w:w="1848" w:type="pct"/>
                  <w:vAlign w:val="center"/>
                </w:tcPr>
                <w:p w14:paraId="536A0322">
                  <w:pPr>
                    <w:pageBreakBefore w:val="0"/>
                    <w:widowControl/>
                    <w:kinsoku/>
                    <w:wordWrap/>
                    <w:topLinePunct w:val="0"/>
                    <w:bidi w:val="0"/>
                    <w:adjustRightInd/>
                    <w:snapToGrid/>
                    <w:ind w:right="0"/>
                    <w:jc w:val="center"/>
                    <w:textAlignment w:val="auto"/>
                    <w:rPr>
                      <w:rFonts w:hint="default" w:ascii="Times New Roman" w:hAnsi="Times New Roman" w:eastAsia="宋体" w:cs="Times New Roman"/>
                      <w:color w:val="000000"/>
                      <w:sz w:val="21"/>
                      <w:szCs w:val="21"/>
                      <w:lang w:val="en-US"/>
                    </w:rPr>
                  </w:pPr>
                  <w:r>
                    <w:rPr>
                      <w:rFonts w:hint="default" w:ascii="Times New Roman" w:hAnsi="Times New Roman" w:cs="Times New Roman"/>
                      <w:kern w:val="0"/>
                      <w:sz w:val="21"/>
                      <w:szCs w:val="21"/>
                    </w:rPr>
                    <w:t>Φ2.8m×7.5m</w:t>
                  </w:r>
                </w:p>
              </w:tc>
            </w:tr>
            <w:tr w14:paraId="77D5DE8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pct"/>
                  <w:vAlign w:val="center"/>
                </w:tcPr>
                <w:p w14:paraId="064D29FC">
                  <w:pPr>
                    <w:pStyle w:val="7"/>
                    <w:pageBreakBefore w:val="0"/>
                    <w:kinsoku/>
                    <w:wordWrap/>
                    <w:overflowPunct w:val="0"/>
                    <w:topLinePunct w:val="0"/>
                    <w:bidi w:val="0"/>
                    <w:adjustRightInd/>
                    <w:snapToGrid/>
                    <w:spacing w:line="240" w:lineRule="auto"/>
                    <w:ind w:right="0" w:firstLine="0" w:firstLineChars="0"/>
                    <w:jc w:val="center"/>
                    <w:textAlignment w:val="auto"/>
                    <w:rPr>
                      <w:rFonts w:hint="default" w:ascii="Times New Roman" w:hAnsi="Times New Roman" w:cs="Times New Roman"/>
                      <w:bCs w:val="0"/>
                      <w:sz w:val="21"/>
                      <w:szCs w:val="21"/>
                    </w:rPr>
                  </w:pPr>
                  <w:r>
                    <w:rPr>
                      <w:rFonts w:hint="default" w:ascii="Times New Roman" w:hAnsi="Times New Roman" w:cs="Times New Roman"/>
                      <w:bCs w:val="0"/>
                      <w:sz w:val="21"/>
                      <w:szCs w:val="21"/>
                    </w:rPr>
                    <w:t>7</w:t>
                  </w:r>
                </w:p>
              </w:tc>
              <w:tc>
                <w:tcPr>
                  <w:tcW w:w="1294" w:type="pct"/>
                  <w:vAlign w:val="center"/>
                </w:tcPr>
                <w:p w14:paraId="7701F880">
                  <w:pPr>
                    <w:pageBreakBefore w:val="0"/>
                    <w:widowControl/>
                    <w:kinsoku/>
                    <w:wordWrap/>
                    <w:topLinePunct w:val="0"/>
                    <w:bidi w:val="0"/>
                    <w:adjustRightInd/>
                    <w:snapToGrid/>
                    <w:ind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kern w:val="0"/>
                      <w:sz w:val="21"/>
                      <w:szCs w:val="21"/>
                    </w:rPr>
                    <w:t>高压粉磨机</w:t>
                  </w:r>
                </w:p>
              </w:tc>
              <w:tc>
                <w:tcPr>
                  <w:tcW w:w="695" w:type="pct"/>
                  <w:vAlign w:val="center"/>
                </w:tcPr>
                <w:p w14:paraId="3F839D64">
                  <w:pPr>
                    <w:pageBreakBefore w:val="0"/>
                    <w:kinsoku/>
                    <w:wordWrap/>
                    <w:topLinePunct w:val="0"/>
                    <w:autoSpaceDE w:val="0"/>
                    <w:autoSpaceDN w:val="0"/>
                    <w:bidi w:val="0"/>
                    <w:adjustRightInd/>
                    <w:snapToGrid/>
                    <w:ind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台</w:t>
                  </w:r>
                </w:p>
              </w:tc>
              <w:tc>
                <w:tcPr>
                  <w:tcW w:w="436" w:type="pct"/>
                  <w:vAlign w:val="center"/>
                </w:tcPr>
                <w:p w14:paraId="51C8FDF7">
                  <w:pPr>
                    <w:pageBreakBefore w:val="0"/>
                    <w:widowControl/>
                    <w:kinsoku/>
                    <w:wordWrap/>
                    <w:topLinePunct w:val="0"/>
                    <w:bidi w:val="0"/>
                    <w:adjustRightInd/>
                    <w:snapToGrid/>
                    <w:ind w:right="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kern w:val="0"/>
                      <w:sz w:val="21"/>
                      <w:szCs w:val="21"/>
                    </w:rPr>
                    <w:t>2</w:t>
                  </w:r>
                </w:p>
              </w:tc>
              <w:tc>
                <w:tcPr>
                  <w:tcW w:w="1848" w:type="pct"/>
                  <w:vAlign w:val="center"/>
                </w:tcPr>
                <w:p w14:paraId="10D297B6">
                  <w:pPr>
                    <w:pageBreakBefore w:val="0"/>
                    <w:widowControl/>
                    <w:kinsoku/>
                    <w:wordWrap/>
                    <w:topLinePunct w:val="0"/>
                    <w:bidi w:val="0"/>
                    <w:adjustRightInd/>
                    <w:snapToGrid/>
                    <w:ind w:right="0"/>
                    <w:jc w:val="center"/>
                    <w:textAlignment w:val="auto"/>
                    <w:rPr>
                      <w:rFonts w:hint="eastAsia" w:ascii="Times New Roman" w:hAnsi="Times New Roman" w:eastAsia="宋体" w:cs="Times New Roman"/>
                      <w:color w:val="000000"/>
                      <w:sz w:val="21"/>
                      <w:szCs w:val="21"/>
                      <w:lang w:val="en-US" w:eastAsia="zh-CN"/>
                    </w:rPr>
                  </w:pPr>
                  <w:r>
                    <w:rPr>
                      <w:rFonts w:hint="default" w:ascii="Times New Roman" w:hAnsi="Times New Roman" w:cs="Times New Roman"/>
                      <w:kern w:val="0"/>
                      <w:sz w:val="21"/>
                      <w:szCs w:val="21"/>
                    </w:rPr>
                    <w:t>4121型</w:t>
                  </w:r>
                  <w:r>
                    <w:rPr>
                      <w:rFonts w:hint="eastAsia" w:cs="Times New Roman"/>
                      <w:kern w:val="0"/>
                      <w:sz w:val="21"/>
                      <w:szCs w:val="21"/>
                      <w:lang w:eastAsia="zh-CN"/>
                    </w:rPr>
                    <w:t>，备用</w:t>
                  </w:r>
                </w:p>
              </w:tc>
            </w:tr>
            <w:tr w14:paraId="4B83C33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pct"/>
                  <w:vAlign w:val="center"/>
                </w:tcPr>
                <w:p w14:paraId="1D5EA0A2">
                  <w:pPr>
                    <w:pStyle w:val="7"/>
                    <w:pageBreakBefore w:val="0"/>
                    <w:kinsoku/>
                    <w:wordWrap/>
                    <w:overflowPunct w:val="0"/>
                    <w:topLinePunct w:val="0"/>
                    <w:bidi w:val="0"/>
                    <w:adjustRightInd/>
                    <w:snapToGrid/>
                    <w:spacing w:line="240" w:lineRule="auto"/>
                    <w:ind w:right="0" w:firstLine="0" w:firstLineChars="0"/>
                    <w:jc w:val="center"/>
                    <w:textAlignment w:val="auto"/>
                    <w:rPr>
                      <w:rFonts w:hint="default" w:ascii="Times New Roman" w:hAnsi="Times New Roman" w:cs="Times New Roman"/>
                      <w:bCs w:val="0"/>
                      <w:sz w:val="21"/>
                      <w:szCs w:val="21"/>
                    </w:rPr>
                  </w:pPr>
                  <w:r>
                    <w:rPr>
                      <w:rFonts w:hint="default" w:ascii="Times New Roman" w:hAnsi="Times New Roman" w:cs="Times New Roman"/>
                      <w:bCs w:val="0"/>
                      <w:sz w:val="21"/>
                      <w:szCs w:val="21"/>
                    </w:rPr>
                    <w:t>8</w:t>
                  </w:r>
                </w:p>
              </w:tc>
              <w:tc>
                <w:tcPr>
                  <w:tcW w:w="1294" w:type="pct"/>
                  <w:vAlign w:val="center"/>
                </w:tcPr>
                <w:p w14:paraId="05428BF0">
                  <w:pPr>
                    <w:pageBreakBefore w:val="0"/>
                    <w:widowControl/>
                    <w:kinsoku/>
                    <w:wordWrap/>
                    <w:topLinePunct w:val="0"/>
                    <w:bidi w:val="0"/>
                    <w:adjustRightInd/>
                    <w:snapToGrid/>
                    <w:ind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kern w:val="0"/>
                      <w:sz w:val="21"/>
                      <w:szCs w:val="21"/>
                    </w:rPr>
                    <w:t>砂浆处理系统</w:t>
                  </w:r>
                </w:p>
              </w:tc>
              <w:tc>
                <w:tcPr>
                  <w:tcW w:w="695" w:type="pct"/>
                  <w:vAlign w:val="center"/>
                </w:tcPr>
                <w:p w14:paraId="5BE0BDC4">
                  <w:pPr>
                    <w:pageBreakBefore w:val="0"/>
                    <w:kinsoku/>
                    <w:wordWrap/>
                    <w:topLinePunct w:val="0"/>
                    <w:autoSpaceDE w:val="0"/>
                    <w:autoSpaceDN w:val="0"/>
                    <w:bidi w:val="0"/>
                    <w:adjustRightInd/>
                    <w:snapToGrid/>
                    <w:ind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台</w:t>
                  </w:r>
                </w:p>
              </w:tc>
              <w:tc>
                <w:tcPr>
                  <w:tcW w:w="436" w:type="pct"/>
                  <w:vAlign w:val="center"/>
                </w:tcPr>
                <w:p w14:paraId="6D28B8F8">
                  <w:pPr>
                    <w:pageBreakBefore w:val="0"/>
                    <w:widowControl/>
                    <w:kinsoku/>
                    <w:wordWrap/>
                    <w:topLinePunct w:val="0"/>
                    <w:bidi w:val="0"/>
                    <w:adjustRightInd/>
                    <w:snapToGrid/>
                    <w:ind w:right="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kern w:val="0"/>
                      <w:sz w:val="21"/>
                      <w:szCs w:val="21"/>
                    </w:rPr>
                    <w:t>4</w:t>
                  </w:r>
                </w:p>
              </w:tc>
              <w:tc>
                <w:tcPr>
                  <w:tcW w:w="1848" w:type="pct"/>
                  <w:vAlign w:val="center"/>
                </w:tcPr>
                <w:p w14:paraId="348C2345">
                  <w:pPr>
                    <w:pageBreakBefore w:val="0"/>
                    <w:widowControl/>
                    <w:kinsoku/>
                    <w:wordWrap/>
                    <w:topLinePunct w:val="0"/>
                    <w:bidi w:val="0"/>
                    <w:adjustRightInd/>
                    <w:snapToGrid/>
                    <w:ind w:right="0"/>
                    <w:jc w:val="center"/>
                    <w:textAlignment w:val="auto"/>
                    <w:rPr>
                      <w:rFonts w:hint="default" w:ascii="Times New Roman" w:hAnsi="Times New Roman" w:eastAsia="宋体" w:cs="Times New Roman"/>
                      <w:color w:val="000000"/>
                      <w:sz w:val="21"/>
                      <w:szCs w:val="21"/>
                      <w:lang w:val="en-US"/>
                    </w:rPr>
                  </w:pPr>
                  <w:r>
                    <w:rPr>
                      <w:rFonts w:hint="default" w:ascii="Times New Roman" w:hAnsi="Times New Roman" w:cs="Times New Roman"/>
                      <w:kern w:val="0"/>
                      <w:sz w:val="21"/>
                      <w:szCs w:val="21"/>
                    </w:rPr>
                    <w:t>SZH</w:t>
                  </w:r>
                </w:p>
              </w:tc>
            </w:tr>
            <w:tr w14:paraId="256253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pct"/>
                  <w:vAlign w:val="center"/>
                </w:tcPr>
                <w:p w14:paraId="72C921D3">
                  <w:pPr>
                    <w:pStyle w:val="7"/>
                    <w:pageBreakBefore w:val="0"/>
                    <w:kinsoku/>
                    <w:wordWrap/>
                    <w:overflowPunct w:val="0"/>
                    <w:topLinePunct w:val="0"/>
                    <w:bidi w:val="0"/>
                    <w:adjustRightInd/>
                    <w:snapToGrid/>
                    <w:spacing w:line="240" w:lineRule="auto"/>
                    <w:ind w:right="0" w:firstLine="0" w:firstLineChars="0"/>
                    <w:jc w:val="center"/>
                    <w:textAlignment w:val="auto"/>
                    <w:rPr>
                      <w:rFonts w:hint="default" w:ascii="Times New Roman" w:hAnsi="Times New Roman" w:cs="Times New Roman"/>
                      <w:bCs w:val="0"/>
                      <w:sz w:val="21"/>
                      <w:szCs w:val="21"/>
                    </w:rPr>
                  </w:pPr>
                  <w:r>
                    <w:rPr>
                      <w:rFonts w:hint="default" w:ascii="Times New Roman" w:hAnsi="Times New Roman" w:cs="Times New Roman"/>
                      <w:bCs w:val="0"/>
                      <w:sz w:val="21"/>
                      <w:szCs w:val="21"/>
                    </w:rPr>
                    <w:t>9</w:t>
                  </w:r>
                </w:p>
              </w:tc>
              <w:tc>
                <w:tcPr>
                  <w:tcW w:w="1294" w:type="pct"/>
                  <w:vAlign w:val="center"/>
                </w:tcPr>
                <w:p w14:paraId="6EDF203F">
                  <w:pPr>
                    <w:pageBreakBefore w:val="0"/>
                    <w:widowControl/>
                    <w:kinsoku/>
                    <w:wordWrap/>
                    <w:topLinePunct w:val="0"/>
                    <w:bidi w:val="0"/>
                    <w:adjustRightInd/>
                    <w:snapToGrid/>
                    <w:ind w:right="0"/>
                    <w:jc w:val="center"/>
                    <w:textAlignment w:val="auto"/>
                    <w:rPr>
                      <w:rFonts w:hint="default" w:ascii="Times New Roman" w:hAnsi="Times New Roman" w:cs="Times New Roman"/>
                      <w:sz w:val="21"/>
                      <w:szCs w:val="21"/>
                    </w:rPr>
                  </w:pPr>
                  <w:r>
                    <w:rPr>
                      <w:rFonts w:hint="default" w:ascii="Times New Roman" w:hAnsi="Times New Roman" w:cs="Times New Roman"/>
                      <w:kern w:val="0"/>
                      <w:sz w:val="21"/>
                      <w:szCs w:val="21"/>
                    </w:rPr>
                    <w:t>浇注搅拌机</w:t>
                  </w:r>
                </w:p>
              </w:tc>
              <w:tc>
                <w:tcPr>
                  <w:tcW w:w="695" w:type="pct"/>
                  <w:vAlign w:val="center"/>
                </w:tcPr>
                <w:p w14:paraId="7BD13C1B">
                  <w:pPr>
                    <w:pageBreakBefore w:val="0"/>
                    <w:kinsoku/>
                    <w:wordWrap/>
                    <w:topLinePunct w:val="0"/>
                    <w:autoSpaceDE w:val="0"/>
                    <w:autoSpaceDN w:val="0"/>
                    <w:bidi w:val="0"/>
                    <w:adjustRightInd/>
                    <w:snapToGrid/>
                    <w:ind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只</w:t>
                  </w:r>
                </w:p>
              </w:tc>
              <w:tc>
                <w:tcPr>
                  <w:tcW w:w="436" w:type="pct"/>
                  <w:vAlign w:val="center"/>
                </w:tcPr>
                <w:p w14:paraId="75C4069E">
                  <w:pPr>
                    <w:pageBreakBefore w:val="0"/>
                    <w:widowControl/>
                    <w:kinsoku/>
                    <w:wordWrap/>
                    <w:topLinePunct w:val="0"/>
                    <w:bidi w:val="0"/>
                    <w:adjustRightInd/>
                    <w:snapToGrid/>
                    <w:ind w:right="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kern w:val="0"/>
                      <w:sz w:val="21"/>
                      <w:szCs w:val="21"/>
                    </w:rPr>
                    <w:t>1</w:t>
                  </w:r>
                </w:p>
              </w:tc>
              <w:tc>
                <w:tcPr>
                  <w:tcW w:w="1848" w:type="pct"/>
                  <w:vAlign w:val="center"/>
                </w:tcPr>
                <w:p w14:paraId="116E496D">
                  <w:pPr>
                    <w:pageBreakBefore w:val="0"/>
                    <w:widowControl/>
                    <w:kinsoku/>
                    <w:wordWrap/>
                    <w:topLinePunct w:val="0"/>
                    <w:bidi w:val="0"/>
                    <w:adjustRightInd/>
                    <w:snapToGrid/>
                    <w:ind w:right="0"/>
                    <w:jc w:val="center"/>
                    <w:textAlignment w:val="auto"/>
                    <w:rPr>
                      <w:rFonts w:hint="default" w:ascii="Times New Roman" w:hAnsi="Times New Roman" w:eastAsia="宋体" w:cs="Times New Roman"/>
                      <w:color w:val="000000"/>
                      <w:sz w:val="21"/>
                      <w:szCs w:val="21"/>
                      <w:lang w:val="en-US"/>
                    </w:rPr>
                  </w:pPr>
                  <w:r>
                    <w:rPr>
                      <w:rFonts w:hint="default" w:ascii="Times New Roman" w:hAnsi="Times New Roman" w:cs="Times New Roman"/>
                      <w:kern w:val="0"/>
                      <w:sz w:val="21"/>
                      <w:szCs w:val="21"/>
                    </w:rPr>
                    <w:t>V=4.2立方</w:t>
                  </w:r>
                </w:p>
              </w:tc>
            </w:tr>
            <w:tr w14:paraId="4D98B20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pct"/>
                  <w:vAlign w:val="center"/>
                </w:tcPr>
                <w:p w14:paraId="79CC20C6">
                  <w:pPr>
                    <w:pStyle w:val="7"/>
                    <w:pageBreakBefore w:val="0"/>
                    <w:kinsoku/>
                    <w:wordWrap/>
                    <w:overflowPunct w:val="0"/>
                    <w:topLinePunct w:val="0"/>
                    <w:bidi w:val="0"/>
                    <w:adjustRightInd/>
                    <w:snapToGrid/>
                    <w:spacing w:line="240" w:lineRule="auto"/>
                    <w:ind w:right="0" w:firstLine="0" w:firstLineChars="0"/>
                    <w:jc w:val="center"/>
                    <w:textAlignment w:val="auto"/>
                    <w:rPr>
                      <w:rFonts w:hint="default" w:ascii="Times New Roman" w:hAnsi="Times New Roman" w:cs="Times New Roman"/>
                      <w:bCs w:val="0"/>
                      <w:sz w:val="21"/>
                      <w:szCs w:val="21"/>
                    </w:rPr>
                  </w:pPr>
                  <w:r>
                    <w:rPr>
                      <w:rFonts w:hint="default" w:ascii="Times New Roman" w:hAnsi="Times New Roman" w:cs="Times New Roman"/>
                      <w:bCs w:val="0"/>
                      <w:sz w:val="21"/>
                      <w:szCs w:val="21"/>
                    </w:rPr>
                    <w:t>10</w:t>
                  </w:r>
                </w:p>
              </w:tc>
              <w:tc>
                <w:tcPr>
                  <w:tcW w:w="1294" w:type="pct"/>
                  <w:vAlign w:val="center"/>
                </w:tcPr>
                <w:p w14:paraId="703B2646">
                  <w:pPr>
                    <w:pageBreakBefore w:val="0"/>
                    <w:widowControl/>
                    <w:kinsoku/>
                    <w:wordWrap/>
                    <w:topLinePunct w:val="0"/>
                    <w:bidi w:val="0"/>
                    <w:adjustRightInd/>
                    <w:snapToGrid/>
                    <w:ind w:right="0"/>
                    <w:jc w:val="center"/>
                    <w:textAlignment w:val="auto"/>
                    <w:rPr>
                      <w:rFonts w:hint="default" w:ascii="Times New Roman" w:hAnsi="Times New Roman" w:cs="Times New Roman"/>
                      <w:sz w:val="21"/>
                      <w:szCs w:val="21"/>
                    </w:rPr>
                  </w:pPr>
                  <w:r>
                    <w:rPr>
                      <w:rFonts w:hint="default" w:ascii="Times New Roman" w:hAnsi="Times New Roman" w:cs="Times New Roman"/>
                      <w:kern w:val="0"/>
                      <w:sz w:val="21"/>
                      <w:szCs w:val="21"/>
                    </w:rPr>
                    <w:t>模具</w:t>
                  </w:r>
                </w:p>
              </w:tc>
              <w:tc>
                <w:tcPr>
                  <w:tcW w:w="695" w:type="pct"/>
                  <w:vAlign w:val="center"/>
                </w:tcPr>
                <w:p w14:paraId="4D2EF274">
                  <w:pPr>
                    <w:pageBreakBefore w:val="0"/>
                    <w:kinsoku/>
                    <w:wordWrap/>
                    <w:topLinePunct w:val="0"/>
                    <w:autoSpaceDE w:val="0"/>
                    <w:autoSpaceDN w:val="0"/>
                    <w:bidi w:val="0"/>
                    <w:adjustRightInd/>
                    <w:snapToGrid/>
                    <w:ind w:right="0"/>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val="en-US" w:eastAsia="zh-CN"/>
                    </w:rPr>
                    <w:t>台</w:t>
                  </w:r>
                </w:p>
              </w:tc>
              <w:tc>
                <w:tcPr>
                  <w:tcW w:w="436" w:type="pct"/>
                  <w:vAlign w:val="center"/>
                </w:tcPr>
                <w:p w14:paraId="05124C2F">
                  <w:pPr>
                    <w:pageBreakBefore w:val="0"/>
                    <w:widowControl/>
                    <w:kinsoku/>
                    <w:wordWrap/>
                    <w:topLinePunct w:val="0"/>
                    <w:bidi w:val="0"/>
                    <w:adjustRightInd/>
                    <w:snapToGrid/>
                    <w:ind w:right="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kern w:val="0"/>
                      <w:sz w:val="21"/>
                      <w:szCs w:val="21"/>
                    </w:rPr>
                    <w:t>25</w:t>
                  </w:r>
                </w:p>
              </w:tc>
              <w:tc>
                <w:tcPr>
                  <w:tcW w:w="1848" w:type="pct"/>
                  <w:vAlign w:val="center"/>
                </w:tcPr>
                <w:p w14:paraId="06EF1F83">
                  <w:pPr>
                    <w:pageBreakBefore w:val="0"/>
                    <w:widowControl/>
                    <w:kinsoku/>
                    <w:wordWrap/>
                    <w:topLinePunct w:val="0"/>
                    <w:bidi w:val="0"/>
                    <w:adjustRightInd/>
                    <w:snapToGrid/>
                    <w:ind w:right="0"/>
                    <w:jc w:val="center"/>
                    <w:textAlignment w:val="auto"/>
                    <w:rPr>
                      <w:rFonts w:hint="default" w:ascii="Times New Roman" w:hAnsi="Times New Roman" w:eastAsia="宋体" w:cs="Times New Roman"/>
                      <w:color w:val="000000"/>
                      <w:sz w:val="21"/>
                      <w:szCs w:val="21"/>
                      <w:lang w:val="en-US"/>
                    </w:rPr>
                  </w:pPr>
                  <w:r>
                    <w:rPr>
                      <w:rFonts w:hint="default" w:ascii="Times New Roman" w:hAnsi="Times New Roman" w:cs="Times New Roman"/>
                      <w:kern w:val="0"/>
                      <w:sz w:val="21"/>
                      <w:szCs w:val="21"/>
                    </w:rPr>
                    <w:t>6m</w:t>
                  </w:r>
                </w:p>
              </w:tc>
            </w:tr>
            <w:tr w14:paraId="70B322C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pct"/>
                  <w:vAlign w:val="center"/>
                </w:tcPr>
                <w:p w14:paraId="6C32AEA5">
                  <w:pPr>
                    <w:pStyle w:val="7"/>
                    <w:pageBreakBefore w:val="0"/>
                    <w:kinsoku/>
                    <w:wordWrap/>
                    <w:overflowPunct w:val="0"/>
                    <w:topLinePunct w:val="0"/>
                    <w:bidi w:val="0"/>
                    <w:adjustRightInd/>
                    <w:snapToGrid/>
                    <w:spacing w:line="240" w:lineRule="auto"/>
                    <w:ind w:right="0" w:firstLine="0" w:firstLineChars="0"/>
                    <w:jc w:val="center"/>
                    <w:textAlignment w:val="auto"/>
                    <w:rPr>
                      <w:rFonts w:hint="default" w:ascii="Times New Roman" w:hAnsi="Times New Roman" w:cs="Times New Roman"/>
                      <w:bCs w:val="0"/>
                      <w:sz w:val="21"/>
                      <w:szCs w:val="21"/>
                    </w:rPr>
                  </w:pPr>
                  <w:r>
                    <w:rPr>
                      <w:rFonts w:hint="default" w:ascii="Times New Roman" w:hAnsi="Times New Roman" w:cs="Times New Roman"/>
                      <w:bCs w:val="0"/>
                      <w:sz w:val="21"/>
                      <w:szCs w:val="21"/>
                    </w:rPr>
                    <w:t>11</w:t>
                  </w:r>
                </w:p>
              </w:tc>
              <w:tc>
                <w:tcPr>
                  <w:tcW w:w="1294" w:type="pct"/>
                  <w:vAlign w:val="center"/>
                </w:tcPr>
                <w:p w14:paraId="46D65A0D">
                  <w:pPr>
                    <w:pageBreakBefore w:val="0"/>
                    <w:widowControl/>
                    <w:kinsoku/>
                    <w:wordWrap/>
                    <w:topLinePunct w:val="0"/>
                    <w:bidi w:val="0"/>
                    <w:adjustRightInd/>
                    <w:snapToGrid/>
                    <w:ind w:right="0"/>
                    <w:jc w:val="center"/>
                    <w:textAlignment w:val="auto"/>
                    <w:rPr>
                      <w:rFonts w:hint="default" w:ascii="Times New Roman" w:hAnsi="Times New Roman" w:cs="Times New Roman"/>
                      <w:sz w:val="21"/>
                      <w:szCs w:val="21"/>
                    </w:rPr>
                  </w:pPr>
                  <w:r>
                    <w:rPr>
                      <w:rFonts w:hint="default" w:ascii="Times New Roman" w:hAnsi="Times New Roman" w:cs="Times New Roman"/>
                      <w:kern w:val="0"/>
                      <w:sz w:val="21"/>
                      <w:szCs w:val="21"/>
                    </w:rPr>
                    <w:t>釜前预养窑</w:t>
                  </w:r>
                </w:p>
              </w:tc>
              <w:tc>
                <w:tcPr>
                  <w:tcW w:w="695" w:type="pct"/>
                  <w:vAlign w:val="center"/>
                </w:tcPr>
                <w:p w14:paraId="1A86305B">
                  <w:pPr>
                    <w:pageBreakBefore w:val="0"/>
                    <w:kinsoku/>
                    <w:wordWrap/>
                    <w:topLinePunct w:val="0"/>
                    <w:autoSpaceDE w:val="0"/>
                    <w:autoSpaceDN w:val="0"/>
                    <w:bidi w:val="0"/>
                    <w:adjustRightInd/>
                    <w:snapToGrid/>
                    <w:ind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台</w:t>
                  </w:r>
                </w:p>
              </w:tc>
              <w:tc>
                <w:tcPr>
                  <w:tcW w:w="436" w:type="pct"/>
                  <w:vAlign w:val="center"/>
                </w:tcPr>
                <w:p w14:paraId="28CA7DD3">
                  <w:pPr>
                    <w:pageBreakBefore w:val="0"/>
                    <w:widowControl/>
                    <w:kinsoku/>
                    <w:wordWrap/>
                    <w:topLinePunct w:val="0"/>
                    <w:bidi w:val="0"/>
                    <w:adjustRightInd/>
                    <w:snapToGrid/>
                    <w:ind w:right="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kern w:val="0"/>
                      <w:sz w:val="21"/>
                      <w:szCs w:val="21"/>
                    </w:rPr>
                    <w:t>7</w:t>
                  </w:r>
                </w:p>
              </w:tc>
              <w:tc>
                <w:tcPr>
                  <w:tcW w:w="1848" w:type="pct"/>
                  <w:vAlign w:val="center"/>
                </w:tcPr>
                <w:p w14:paraId="7E3AC15A">
                  <w:pPr>
                    <w:pageBreakBefore w:val="0"/>
                    <w:widowControl/>
                    <w:kinsoku/>
                    <w:wordWrap/>
                    <w:topLinePunct w:val="0"/>
                    <w:bidi w:val="0"/>
                    <w:adjustRightInd/>
                    <w:snapToGrid/>
                    <w:ind w:right="0"/>
                    <w:jc w:val="center"/>
                    <w:textAlignment w:val="auto"/>
                    <w:rPr>
                      <w:rFonts w:hint="default" w:ascii="Times New Roman" w:hAnsi="Times New Roman" w:eastAsia="宋体" w:cs="Times New Roman"/>
                      <w:color w:val="000000"/>
                      <w:sz w:val="21"/>
                      <w:szCs w:val="21"/>
                      <w:lang w:val="en-US"/>
                    </w:rPr>
                  </w:pPr>
                  <w:r>
                    <w:rPr>
                      <w:rFonts w:hint="default" w:ascii="Times New Roman" w:hAnsi="Times New Roman" w:cs="Times New Roman"/>
                      <w:kern w:val="0"/>
                      <w:sz w:val="21"/>
                      <w:szCs w:val="21"/>
                    </w:rPr>
                    <w:t>3×10</w:t>
                  </w:r>
                </w:p>
              </w:tc>
            </w:tr>
            <w:tr w14:paraId="151998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pct"/>
                  <w:vAlign w:val="center"/>
                </w:tcPr>
                <w:p w14:paraId="2D39753D">
                  <w:pPr>
                    <w:pStyle w:val="7"/>
                    <w:pageBreakBefore w:val="0"/>
                    <w:kinsoku/>
                    <w:wordWrap/>
                    <w:overflowPunct w:val="0"/>
                    <w:topLinePunct w:val="0"/>
                    <w:bidi w:val="0"/>
                    <w:adjustRightInd/>
                    <w:snapToGrid/>
                    <w:spacing w:line="240" w:lineRule="auto"/>
                    <w:ind w:right="0" w:firstLine="0" w:firstLineChars="0"/>
                    <w:jc w:val="center"/>
                    <w:textAlignment w:val="auto"/>
                    <w:rPr>
                      <w:rFonts w:hint="default" w:ascii="Times New Roman" w:hAnsi="Times New Roman" w:cs="Times New Roman"/>
                      <w:bCs w:val="0"/>
                      <w:sz w:val="21"/>
                      <w:szCs w:val="21"/>
                    </w:rPr>
                  </w:pPr>
                  <w:r>
                    <w:rPr>
                      <w:rFonts w:hint="default" w:ascii="Times New Roman" w:hAnsi="Times New Roman" w:cs="Times New Roman"/>
                      <w:bCs w:val="0"/>
                      <w:sz w:val="21"/>
                      <w:szCs w:val="21"/>
                      <w:lang w:val="en-US" w:eastAsia="zh-CN"/>
                    </w:rPr>
                    <w:t>12</w:t>
                  </w:r>
                </w:p>
              </w:tc>
              <w:tc>
                <w:tcPr>
                  <w:tcW w:w="1294" w:type="pct"/>
                  <w:vAlign w:val="center"/>
                </w:tcPr>
                <w:p w14:paraId="3E5DEEC2">
                  <w:pPr>
                    <w:pageBreakBefore w:val="0"/>
                    <w:widowControl/>
                    <w:kinsoku/>
                    <w:wordWrap/>
                    <w:topLinePunct w:val="0"/>
                    <w:bidi w:val="0"/>
                    <w:adjustRightInd/>
                    <w:snapToGrid/>
                    <w:ind w:right="0"/>
                    <w:jc w:val="center"/>
                    <w:textAlignment w:val="auto"/>
                    <w:rPr>
                      <w:rFonts w:hint="default" w:ascii="Times New Roman" w:hAnsi="Times New Roman" w:cs="Times New Roman"/>
                      <w:sz w:val="21"/>
                      <w:szCs w:val="21"/>
                    </w:rPr>
                  </w:pPr>
                  <w:r>
                    <w:rPr>
                      <w:rFonts w:hint="default" w:ascii="Times New Roman" w:hAnsi="Times New Roman" w:cs="Times New Roman"/>
                      <w:kern w:val="0"/>
                      <w:sz w:val="21"/>
                      <w:szCs w:val="21"/>
                    </w:rPr>
                    <w:t>釜前装载行车</w:t>
                  </w:r>
                </w:p>
              </w:tc>
              <w:tc>
                <w:tcPr>
                  <w:tcW w:w="695" w:type="pct"/>
                  <w:vAlign w:val="center"/>
                </w:tcPr>
                <w:p w14:paraId="3332B85D">
                  <w:pPr>
                    <w:pageBreakBefore w:val="0"/>
                    <w:kinsoku/>
                    <w:wordWrap/>
                    <w:topLinePunct w:val="0"/>
                    <w:autoSpaceDE w:val="0"/>
                    <w:autoSpaceDN w:val="0"/>
                    <w:bidi w:val="0"/>
                    <w:adjustRightInd/>
                    <w:snapToGrid/>
                    <w:ind w:right="0"/>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val="en-US" w:eastAsia="zh-CN"/>
                    </w:rPr>
                    <w:t>套</w:t>
                  </w:r>
                </w:p>
              </w:tc>
              <w:tc>
                <w:tcPr>
                  <w:tcW w:w="436" w:type="pct"/>
                  <w:vAlign w:val="center"/>
                </w:tcPr>
                <w:p w14:paraId="4774D1FB">
                  <w:pPr>
                    <w:pageBreakBefore w:val="0"/>
                    <w:widowControl/>
                    <w:kinsoku/>
                    <w:wordWrap/>
                    <w:topLinePunct w:val="0"/>
                    <w:bidi w:val="0"/>
                    <w:adjustRightInd/>
                    <w:snapToGrid/>
                    <w:ind w:right="0"/>
                    <w:jc w:val="center"/>
                    <w:textAlignment w:val="auto"/>
                    <w:rPr>
                      <w:rFonts w:hint="default" w:ascii="Times New Roman" w:hAnsi="Times New Roman" w:cs="Times New Roman"/>
                      <w:color w:val="000000"/>
                      <w:sz w:val="21"/>
                      <w:szCs w:val="21"/>
                      <w:lang w:val="en-US"/>
                    </w:rPr>
                  </w:pPr>
                  <w:r>
                    <w:rPr>
                      <w:rFonts w:hint="default" w:ascii="Times New Roman" w:hAnsi="Times New Roman" w:cs="Times New Roman"/>
                      <w:kern w:val="0"/>
                      <w:sz w:val="21"/>
                      <w:szCs w:val="21"/>
                    </w:rPr>
                    <w:t>2</w:t>
                  </w:r>
                </w:p>
              </w:tc>
              <w:tc>
                <w:tcPr>
                  <w:tcW w:w="1848" w:type="pct"/>
                  <w:vAlign w:val="center"/>
                </w:tcPr>
                <w:p w14:paraId="68E11326">
                  <w:pPr>
                    <w:pageBreakBefore w:val="0"/>
                    <w:widowControl/>
                    <w:kinsoku/>
                    <w:wordWrap/>
                    <w:topLinePunct w:val="0"/>
                    <w:bidi w:val="0"/>
                    <w:adjustRightInd/>
                    <w:snapToGrid/>
                    <w:ind w:right="0"/>
                    <w:jc w:val="center"/>
                    <w:textAlignment w:val="auto"/>
                    <w:rPr>
                      <w:rFonts w:hint="default" w:ascii="Times New Roman" w:hAnsi="Times New Roman" w:eastAsia="宋体" w:cs="Times New Roman"/>
                      <w:color w:val="000000"/>
                      <w:sz w:val="21"/>
                      <w:szCs w:val="21"/>
                      <w:lang w:val="en-US"/>
                    </w:rPr>
                  </w:pPr>
                  <w:r>
                    <w:rPr>
                      <w:rFonts w:hint="default" w:ascii="Times New Roman" w:hAnsi="Times New Roman" w:cs="Times New Roman"/>
                      <w:kern w:val="0"/>
                      <w:sz w:val="21"/>
                      <w:szCs w:val="21"/>
                    </w:rPr>
                    <w:t>LK=7.5m/P=8t</w:t>
                  </w:r>
                </w:p>
              </w:tc>
            </w:tr>
            <w:tr w14:paraId="57AA2F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pct"/>
                  <w:vAlign w:val="center"/>
                </w:tcPr>
                <w:p w14:paraId="773EDED5">
                  <w:pPr>
                    <w:pStyle w:val="7"/>
                    <w:pageBreakBefore w:val="0"/>
                    <w:kinsoku/>
                    <w:wordWrap/>
                    <w:overflowPunct w:val="0"/>
                    <w:topLinePunct w:val="0"/>
                    <w:bidi w:val="0"/>
                    <w:adjustRightInd/>
                    <w:snapToGrid/>
                    <w:spacing w:line="240" w:lineRule="auto"/>
                    <w:ind w:right="0" w:firstLine="0" w:firstLineChars="0"/>
                    <w:jc w:val="center"/>
                    <w:textAlignment w:val="auto"/>
                    <w:rPr>
                      <w:rFonts w:hint="default" w:ascii="Times New Roman" w:hAnsi="Times New Roman" w:eastAsia="宋体" w:cs="Times New Roman"/>
                      <w:bCs w:val="0"/>
                      <w:sz w:val="21"/>
                      <w:szCs w:val="21"/>
                      <w:lang w:val="en-US" w:eastAsia="zh-CN"/>
                    </w:rPr>
                  </w:pPr>
                  <w:r>
                    <w:rPr>
                      <w:rFonts w:hint="default" w:ascii="Times New Roman" w:hAnsi="Times New Roman" w:cs="Times New Roman"/>
                      <w:bCs w:val="0"/>
                      <w:sz w:val="21"/>
                      <w:szCs w:val="21"/>
                      <w:lang w:val="en-US" w:eastAsia="zh-CN"/>
                    </w:rPr>
                    <w:t>13</w:t>
                  </w:r>
                </w:p>
              </w:tc>
              <w:tc>
                <w:tcPr>
                  <w:tcW w:w="1294" w:type="pct"/>
                  <w:vAlign w:val="center"/>
                </w:tcPr>
                <w:p w14:paraId="2ADD0D00">
                  <w:pPr>
                    <w:pageBreakBefore w:val="0"/>
                    <w:widowControl/>
                    <w:kinsoku/>
                    <w:wordWrap/>
                    <w:topLinePunct w:val="0"/>
                    <w:bidi w:val="0"/>
                    <w:adjustRightInd/>
                    <w:snapToGrid/>
                    <w:ind w:right="0"/>
                    <w:jc w:val="center"/>
                    <w:textAlignment w:val="auto"/>
                    <w:rPr>
                      <w:rFonts w:hint="default" w:ascii="Times New Roman" w:hAnsi="Times New Roman" w:cs="Times New Roman"/>
                      <w:sz w:val="21"/>
                      <w:szCs w:val="21"/>
                    </w:rPr>
                  </w:pPr>
                  <w:r>
                    <w:rPr>
                      <w:rFonts w:hint="default" w:ascii="Times New Roman" w:hAnsi="Times New Roman" w:cs="Times New Roman"/>
                      <w:kern w:val="0"/>
                      <w:sz w:val="21"/>
                      <w:szCs w:val="21"/>
                    </w:rPr>
                    <w:t>切割机</w:t>
                  </w:r>
                </w:p>
              </w:tc>
              <w:tc>
                <w:tcPr>
                  <w:tcW w:w="695" w:type="pct"/>
                  <w:vAlign w:val="center"/>
                </w:tcPr>
                <w:p w14:paraId="3ABEA212">
                  <w:pPr>
                    <w:pageBreakBefore w:val="0"/>
                    <w:kinsoku/>
                    <w:wordWrap/>
                    <w:topLinePunct w:val="0"/>
                    <w:autoSpaceDE w:val="0"/>
                    <w:autoSpaceDN w:val="0"/>
                    <w:bidi w:val="0"/>
                    <w:adjustRightInd/>
                    <w:snapToGrid/>
                    <w:ind w:right="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rPr>
                    <w:t>台</w:t>
                  </w:r>
                </w:p>
              </w:tc>
              <w:tc>
                <w:tcPr>
                  <w:tcW w:w="436" w:type="pct"/>
                  <w:vAlign w:val="center"/>
                </w:tcPr>
                <w:p w14:paraId="2653956E">
                  <w:pPr>
                    <w:pageBreakBefore w:val="0"/>
                    <w:widowControl/>
                    <w:kinsoku/>
                    <w:wordWrap/>
                    <w:topLinePunct w:val="0"/>
                    <w:bidi w:val="0"/>
                    <w:adjustRightInd/>
                    <w:snapToGrid/>
                    <w:ind w:right="0"/>
                    <w:jc w:val="center"/>
                    <w:textAlignment w:val="auto"/>
                    <w:rPr>
                      <w:rFonts w:hint="default" w:ascii="Times New Roman" w:hAnsi="Times New Roman" w:cs="Times New Roman"/>
                      <w:color w:val="000000"/>
                      <w:sz w:val="21"/>
                      <w:szCs w:val="21"/>
                      <w:lang w:val="en-US"/>
                    </w:rPr>
                  </w:pPr>
                  <w:r>
                    <w:rPr>
                      <w:rFonts w:hint="default" w:ascii="Times New Roman" w:hAnsi="Times New Roman" w:cs="Times New Roman"/>
                      <w:kern w:val="0"/>
                      <w:sz w:val="21"/>
                      <w:szCs w:val="21"/>
                    </w:rPr>
                    <w:t>1</w:t>
                  </w:r>
                </w:p>
              </w:tc>
              <w:tc>
                <w:tcPr>
                  <w:tcW w:w="1848" w:type="pct"/>
                  <w:vAlign w:val="center"/>
                </w:tcPr>
                <w:p w14:paraId="4E7E0969">
                  <w:pPr>
                    <w:pageBreakBefore w:val="0"/>
                    <w:widowControl/>
                    <w:kinsoku/>
                    <w:wordWrap/>
                    <w:topLinePunct w:val="0"/>
                    <w:bidi w:val="0"/>
                    <w:adjustRightInd/>
                    <w:snapToGrid/>
                    <w:ind w:right="0"/>
                    <w:jc w:val="center"/>
                    <w:textAlignment w:val="auto"/>
                    <w:rPr>
                      <w:rFonts w:hint="default" w:ascii="Times New Roman" w:hAnsi="Times New Roman" w:eastAsia="宋体" w:cs="Times New Roman"/>
                      <w:color w:val="000000"/>
                      <w:sz w:val="21"/>
                      <w:szCs w:val="21"/>
                      <w:lang w:val="en-US"/>
                    </w:rPr>
                  </w:pPr>
                  <w:r>
                    <w:rPr>
                      <w:rFonts w:hint="default" w:ascii="Times New Roman" w:hAnsi="Times New Roman" w:cs="Times New Roman"/>
                      <w:kern w:val="0"/>
                      <w:sz w:val="21"/>
                      <w:szCs w:val="21"/>
                    </w:rPr>
                    <w:t>60×40</w:t>
                  </w:r>
                </w:p>
              </w:tc>
            </w:tr>
            <w:tr w14:paraId="0299F32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pct"/>
                  <w:vAlign w:val="center"/>
                </w:tcPr>
                <w:p w14:paraId="1BF8532C">
                  <w:pPr>
                    <w:pStyle w:val="7"/>
                    <w:pageBreakBefore w:val="0"/>
                    <w:kinsoku/>
                    <w:wordWrap/>
                    <w:overflowPunct w:val="0"/>
                    <w:topLinePunct w:val="0"/>
                    <w:bidi w:val="0"/>
                    <w:adjustRightInd/>
                    <w:snapToGrid/>
                    <w:spacing w:line="240" w:lineRule="auto"/>
                    <w:ind w:right="0" w:firstLine="0" w:firstLineChars="0"/>
                    <w:jc w:val="center"/>
                    <w:textAlignment w:val="auto"/>
                    <w:rPr>
                      <w:rFonts w:hint="default" w:ascii="Times New Roman" w:hAnsi="Times New Roman" w:cs="Times New Roman"/>
                      <w:bCs w:val="0"/>
                      <w:sz w:val="21"/>
                      <w:szCs w:val="21"/>
                      <w:lang w:val="en-US" w:eastAsia="zh-CN"/>
                    </w:rPr>
                  </w:pPr>
                  <w:r>
                    <w:rPr>
                      <w:rFonts w:hint="default" w:ascii="Times New Roman" w:hAnsi="Times New Roman" w:cs="Times New Roman"/>
                      <w:bCs w:val="0"/>
                      <w:sz w:val="21"/>
                      <w:szCs w:val="21"/>
                      <w:lang w:val="en-US" w:eastAsia="zh-CN"/>
                    </w:rPr>
                    <w:t>14</w:t>
                  </w:r>
                </w:p>
              </w:tc>
              <w:tc>
                <w:tcPr>
                  <w:tcW w:w="1294" w:type="pct"/>
                  <w:vAlign w:val="center"/>
                </w:tcPr>
                <w:p w14:paraId="069FADD8">
                  <w:pPr>
                    <w:pageBreakBefore w:val="0"/>
                    <w:widowControl/>
                    <w:kinsoku/>
                    <w:wordWrap/>
                    <w:topLinePunct w:val="0"/>
                    <w:bidi w:val="0"/>
                    <w:adjustRightInd/>
                    <w:snapToGrid/>
                    <w:ind w:right="0"/>
                    <w:jc w:val="center"/>
                    <w:textAlignment w:val="auto"/>
                    <w:rPr>
                      <w:rFonts w:hint="default" w:ascii="Times New Roman" w:hAnsi="Times New Roman" w:cs="Times New Roman"/>
                      <w:sz w:val="21"/>
                      <w:szCs w:val="21"/>
                    </w:rPr>
                  </w:pPr>
                  <w:r>
                    <w:rPr>
                      <w:rFonts w:hint="default" w:ascii="Times New Roman" w:hAnsi="Times New Roman" w:cs="Times New Roman"/>
                      <w:kern w:val="0"/>
                      <w:sz w:val="21"/>
                      <w:szCs w:val="21"/>
                    </w:rPr>
                    <w:t>蒸压釜</w:t>
                  </w:r>
                </w:p>
              </w:tc>
              <w:tc>
                <w:tcPr>
                  <w:tcW w:w="695" w:type="pct"/>
                  <w:vAlign w:val="center"/>
                </w:tcPr>
                <w:p w14:paraId="6886E4BD">
                  <w:pPr>
                    <w:pageBreakBefore w:val="0"/>
                    <w:kinsoku/>
                    <w:wordWrap/>
                    <w:topLinePunct w:val="0"/>
                    <w:autoSpaceDE w:val="0"/>
                    <w:autoSpaceDN w:val="0"/>
                    <w:bidi w:val="0"/>
                    <w:adjustRightInd/>
                    <w:snapToGrid/>
                    <w:ind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台</w:t>
                  </w:r>
                </w:p>
              </w:tc>
              <w:tc>
                <w:tcPr>
                  <w:tcW w:w="436" w:type="pct"/>
                  <w:vAlign w:val="center"/>
                </w:tcPr>
                <w:p w14:paraId="369A3ACF">
                  <w:pPr>
                    <w:pageBreakBefore w:val="0"/>
                    <w:widowControl/>
                    <w:kinsoku/>
                    <w:wordWrap/>
                    <w:topLinePunct w:val="0"/>
                    <w:bidi w:val="0"/>
                    <w:adjustRightInd/>
                    <w:snapToGrid/>
                    <w:ind w:right="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kern w:val="0"/>
                      <w:sz w:val="21"/>
                      <w:szCs w:val="21"/>
                    </w:rPr>
                    <w:t>14</w:t>
                  </w:r>
                </w:p>
              </w:tc>
              <w:tc>
                <w:tcPr>
                  <w:tcW w:w="1848" w:type="pct"/>
                  <w:vAlign w:val="center"/>
                </w:tcPr>
                <w:p w14:paraId="3C5B5A25">
                  <w:pPr>
                    <w:pageBreakBefore w:val="0"/>
                    <w:widowControl/>
                    <w:kinsoku/>
                    <w:wordWrap/>
                    <w:topLinePunct w:val="0"/>
                    <w:bidi w:val="0"/>
                    <w:adjustRightInd/>
                    <w:snapToGrid/>
                    <w:ind w:right="0"/>
                    <w:jc w:val="center"/>
                    <w:textAlignment w:val="auto"/>
                    <w:rPr>
                      <w:rFonts w:hint="default" w:ascii="Times New Roman" w:hAnsi="Times New Roman" w:eastAsia="宋体" w:cs="Times New Roman"/>
                      <w:color w:val="000000"/>
                      <w:sz w:val="21"/>
                      <w:szCs w:val="21"/>
                      <w:lang w:val="en-US"/>
                    </w:rPr>
                  </w:pPr>
                  <w:r>
                    <w:rPr>
                      <w:rFonts w:hint="default" w:ascii="Times New Roman" w:hAnsi="Times New Roman" w:cs="Times New Roman"/>
                      <w:kern w:val="0"/>
                      <w:sz w:val="21"/>
                      <w:szCs w:val="21"/>
                    </w:rPr>
                    <w:t>Φ2.68m×31.5m</w:t>
                  </w:r>
                </w:p>
              </w:tc>
            </w:tr>
            <w:tr w14:paraId="4F69704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pct"/>
                  <w:vAlign w:val="center"/>
                </w:tcPr>
                <w:p w14:paraId="628CF3B2">
                  <w:pPr>
                    <w:pStyle w:val="7"/>
                    <w:pageBreakBefore w:val="0"/>
                    <w:kinsoku/>
                    <w:wordWrap/>
                    <w:overflowPunct w:val="0"/>
                    <w:topLinePunct w:val="0"/>
                    <w:bidi w:val="0"/>
                    <w:adjustRightInd/>
                    <w:snapToGrid/>
                    <w:spacing w:line="240" w:lineRule="auto"/>
                    <w:ind w:right="0" w:firstLine="0" w:firstLineChars="0"/>
                    <w:jc w:val="center"/>
                    <w:textAlignment w:val="auto"/>
                    <w:rPr>
                      <w:rFonts w:hint="default" w:ascii="Times New Roman" w:hAnsi="Times New Roman" w:cs="Times New Roman"/>
                      <w:bCs w:val="0"/>
                      <w:sz w:val="21"/>
                      <w:szCs w:val="21"/>
                      <w:lang w:val="en-US" w:eastAsia="zh-CN"/>
                    </w:rPr>
                  </w:pPr>
                  <w:r>
                    <w:rPr>
                      <w:rFonts w:hint="default" w:ascii="Times New Roman" w:hAnsi="Times New Roman" w:cs="Times New Roman"/>
                      <w:bCs w:val="0"/>
                      <w:sz w:val="21"/>
                      <w:szCs w:val="21"/>
                      <w:lang w:val="en-US" w:eastAsia="zh-CN"/>
                    </w:rPr>
                    <w:t>15</w:t>
                  </w:r>
                </w:p>
              </w:tc>
              <w:tc>
                <w:tcPr>
                  <w:tcW w:w="1294" w:type="pct"/>
                  <w:vAlign w:val="center"/>
                </w:tcPr>
                <w:p w14:paraId="1A3CA4B9">
                  <w:pPr>
                    <w:pageBreakBefore w:val="0"/>
                    <w:widowControl/>
                    <w:kinsoku/>
                    <w:wordWrap/>
                    <w:topLinePunct w:val="0"/>
                    <w:bidi w:val="0"/>
                    <w:adjustRightInd/>
                    <w:snapToGrid/>
                    <w:ind w:right="0"/>
                    <w:jc w:val="center"/>
                    <w:textAlignment w:val="auto"/>
                    <w:rPr>
                      <w:rFonts w:hint="default" w:ascii="Times New Roman" w:hAnsi="Times New Roman" w:cs="Times New Roman"/>
                      <w:sz w:val="21"/>
                      <w:szCs w:val="21"/>
                    </w:rPr>
                  </w:pPr>
                  <w:r>
                    <w:rPr>
                      <w:rFonts w:hint="default" w:ascii="Times New Roman" w:hAnsi="Times New Roman" w:cs="Times New Roman"/>
                      <w:kern w:val="0"/>
                      <w:sz w:val="21"/>
                      <w:szCs w:val="21"/>
                    </w:rPr>
                    <w:t>分掰机</w:t>
                  </w:r>
                </w:p>
              </w:tc>
              <w:tc>
                <w:tcPr>
                  <w:tcW w:w="695" w:type="pct"/>
                  <w:vAlign w:val="center"/>
                </w:tcPr>
                <w:p w14:paraId="381CFC1C">
                  <w:pPr>
                    <w:pageBreakBefore w:val="0"/>
                    <w:kinsoku/>
                    <w:wordWrap/>
                    <w:topLinePunct w:val="0"/>
                    <w:autoSpaceDE w:val="0"/>
                    <w:autoSpaceDN w:val="0"/>
                    <w:bidi w:val="0"/>
                    <w:adjustRightInd/>
                    <w:snapToGrid/>
                    <w:ind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台</w:t>
                  </w:r>
                </w:p>
              </w:tc>
              <w:tc>
                <w:tcPr>
                  <w:tcW w:w="436" w:type="pct"/>
                  <w:vAlign w:val="center"/>
                </w:tcPr>
                <w:p w14:paraId="5AFB28AA">
                  <w:pPr>
                    <w:pageBreakBefore w:val="0"/>
                    <w:widowControl/>
                    <w:kinsoku/>
                    <w:wordWrap/>
                    <w:topLinePunct w:val="0"/>
                    <w:bidi w:val="0"/>
                    <w:adjustRightInd/>
                    <w:snapToGrid/>
                    <w:ind w:right="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kern w:val="0"/>
                      <w:sz w:val="21"/>
                      <w:szCs w:val="21"/>
                    </w:rPr>
                    <w:t>1</w:t>
                  </w:r>
                </w:p>
              </w:tc>
              <w:tc>
                <w:tcPr>
                  <w:tcW w:w="1848" w:type="pct"/>
                  <w:vAlign w:val="center"/>
                </w:tcPr>
                <w:p w14:paraId="16CAB71E">
                  <w:pPr>
                    <w:pageBreakBefore w:val="0"/>
                    <w:widowControl/>
                    <w:kinsoku/>
                    <w:wordWrap/>
                    <w:topLinePunct w:val="0"/>
                    <w:bidi w:val="0"/>
                    <w:adjustRightInd/>
                    <w:snapToGrid/>
                    <w:ind w:right="0"/>
                    <w:jc w:val="center"/>
                    <w:textAlignment w:val="auto"/>
                    <w:rPr>
                      <w:rFonts w:hint="default" w:ascii="Times New Roman" w:hAnsi="Times New Roman" w:eastAsia="宋体" w:cs="Times New Roman"/>
                      <w:color w:val="000000"/>
                      <w:sz w:val="21"/>
                      <w:szCs w:val="21"/>
                      <w:lang w:val="en-US"/>
                    </w:rPr>
                  </w:pPr>
                  <w:r>
                    <w:rPr>
                      <w:rFonts w:hint="default" w:ascii="Times New Roman" w:hAnsi="Times New Roman" w:cs="Times New Roman"/>
                      <w:kern w:val="0"/>
                      <w:sz w:val="21"/>
                      <w:szCs w:val="21"/>
                    </w:rPr>
                    <w:t>100×600</w:t>
                  </w:r>
                </w:p>
              </w:tc>
            </w:tr>
            <w:tr w14:paraId="31380B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pct"/>
                  <w:vAlign w:val="center"/>
                </w:tcPr>
                <w:p w14:paraId="771DC739">
                  <w:pPr>
                    <w:pStyle w:val="7"/>
                    <w:pageBreakBefore w:val="0"/>
                    <w:kinsoku/>
                    <w:wordWrap/>
                    <w:overflowPunct w:val="0"/>
                    <w:topLinePunct w:val="0"/>
                    <w:bidi w:val="0"/>
                    <w:adjustRightInd/>
                    <w:snapToGrid/>
                    <w:spacing w:line="240" w:lineRule="auto"/>
                    <w:ind w:right="0" w:firstLine="0" w:firstLineChars="0"/>
                    <w:jc w:val="center"/>
                    <w:textAlignment w:val="auto"/>
                    <w:rPr>
                      <w:rFonts w:hint="default" w:ascii="Times New Roman" w:hAnsi="Times New Roman" w:cs="Times New Roman"/>
                      <w:bCs w:val="0"/>
                      <w:sz w:val="21"/>
                      <w:szCs w:val="21"/>
                      <w:lang w:val="en-US" w:eastAsia="zh-CN"/>
                    </w:rPr>
                  </w:pPr>
                  <w:r>
                    <w:rPr>
                      <w:rFonts w:hint="default" w:ascii="Times New Roman" w:hAnsi="Times New Roman" w:cs="Times New Roman"/>
                      <w:bCs w:val="0"/>
                      <w:sz w:val="21"/>
                      <w:szCs w:val="21"/>
                      <w:lang w:val="en-US" w:eastAsia="zh-CN"/>
                    </w:rPr>
                    <w:t>16</w:t>
                  </w:r>
                </w:p>
              </w:tc>
              <w:tc>
                <w:tcPr>
                  <w:tcW w:w="1294" w:type="pct"/>
                  <w:vAlign w:val="center"/>
                </w:tcPr>
                <w:p w14:paraId="5F87B0D4">
                  <w:pPr>
                    <w:pageBreakBefore w:val="0"/>
                    <w:widowControl/>
                    <w:kinsoku/>
                    <w:wordWrap/>
                    <w:topLinePunct w:val="0"/>
                    <w:bidi w:val="0"/>
                    <w:adjustRightInd/>
                    <w:snapToGrid/>
                    <w:ind w:right="0"/>
                    <w:jc w:val="center"/>
                    <w:textAlignment w:val="auto"/>
                    <w:rPr>
                      <w:rFonts w:hint="default" w:ascii="Times New Roman" w:hAnsi="Times New Roman" w:cs="Times New Roman"/>
                      <w:sz w:val="21"/>
                      <w:szCs w:val="21"/>
                    </w:rPr>
                  </w:pPr>
                  <w:r>
                    <w:rPr>
                      <w:rFonts w:hint="default" w:ascii="Times New Roman" w:hAnsi="Times New Roman" w:cs="Times New Roman"/>
                      <w:kern w:val="0"/>
                      <w:sz w:val="21"/>
                      <w:szCs w:val="21"/>
                    </w:rPr>
                    <w:t>翻转设备</w:t>
                  </w:r>
                </w:p>
              </w:tc>
              <w:tc>
                <w:tcPr>
                  <w:tcW w:w="695" w:type="pct"/>
                  <w:vAlign w:val="center"/>
                </w:tcPr>
                <w:p w14:paraId="5813D377">
                  <w:pPr>
                    <w:pageBreakBefore w:val="0"/>
                    <w:kinsoku/>
                    <w:wordWrap/>
                    <w:topLinePunct w:val="0"/>
                    <w:autoSpaceDE w:val="0"/>
                    <w:autoSpaceDN w:val="0"/>
                    <w:bidi w:val="0"/>
                    <w:adjustRightInd/>
                    <w:snapToGrid/>
                    <w:ind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台</w:t>
                  </w:r>
                </w:p>
              </w:tc>
              <w:tc>
                <w:tcPr>
                  <w:tcW w:w="436" w:type="pct"/>
                  <w:vAlign w:val="center"/>
                </w:tcPr>
                <w:p w14:paraId="699584E5">
                  <w:pPr>
                    <w:pageBreakBefore w:val="0"/>
                    <w:widowControl/>
                    <w:kinsoku/>
                    <w:wordWrap/>
                    <w:topLinePunct w:val="0"/>
                    <w:bidi w:val="0"/>
                    <w:adjustRightInd/>
                    <w:snapToGrid/>
                    <w:ind w:right="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kern w:val="0"/>
                      <w:sz w:val="21"/>
                      <w:szCs w:val="21"/>
                    </w:rPr>
                    <w:t>1</w:t>
                  </w:r>
                </w:p>
              </w:tc>
              <w:tc>
                <w:tcPr>
                  <w:tcW w:w="1848" w:type="pct"/>
                  <w:vAlign w:val="center"/>
                </w:tcPr>
                <w:p w14:paraId="59342A92">
                  <w:pPr>
                    <w:pageBreakBefore w:val="0"/>
                    <w:widowControl/>
                    <w:kinsoku/>
                    <w:wordWrap/>
                    <w:topLinePunct w:val="0"/>
                    <w:bidi w:val="0"/>
                    <w:adjustRightInd/>
                    <w:snapToGrid/>
                    <w:ind w:right="0"/>
                    <w:jc w:val="center"/>
                    <w:textAlignment w:val="auto"/>
                    <w:rPr>
                      <w:rFonts w:hint="default" w:ascii="Times New Roman" w:hAnsi="Times New Roman" w:eastAsia="宋体" w:cs="Times New Roman"/>
                      <w:color w:val="000000"/>
                      <w:sz w:val="21"/>
                      <w:szCs w:val="21"/>
                      <w:lang w:val="en-US"/>
                    </w:rPr>
                  </w:pPr>
                  <w:r>
                    <w:rPr>
                      <w:rFonts w:hint="default" w:ascii="Times New Roman" w:hAnsi="Times New Roman" w:cs="Times New Roman"/>
                      <w:kern w:val="0"/>
                      <w:sz w:val="21"/>
                      <w:szCs w:val="21"/>
                    </w:rPr>
                    <w:t>1000×2000</w:t>
                  </w:r>
                </w:p>
              </w:tc>
            </w:tr>
            <w:tr w14:paraId="46964BF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pct"/>
                  <w:vAlign w:val="center"/>
                </w:tcPr>
                <w:p w14:paraId="2BB39369">
                  <w:pPr>
                    <w:pStyle w:val="7"/>
                    <w:pageBreakBefore w:val="0"/>
                    <w:kinsoku/>
                    <w:wordWrap/>
                    <w:overflowPunct w:val="0"/>
                    <w:topLinePunct w:val="0"/>
                    <w:bidi w:val="0"/>
                    <w:adjustRightInd/>
                    <w:snapToGrid/>
                    <w:spacing w:line="240" w:lineRule="auto"/>
                    <w:ind w:right="0" w:firstLine="0" w:firstLineChars="0"/>
                    <w:jc w:val="center"/>
                    <w:textAlignment w:val="auto"/>
                    <w:rPr>
                      <w:rFonts w:hint="default" w:ascii="Times New Roman" w:hAnsi="Times New Roman" w:cs="Times New Roman"/>
                      <w:bCs w:val="0"/>
                      <w:sz w:val="21"/>
                      <w:szCs w:val="21"/>
                      <w:lang w:val="en-US" w:eastAsia="zh-CN"/>
                    </w:rPr>
                  </w:pPr>
                  <w:r>
                    <w:rPr>
                      <w:rFonts w:hint="default" w:ascii="Times New Roman" w:hAnsi="Times New Roman" w:cs="Times New Roman"/>
                      <w:bCs w:val="0"/>
                      <w:sz w:val="21"/>
                      <w:szCs w:val="21"/>
                      <w:lang w:val="en-US" w:eastAsia="zh-CN"/>
                    </w:rPr>
                    <w:t>17</w:t>
                  </w:r>
                </w:p>
              </w:tc>
              <w:tc>
                <w:tcPr>
                  <w:tcW w:w="1294" w:type="pct"/>
                  <w:vAlign w:val="center"/>
                </w:tcPr>
                <w:p w14:paraId="170FB449">
                  <w:pPr>
                    <w:pageBreakBefore w:val="0"/>
                    <w:widowControl/>
                    <w:kinsoku/>
                    <w:wordWrap/>
                    <w:topLinePunct w:val="0"/>
                    <w:bidi w:val="0"/>
                    <w:adjustRightInd/>
                    <w:snapToGrid/>
                    <w:ind w:right="0"/>
                    <w:jc w:val="center"/>
                    <w:textAlignment w:val="auto"/>
                    <w:rPr>
                      <w:rFonts w:hint="default" w:ascii="Times New Roman" w:hAnsi="Times New Roman" w:cs="Times New Roman"/>
                      <w:sz w:val="21"/>
                      <w:szCs w:val="21"/>
                    </w:rPr>
                  </w:pPr>
                  <w:r>
                    <w:rPr>
                      <w:rFonts w:hint="default" w:ascii="Times New Roman" w:hAnsi="Times New Roman" w:cs="Times New Roman"/>
                      <w:kern w:val="0"/>
                      <w:sz w:val="21"/>
                      <w:szCs w:val="21"/>
                    </w:rPr>
                    <w:t>砂浆泵</w:t>
                  </w:r>
                </w:p>
              </w:tc>
              <w:tc>
                <w:tcPr>
                  <w:tcW w:w="695" w:type="pct"/>
                  <w:vAlign w:val="center"/>
                </w:tcPr>
                <w:p w14:paraId="42ADB9FD">
                  <w:pPr>
                    <w:pageBreakBefore w:val="0"/>
                    <w:kinsoku/>
                    <w:wordWrap/>
                    <w:topLinePunct w:val="0"/>
                    <w:autoSpaceDE w:val="0"/>
                    <w:autoSpaceDN w:val="0"/>
                    <w:bidi w:val="0"/>
                    <w:adjustRightInd/>
                    <w:snapToGrid/>
                    <w:ind w:right="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rPr>
                    <w:t>台</w:t>
                  </w:r>
                </w:p>
              </w:tc>
              <w:tc>
                <w:tcPr>
                  <w:tcW w:w="436" w:type="pct"/>
                  <w:vAlign w:val="center"/>
                </w:tcPr>
                <w:p w14:paraId="5C0ED563">
                  <w:pPr>
                    <w:pageBreakBefore w:val="0"/>
                    <w:widowControl/>
                    <w:kinsoku/>
                    <w:wordWrap/>
                    <w:topLinePunct w:val="0"/>
                    <w:bidi w:val="0"/>
                    <w:adjustRightInd/>
                    <w:snapToGrid/>
                    <w:ind w:right="0"/>
                    <w:jc w:val="center"/>
                    <w:textAlignment w:val="auto"/>
                    <w:rPr>
                      <w:rFonts w:hint="default" w:ascii="Times New Roman" w:hAnsi="Times New Roman" w:cs="Times New Roman"/>
                      <w:color w:val="000000"/>
                      <w:sz w:val="21"/>
                      <w:szCs w:val="21"/>
                      <w:lang w:val="en-US"/>
                    </w:rPr>
                  </w:pPr>
                  <w:r>
                    <w:rPr>
                      <w:rFonts w:hint="default" w:ascii="Times New Roman" w:hAnsi="Times New Roman" w:cs="Times New Roman"/>
                      <w:kern w:val="0"/>
                      <w:sz w:val="21"/>
                      <w:szCs w:val="21"/>
                    </w:rPr>
                    <w:t>9</w:t>
                  </w:r>
                </w:p>
              </w:tc>
              <w:tc>
                <w:tcPr>
                  <w:tcW w:w="1848" w:type="pct"/>
                  <w:vAlign w:val="center"/>
                </w:tcPr>
                <w:p w14:paraId="63C1B454">
                  <w:pPr>
                    <w:pageBreakBefore w:val="0"/>
                    <w:widowControl/>
                    <w:kinsoku/>
                    <w:wordWrap/>
                    <w:topLinePunct w:val="0"/>
                    <w:bidi w:val="0"/>
                    <w:adjustRightInd/>
                    <w:snapToGrid/>
                    <w:ind w:right="0"/>
                    <w:jc w:val="center"/>
                    <w:textAlignment w:val="auto"/>
                    <w:rPr>
                      <w:rFonts w:hint="default" w:ascii="Times New Roman" w:hAnsi="Times New Roman" w:eastAsia="宋体" w:cs="Times New Roman"/>
                      <w:color w:val="000000"/>
                      <w:sz w:val="21"/>
                      <w:szCs w:val="21"/>
                      <w:lang w:val="en-US"/>
                    </w:rPr>
                  </w:pPr>
                  <w:r>
                    <w:rPr>
                      <w:rFonts w:hint="default" w:ascii="Times New Roman" w:hAnsi="Times New Roman" w:cs="Times New Roman"/>
                      <w:kern w:val="0"/>
                      <w:sz w:val="21"/>
                      <w:szCs w:val="21"/>
                    </w:rPr>
                    <w:t>W-4/10</w:t>
                  </w:r>
                </w:p>
              </w:tc>
            </w:tr>
            <w:tr w14:paraId="5CE4B60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pct"/>
                  <w:vAlign w:val="center"/>
                </w:tcPr>
                <w:p w14:paraId="023FB8A1">
                  <w:pPr>
                    <w:pStyle w:val="7"/>
                    <w:pageBreakBefore w:val="0"/>
                    <w:kinsoku/>
                    <w:wordWrap/>
                    <w:overflowPunct w:val="0"/>
                    <w:topLinePunct w:val="0"/>
                    <w:bidi w:val="0"/>
                    <w:adjustRightInd/>
                    <w:snapToGrid/>
                    <w:spacing w:line="240" w:lineRule="auto"/>
                    <w:ind w:right="0" w:firstLine="0" w:firstLineChars="0"/>
                    <w:jc w:val="center"/>
                    <w:textAlignment w:val="auto"/>
                    <w:rPr>
                      <w:rFonts w:hint="default" w:ascii="Times New Roman" w:hAnsi="Times New Roman" w:cs="Times New Roman"/>
                      <w:bCs w:val="0"/>
                      <w:sz w:val="21"/>
                      <w:szCs w:val="21"/>
                      <w:lang w:val="en-US" w:eastAsia="zh-CN"/>
                    </w:rPr>
                  </w:pPr>
                  <w:r>
                    <w:rPr>
                      <w:rFonts w:hint="default" w:ascii="Times New Roman" w:hAnsi="Times New Roman" w:cs="Times New Roman"/>
                      <w:bCs w:val="0"/>
                      <w:sz w:val="21"/>
                      <w:szCs w:val="21"/>
                      <w:lang w:val="en-US" w:eastAsia="zh-CN"/>
                    </w:rPr>
                    <w:t>18</w:t>
                  </w:r>
                </w:p>
              </w:tc>
              <w:tc>
                <w:tcPr>
                  <w:tcW w:w="1294" w:type="pct"/>
                  <w:vAlign w:val="center"/>
                </w:tcPr>
                <w:p w14:paraId="14C253F2">
                  <w:pPr>
                    <w:pageBreakBefore w:val="0"/>
                    <w:widowControl/>
                    <w:kinsoku/>
                    <w:wordWrap/>
                    <w:topLinePunct w:val="0"/>
                    <w:bidi w:val="0"/>
                    <w:adjustRightInd/>
                    <w:snapToGrid/>
                    <w:ind w:right="0"/>
                    <w:jc w:val="center"/>
                    <w:textAlignment w:val="auto"/>
                    <w:rPr>
                      <w:rFonts w:hint="default" w:ascii="Times New Roman" w:hAnsi="Times New Roman" w:cs="Times New Roman"/>
                      <w:sz w:val="21"/>
                      <w:szCs w:val="21"/>
                    </w:rPr>
                  </w:pPr>
                  <w:r>
                    <w:rPr>
                      <w:rFonts w:hint="default" w:ascii="Times New Roman" w:hAnsi="Times New Roman" w:cs="Times New Roman"/>
                      <w:kern w:val="0"/>
                      <w:sz w:val="21"/>
                      <w:szCs w:val="21"/>
                    </w:rPr>
                    <w:t>空压机</w:t>
                  </w:r>
                </w:p>
              </w:tc>
              <w:tc>
                <w:tcPr>
                  <w:tcW w:w="695" w:type="pct"/>
                  <w:vAlign w:val="center"/>
                </w:tcPr>
                <w:p w14:paraId="46654470">
                  <w:pPr>
                    <w:pageBreakBefore w:val="0"/>
                    <w:kinsoku/>
                    <w:wordWrap/>
                    <w:topLinePunct w:val="0"/>
                    <w:autoSpaceDE w:val="0"/>
                    <w:autoSpaceDN w:val="0"/>
                    <w:bidi w:val="0"/>
                    <w:adjustRightInd/>
                    <w:snapToGrid/>
                    <w:ind w:right="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rPr>
                    <w:t>台</w:t>
                  </w:r>
                </w:p>
              </w:tc>
              <w:tc>
                <w:tcPr>
                  <w:tcW w:w="436" w:type="pct"/>
                  <w:vAlign w:val="center"/>
                </w:tcPr>
                <w:p w14:paraId="1B6F2EA2">
                  <w:pPr>
                    <w:pageBreakBefore w:val="0"/>
                    <w:widowControl/>
                    <w:kinsoku/>
                    <w:wordWrap/>
                    <w:topLinePunct w:val="0"/>
                    <w:bidi w:val="0"/>
                    <w:adjustRightInd/>
                    <w:snapToGrid/>
                    <w:ind w:right="0"/>
                    <w:jc w:val="center"/>
                    <w:textAlignment w:val="auto"/>
                    <w:rPr>
                      <w:rFonts w:hint="default" w:ascii="Times New Roman" w:hAnsi="Times New Roman" w:cs="Times New Roman"/>
                      <w:color w:val="000000"/>
                      <w:sz w:val="21"/>
                      <w:szCs w:val="21"/>
                      <w:lang w:val="en-US"/>
                    </w:rPr>
                  </w:pPr>
                  <w:r>
                    <w:rPr>
                      <w:rFonts w:hint="default" w:ascii="Times New Roman" w:hAnsi="Times New Roman" w:cs="Times New Roman"/>
                      <w:kern w:val="0"/>
                      <w:sz w:val="21"/>
                      <w:szCs w:val="21"/>
                    </w:rPr>
                    <w:t>2</w:t>
                  </w:r>
                </w:p>
              </w:tc>
              <w:tc>
                <w:tcPr>
                  <w:tcW w:w="1848" w:type="pct"/>
                  <w:vAlign w:val="center"/>
                </w:tcPr>
                <w:p w14:paraId="5E35FAD3">
                  <w:pPr>
                    <w:pageBreakBefore w:val="0"/>
                    <w:widowControl/>
                    <w:kinsoku/>
                    <w:wordWrap/>
                    <w:topLinePunct w:val="0"/>
                    <w:bidi w:val="0"/>
                    <w:adjustRightInd/>
                    <w:snapToGrid/>
                    <w:ind w:right="0"/>
                    <w:jc w:val="center"/>
                    <w:textAlignment w:val="auto"/>
                    <w:rPr>
                      <w:rFonts w:hint="default" w:ascii="Times New Roman" w:hAnsi="Times New Roman" w:eastAsia="宋体" w:cs="Times New Roman"/>
                      <w:color w:val="000000"/>
                      <w:sz w:val="21"/>
                      <w:szCs w:val="21"/>
                      <w:lang w:val="en-US"/>
                    </w:rPr>
                  </w:pPr>
                  <w:r>
                    <w:rPr>
                      <w:rFonts w:hint="default" w:ascii="Times New Roman" w:hAnsi="Times New Roman" w:cs="Times New Roman"/>
                      <w:kern w:val="0"/>
                      <w:sz w:val="21"/>
                      <w:szCs w:val="21"/>
                    </w:rPr>
                    <w:t>SIRC-EP100</w:t>
                  </w:r>
                </w:p>
              </w:tc>
            </w:tr>
            <w:tr w14:paraId="6C5182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pct"/>
                  <w:vAlign w:val="center"/>
                </w:tcPr>
                <w:p w14:paraId="7AFA7E29">
                  <w:pPr>
                    <w:pStyle w:val="7"/>
                    <w:pageBreakBefore w:val="0"/>
                    <w:kinsoku/>
                    <w:wordWrap/>
                    <w:overflowPunct w:val="0"/>
                    <w:topLinePunct w:val="0"/>
                    <w:bidi w:val="0"/>
                    <w:adjustRightInd/>
                    <w:snapToGrid/>
                    <w:spacing w:line="240" w:lineRule="auto"/>
                    <w:ind w:right="0" w:firstLine="0" w:firstLineChars="0"/>
                    <w:jc w:val="center"/>
                    <w:textAlignment w:val="auto"/>
                    <w:rPr>
                      <w:rFonts w:hint="default" w:ascii="Times New Roman" w:hAnsi="Times New Roman" w:cs="Times New Roman"/>
                      <w:bCs w:val="0"/>
                      <w:sz w:val="21"/>
                      <w:szCs w:val="21"/>
                      <w:lang w:val="en-US" w:eastAsia="zh-CN"/>
                    </w:rPr>
                  </w:pPr>
                  <w:r>
                    <w:rPr>
                      <w:rFonts w:hint="default" w:ascii="Times New Roman" w:hAnsi="Times New Roman" w:cs="Times New Roman"/>
                      <w:bCs w:val="0"/>
                      <w:sz w:val="21"/>
                      <w:szCs w:val="21"/>
                      <w:lang w:val="en-US" w:eastAsia="zh-CN"/>
                    </w:rPr>
                    <w:t>19</w:t>
                  </w:r>
                </w:p>
              </w:tc>
              <w:tc>
                <w:tcPr>
                  <w:tcW w:w="1294" w:type="pct"/>
                  <w:vAlign w:val="center"/>
                </w:tcPr>
                <w:p w14:paraId="3FDA5681">
                  <w:pPr>
                    <w:pageBreakBefore w:val="0"/>
                    <w:widowControl/>
                    <w:kinsoku/>
                    <w:wordWrap/>
                    <w:topLinePunct w:val="0"/>
                    <w:bidi w:val="0"/>
                    <w:adjustRightInd/>
                    <w:snapToGrid/>
                    <w:ind w:right="0"/>
                    <w:jc w:val="center"/>
                    <w:textAlignment w:val="auto"/>
                    <w:rPr>
                      <w:rFonts w:hint="default" w:ascii="Times New Roman" w:hAnsi="Times New Roman" w:cs="Times New Roman"/>
                      <w:sz w:val="21"/>
                      <w:szCs w:val="21"/>
                    </w:rPr>
                  </w:pPr>
                  <w:r>
                    <w:rPr>
                      <w:rFonts w:hint="default" w:ascii="Times New Roman" w:hAnsi="Times New Roman" w:cs="Times New Roman"/>
                      <w:kern w:val="0"/>
                      <w:sz w:val="21"/>
                      <w:szCs w:val="21"/>
                    </w:rPr>
                    <w:t>鄂式破碎机</w:t>
                  </w:r>
                </w:p>
              </w:tc>
              <w:tc>
                <w:tcPr>
                  <w:tcW w:w="695" w:type="pct"/>
                  <w:vAlign w:val="center"/>
                </w:tcPr>
                <w:p w14:paraId="08D05685">
                  <w:pPr>
                    <w:pageBreakBefore w:val="0"/>
                    <w:kinsoku/>
                    <w:wordWrap/>
                    <w:topLinePunct w:val="0"/>
                    <w:autoSpaceDE w:val="0"/>
                    <w:autoSpaceDN w:val="0"/>
                    <w:bidi w:val="0"/>
                    <w:adjustRightInd/>
                    <w:snapToGrid/>
                    <w:ind w:right="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rPr>
                    <w:t>台</w:t>
                  </w:r>
                </w:p>
              </w:tc>
              <w:tc>
                <w:tcPr>
                  <w:tcW w:w="436" w:type="pct"/>
                  <w:vAlign w:val="center"/>
                </w:tcPr>
                <w:p w14:paraId="0D129B85">
                  <w:pPr>
                    <w:pageBreakBefore w:val="0"/>
                    <w:widowControl/>
                    <w:kinsoku/>
                    <w:wordWrap/>
                    <w:topLinePunct w:val="0"/>
                    <w:bidi w:val="0"/>
                    <w:adjustRightInd/>
                    <w:snapToGrid/>
                    <w:ind w:right="0"/>
                    <w:jc w:val="center"/>
                    <w:textAlignment w:val="auto"/>
                    <w:rPr>
                      <w:rFonts w:hint="default" w:ascii="Times New Roman" w:hAnsi="Times New Roman" w:cs="Times New Roman"/>
                      <w:color w:val="000000"/>
                      <w:sz w:val="21"/>
                      <w:szCs w:val="21"/>
                      <w:lang w:val="en-US"/>
                    </w:rPr>
                  </w:pPr>
                  <w:r>
                    <w:rPr>
                      <w:rFonts w:hint="default" w:ascii="Times New Roman" w:hAnsi="Times New Roman" w:cs="Times New Roman"/>
                      <w:kern w:val="0"/>
                      <w:sz w:val="21"/>
                      <w:szCs w:val="21"/>
                    </w:rPr>
                    <w:t>2</w:t>
                  </w:r>
                </w:p>
              </w:tc>
              <w:tc>
                <w:tcPr>
                  <w:tcW w:w="1848" w:type="pct"/>
                  <w:vAlign w:val="center"/>
                </w:tcPr>
                <w:p w14:paraId="3E55A572">
                  <w:pPr>
                    <w:pageBreakBefore w:val="0"/>
                    <w:widowControl/>
                    <w:kinsoku/>
                    <w:wordWrap/>
                    <w:topLinePunct w:val="0"/>
                    <w:bidi w:val="0"/>
                    <w:adjustRightInd/>
                    <w:snapToGrid/>
                    <w:ind w:right="0"/>
                    <w:jc w:val="center"/>
                    <w:textAlignment w:val="auto"/>
                    <w:rPr>
                      <w:rFonts w:hint="default" w:ascii="Times New Roman" w:hAnsi="Times New Roman" w:eastAsia="宋体" w:cs="Times New Roman"/>
                      <w:color w:val="000000"/>
                      <w:sz w:val="21"/>
                      <w:szCs w:val="21"/>
                      <w:lang w:val="en-US"/>
                    </w:rPr>
                  </w:pPr>
                  <w:r>
                    <w:rPr>
                      <w:rFonts w:hint="default" w:ascii="Times New Roman" w:hAnsi="Times New Roman" w:cs="Times New Roman"/>
                      <w:kern w:val="0"/>
                      <w:sz w:val="21"/>
                      <w:szCs w:val="21"/>
                    </w:rPr>
                    <w:t>PEF250×1000</w:t>
                  </w:r>
                </w:p>
              </w:tc>
            </w:tr>
            <w:tr w14:paraId="401C82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pct"/>
                  <w:vAlign w:val="center"/>
                </w:tcPr>
                <w:p w14:paraId="1C0958FA">
                  <w:pPr>
                    <w:pStyle w:val="7"/>
                    <w:pageBreakBefore w:val="0"/>
                    <w:kinsoku/>
                    <w:wordWrap/>
                    <w:overflowPunct w:val="0"/>
                    <w:topLinePunct w:val="0"/>
                    <w:bidi w:val="0"/>
                    <w:adjustRightInd/>
                    <w:snapToGrid/>
                    <w:spacing w:line="240" w:lineRule="auto"/>
                    <w:ind w:right="0" w:firstLine="0" w:firstLineChars="0"/>
                    <w:jc w:val="center"/>
                    <w:textAlignment w:val="auto"/>
                    <w:rPr>
                      <w:rFonts w:hint="default" w:ascii="Times New Roman" w:hAnsi="Times New Roman" w:cs="Times New Roman"/>
                      <w:bCs w:val="0"/>
                      <w:sz w:val="21"/>
                      <w:szCs w:val="21"/>
                      <w:lang w:val="en-US" w:eastAsia="zh-CN"/>
                    </w:rPr>
                  </w:pPr>
                  <w:r>
                    <w:rPr>
                      <w:rFonts w:hint="default" w:ascii="Times New Roman" w:hAnsi="Times New Roman" w:cs="Times New Roman"/>
                      <w:bCs w:val="0"/>
                      <w:sz w:val="21"/>
                      <w:szCs w:val="21"/>
                      <w:lang w:val="en-US" w:eastAsia="zh-CN"/>
                    </w:rPr>
                    <w:t>20</w:t>
                  </w:r>
                </w:p>
              </w:tc>
              <w:tc>
                <w:tcPr>
                  <w:tcW w:w="1294" w:type="pct"/>
                  <w:vAlign w:val="center"/>
                </w:tcPr>
                <w:p w14:paraId="659565B6">
                  <w:pPr>
                    <w:pageBreakBefore w:val="0"/>
                    <w:widowControl/>
                    <w:kinsoku/>
                    <w:wordWrap/>
                    <w:topLinePunct w:val="0"/>
                    <w:bidi w:val="0"/>
                    <w:adjustRightInd/>
                    <w:snapToGrid/>
                    <w:ind w:right="0"/>
                    <w:jc w:val="center"/>
                    <w:textAlignment w:val="auto"/>
                    <w:rPr>
                      <w:rFonts w:hint="default" w:ascii="Times New Roman" w:hAnsi="Times New Roman" w:cs="Times New Roman"/>
                      <w:sz w:val="21"/>
                      <w:szCs w:val="21"/>
                    </w:rPr>
                  </w:pPr>
                  <w:r>
                    <w:rPr>
                      <w:rFonts w:hint="default" w:ascii="Times New Roman" w:hAnsi="Times New Roman" w:cs="Times New Roman"/>
                      <w:kern w:val="0"/>
                      <w:sz w:val="21"/>
                      <w:szCs w:val="21"/>
                    </w:rPr>
                    <w:t>打浆泵</w:t>
                  </w:r>
                </w:p>
              </w:tc>
              <w:tc>
                <w:tcPr>
                  <w:tcW w:w="695" w:type="pct"/>
                  <w:vAlign w:val="center"/>
                </w:tcPr>
                <w:p w14:paraId="11B63289">
                  <w:pPr>
                    <w:pageBreakBefore w:val="0"/>
                    <w:kinsoku/>
                    <w:wordWrap/>
                    <w:topLinePunct w:val="0"/>
                    <w:autoSpaceDE w:val="0"/>
                    <w:autoSpaceDN w:val="0"/>
                    <w:bidi w:val="0"/>
                    <w:adjustRightInd/>
                    <w:snapToGrid/>
                    <w:ind w:right="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rPr>
                    <w:t>台</w:t>
                  </w:r>
                </w:p>
              </w:tc>
              <w:tc>
                <w:tcPr>
                  <w:tcW w:w="436" w:type="pct"/>
                  <w:vAlign w:val="center"/>
                </w:tcPr>
                <w:p w14:paraId="3CCBCD8E">
                  <w:pPr>
                    <w:pageBreakBefore w:val="0"/>
                    <w:widowControl/>
                    <w:kinsoku/>
                    <w:wordWrap/>
                    <w:topLinePunct w:val="0"/>
                    <w:bidi w:val="0"/>
                    <w:adjustRightInd/>
                    <w:snapToGrid/>
                    <w:ind w:right="0"/>
                    <w:jc w:val="center"/>
                    <w:textAlignment w:val="auto"/>
                    <w:rPr>
                      <w:rFonts w:hint="default" w:ascii="Times New Roman" w:hAnsi="Times New Roman" w:cs="Times New Roman"/>
                      <w:color w:val="000000"/>
                      <w:sz w:val="21"/>
                      <w:szCs w:val="21"/>
                      <w:lang w:val="en-US"/>
                    </w:rPr>
                  </w:pPr>
                  <w:r>
                    <w:rPr>
                      <w:rFonts w:hint="default" w:ascii="Times New Roman" w:hAnsi="Times New Roman" w:cs="Times New Roman"/>
                      <w:kern w:val="0"/>
                      <w:sz w:val="21"/>
                      <w:szCs w:val="21"/>
                    </w:rPr>
                    <w:t>2</w:t>
                  </w:r>
                </w:p>
              </w:tc>
              <w:tc>
                <w:tcPr>
                  <w:tcW w:w="1848" w:type="pct"/>
                  <w:vAlign w:val="center"/>
                </w:tcPr>
                <w:p w14:paraId="7B77B299">
                  <w:pPr>
                    <w:pageBreakBefore w:val="0"/>
                    <w:widowControl/>
                    <w:kinsoku/>
                    <w:wordWrap/>
                    <w:topLinePunct w:val="0"/>
                    <w:bidi w:val="0"/>
                    <w:adjustRightInd/>
                    <w:snapToGrid/>
                    <w:ind w:right="0"/>
                    <w:jc w:val="center"/>
                    <w:textAlignment w:val="auto"/>
                    <w:rPr>
                      <w:rFonts w:hint="default" w:ascii="Times New Roman" w:hAnsi="Times New Roman" w:eastAsia="宋体" w:cs="Times New Roman"/>
                      <w:color w:val="000000"/>
                      <w:sz w:val="21"/>
                      <w:szCs w:val="21"/>
                      <w:lang w:val="en-US"/>
                    </w:rPr>
                  </w:pPr>
                  <w:r>
                    <w:rPr>
                      <w:rFonts w:hint="default" w:ascii="Times New Roman" w:hAnsi="Times New Roman" w:cs="Times New Roman"/>
                      <w:kern w:val="0"/>
                      <w:sz w:val="21"/>
                      <w:szCs w:val="21"/>
                    </w:rPr>
                    <w:t>10KW</w:t>
                  </w:r>
                </w:p>
              </w:tc>
            </w:tr>
            <w:tr w14:paraId="04ADFB9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pct"/>
                  <w:vAlign w:val="center"/>
                </w:tcPr>
                <w:p w14:paraId="45F6E651">
                  <w:pPr>
                    <w:pStyle w:val="7"/>
                    <w:pageBreakBefore w:val="0"/>
                    <w:kinsoku/>
                    <w:wordWrap/>
                    <w:overflowPunct w:val="0"/>
                    <w:topLinePunct w:val="0"/>
                    <w:bidi w:val="0"/>
                    <w:adjustRightInd/>
                    <w:snapToGrid/>
                    <w:spacing w:line="240" w:lineRule="auto"/>
                    <w:ind w:right="0" w:firstLine="0" w:firstLineChars="0"/>
                    <w:jc w:val="center"/>
                    <w:textAlignment w:val="auto"/>
                    <w:rPr>
                      <w:rFonts w:hint="default" w:ascii="Times New Roman" w:hAnsi="Times New Roman" w:cs="Times New Roman"/>
                      <w:bCs w:val="0"/>
                      <w:sz w:val="21"/>
                      <w:szCs w:val="21"/>
                      <w:lang w:val="en-US" w:eastAsia="zh-CN"/>
                    </w:rPr>
                  </w:pPr>
                  <w:r>
                    <w:rPr>
                      <w:rFonts w:hint="default" w:ascii="Times New Roman" w:hAnsi="Times New Roman" w:cs="Times New Roman"/>
                      <w:bCs w:val="0"/>
                      <w:sz w:val="21"/>
                      <w:szCs w:val="21"/>
                      <w:lang w:val="en-US" w:eastAsia="zh-CN"/>
                    </w:rPr>
                    <w:t>21</w:t>
                  </w:r>
                </w:p>
              </w:tc>
              <w:tc>
                <w:tcPr>
                  <w:tcW w:w="1294" w:type="pct"/>
                  <w:vAlign w:val="center"/>
                </w:tcPr>
                <w:p w14:paraId="3162BA32">
                  <w:pPr>
                    <w:pageBreakBefore w:val="0"/>
                    <w:widowControl/>
                    <w:kinsoku/>
                    <w:wordWrap/>
                    <w:topLinePunct w:val="0"/>
                    <w:bidi w:val="0"/>
                    <w:adjustRightInd/>
                    <w:snapToGrid/>
                    <w:ind w:right="0"/>
                    <w:jc w:val="center"/>
                    <w:textAlignment w:val="auto"/>
                    <w:rPr>
                      <w:rFonts w:hint="default" w:ascii="Times New Roman" w:hAnsi="Times New Roman" w:cs="Times New Roman"/>
                      <w:sz w:val="21"/>
                      <w:szCs w:val="21"/>
                    </w:rPr>
                  </w:pPr>
                  <w:r>
                    <w:rPr>
                      <w:rFonts w:hint="default" w:ascii="Times New Roman" w:hAnsi="Times New Roman" w:cs="Times New Roman"/>
                      <w:kern w:val="0"/>
                      <w:sz w:val="21"/>
                      <w:szCs w:val="21"/>
                    </w:rPr>
                    <w:t>侧板</w:t>
                  </w:r>
                </w:p>
              </w:tc>
              <w:tc>
                <w:tcPr>
                  <w:tcW w:w="695" w:type="pct"/>
                  <w:vAlign w:val="center"/>
                </w:tcPr>
                <w:p w14:paraId="56BD366E">
                  <w:pPr>
                    <w:pageBreakBefore w:val="0"/>
                    <w:kinsoku/>
                    <w:wordWrap/>
                    <w:topLinePunct w:val="0"/>
                    <w:autoSpaceDE w:val="0"/>
                    <w:autoSpaceDN w:val="0"/>
                    <w:bidi w:val="0"/>
                    <w:adjustRightInd/>
                    <w:snapToGrid/>
                    <w:ind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台</w:t>
                  </w:r>
                </w:p>
              </w:tc>
              <w:tc>
                <w:tcPr>
                  <w:tcW w:w="436" w:type="pct"/>
                  <w:vAlign w:val="center"/>
                </w:tcPr>
                <w:p w14:paraId="23C13322">
                  <w:pPr>
                    <w:pageBreakBefore w:val="0"/>
                    <w:widowControl/>
                    <w:kinsoku/>
                    <w:wordWrap/>
                    <w:topLinePunct w:val="0"/>
                    <w:bidi w:val="0"/>
                    <w:adjustRightInd/>
                    <w:snapToGrid/>
                    <w:ind w:right="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kern w:val="0"/>
                      <w:sz w:val="21"/>
                      <w:szCs w:val="21"/>
                    </w:rPr>
                    <w:t>260</w:t>
                  </w:r>
                </w:p>
              </w:tc>
              <w:tc>
                <w:tcPr>
                  <w:tcW w:w="1848" w:type="pct"/>
                  <w:vAlign w:val="center"/>
                </w:tcPr>
                <w:p w14:paraId="2C248BF9">
                  <w:pPr>
                    <w:pageBreakBefore w:val="0"/>
                    <w:widowControl/>
                    <w:kinsoku/>
                    <w:wordWrap/>
                    <w:topLinePunct w:val="0"/>
                    <w:bidi w:val="0"/>
                    <w:adjustRightInd/>
                    <w:snapToGrid/>
                    <w:ind w:right="0"/>
                    <w:jc w:val="center"/>
                    <w:textAlignment w:val="auto"/>
                    <w:rPr>
                      <w:rFonts w:hint="default" w:ascii="Times New Roman" w:hAnsi="Times New Roman" w:eastAsia="宋体" w:cs="Times New Roman"/>
                      <w:color w:val="000000"/>
                      <w:sz w:val="21"/>
                      <w:szCs w:val="21"/>
                      <w:lang w:val="en-US"/>
                    </w:rPr>
                  </w:pPr>
                  <w:r>
                    <w:rPr>
                      <w:rFonts w:hint="default" w:ascii="Times New Roman" w:hAnsi="Times New Roman" w:cs="Times New Roman"/>
                      <w:kern w:val="0"/>
                      <w:sz w:val="21"/>
                      <w:szCs w:val="21"/>
                    </w:rPr>
                    <w:t>6m</w:t>
                  </w:r>
                </w:p>
              </w:tc>
            </w:tr>
            <w:tr w14:paraId="12A2330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pct"/>
                  <w:vAlign w:val="center"/>
                </w:tcPr>
                <w:p w14:paraId="6295E59A">
                  <w:pPr>
                    <w:pStyle w:val="7"/>
                    <w:pageBreakBefore w:val="0"/>
                    <w:kinsoku/>
                    <w:wordWrap/>
                    <w:overflowPunct w:val="0"/>
                    <w:topLinePunct w:val="0"/>
                    <w:bidi w:val="0"/>
                    <w:adjustRightInd/>
                    <w:snapToGrid/>
                    <w:spacing w:line="240" w:lineRule="auto"/>
                    <w:ind w:right="0" w:firstLine="0" w:firstLineChars="0"/>
                    <w:jc w:val="center"/>
                    <w:textAlignment w:val="auto"/>
                    <w:rPr>
                      <w:rFonts w:hint="default" w:ascii="Times New Roman" w:hAnsi="Times New Roman" w:cs="Times New Roman"/>
                      <w:bCs w:val="0"/>
                      <w:sz w:val="21"/>
                      <w:szCs w:val="21"/>
                      <w:lang w:val="en-US" w:eastAsia="zh-CN"/>
                    </w:rPr>
                  </w:pPr>
                  <w:r>
                    <w:rPr>
                      <w:rFonts w:hint="default" w:ascii="Times New Roman" w:hAnsi="Times New Roman" w:cs="Times New Roman"/>
                      <w:bCs w:val="0"/>
                      <w:sz w:val="21"/>
                      <w:szCs w:val="21"/>
                      <w:lang w:val="en-US" w:eastAsia="zh-CN"/>
                    </w:rPr>
                    <w:t>22</w:t>
                  </w:r>
                </w:p>
              </w:tc>
              <w:tc>
                <w:tcPr>
                  <w:tcW w:w="1294" w:type="pct"/>
                  <w:vAlign w:val="center"/>
                </w:tcPr>
                <w:p w14:paraId="0A03A6F0">
                  <w:pPr>
                    <w:pageBreakBefore w:val="0"/>
                    <w:widowControl/>
                    <w:kinsoku/>
                    <w:wordWrap/>
                    <w:topLinePunct w:val="0"/>
                    <w:bidi w:val="0"/>
                    <w:adjustRightInd/>
                    <w:snapToGrid/>
                    <w:ind w:right="0"/>
                    <w:jc w:val="center"/>
                    <w:textAlignment w:val="auto"/>
                    <w:rPr>
                      <w:rFonts w:hint="default" w:ascii="Times New Roman" w:hAnsi="Times New Roman" w:cs="Times New Roman"/>
                      <w:sz w:val="21"/>
                      <w:szCs w:val="21"/>
                    </w:rPr>
                  </w:pPr>
                  <w:r>
                    <w:rPr>
                      <w:rFonts w:hint="default" w:ascii="Times New Roman" w:hAnsi="Times New Roman" w:cs="Times New Roman"/>
                      <w:kern w:val="0"/>
                      <w:sz w:val="21"/>
                      <w:szCs w:val="21"/>
                    </w:rPr>
                    <w:t>蒸养小车</w:t>
                  </w:r>
                </w:p>
              </w:tc>
              <w:tc>
                <w:tcPr>
                  <w:tcW w:w="695" w:type="pct"/>
                  <w:vAlign w:val="center"/>
                </w:tcPr>
                <w:p w14:paraId="3B3B948F">
                  <w:pPr>
                    <w:pageBreakBefore w:val="0"/>
                    <w:kinsoku/>
                    <w:wordWrap/>
                    <w:topLinePunct w:val="0"/>
                    <w:autoSpaceDE w:val="0"/>
                    <w:autoSpaceDN w:val="0"/>
                    <w:bidi w:val="0"/>
                    <w:adjustRightInd/>
                    <w:snapToGrid/>
                    <w:ind w:right="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辆</w:t>
                  </w:r>
                </w:p>
              </w:tc>
              <w:tc>
                <w:tcPr>
                  <w:tcW w:w="436" w:type="pct"/>
                  <w:vAlign w:val="center"/>
                </w:tcPr>
                <w:p w14:paraId="290C2FF1">
                  <w:pPr>
                    <w:pageBreakBefore w:val="0"/>
                    <w:widowControl/>
                    <w:kinsoku/>
                    <w:wordWrap/>
                    <w:topLinePunct w:val="0"/>
                    <w:bidi w:val="0"/>
                    <w:adjustRightInd/>
                    <w:snapToGrid/>
                    <w:ind w:right="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kern w:val="0"/>
                      <w:sz w:val="21"/>
                      <w:szCs w:val="21"/>
                    </w:rPr>
                    <w:t>100</w:t>
                  </w:r>
                </w:p>
              </w:tc>
              <w:tc>
                <w:tcPr>
                  <w:tcW w:w="1848" w:type="pct"/>
                  <w:vAlign w:val="center"/>
                </w:tcPr>
                <w:p w14:paraId="2E330150">
                  <w:pPr>
                    <w:pageBreakBefore w:val="0"/>
                    <w:widowControl/>
                    <w:kinsoku/>
                    <w:wordWrap/>
                    <w:topLinePunct w:val="0"/>
                    <w:bidi w:val="0"/>
                    <w:adjustRightInd/>
                    <w:snapToGrid/>
                    <w:ind w:right="0"/>
                    <w:jc w:val="center"/>
                    <w:textAlignment w:val="auto"/>
                    <w:rPr>
                      <w:rFonts w:hint="default" w:ascii="Times New Roman" w:hAnsi="Times New Roman" w:eastAsia="宋体" w:cs="Times New Roman"/>
                      <w:color w:val="000000"/>
                      <w:sz w:val="21"/>
                      <w:szCs w:val="21"/>
                      <w:lang w:val="en-US"/>
                    </w:rPr>
                  </w:pPr>
                  <w:r>
                    <w:rPr>
                      <w:rFonts w:hint="default" w:ascii="Times New Roman" w:hAnsi="Times New Roman" w:cs="Times New Roman"/>
                      <w:kern w:val="0"/>
                      <w:sz w:val="21"/>
                      <w:szCs w:val="21"/>
                    </w:rPr>
                    <w:t>6m</w:t>
                  </w:r>
                </w:p>
              </w:tc>
            </w:tr>
            <w:tr w14:paraId="042FB0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pct"/>
                  <w:vAlign w:val="center"/>
                </w:tcPr>
                <w:p w14:paraId="6BEB05C7">
                  <w:pPr>
                    <w:pStyle w:val="7"/>
                    <w:pageBreakBefore w:val="0"/>
                    <w:kinsoku/>
                    <w:wordWrap/>
                    <w:overflowPunct w:val="0"/>
                    <w:topLinePunct w:val="0"/>
                    <w:bidi w:val="0"/>
                    <w:adjustRightInd/>
                    <w:snapToGrid/>
                    <w:spacing w:line="240" w:lineRule="auto"/>
                    <w:ind w:right="0" w:firstLine="0" w:firstLineChars="0"/>
                    <w:jc w:val="center"/>
                    <w:textAlignment w:val="auto"/>
                    <w:rPr>
                      <w:rFonts w:hint="default" w:ascii="Times New Roman" w:hAnsi="Times New Roman" w:cs="Times New Roman"/>
                      <w:bCs w:val="0"/>
                      <w:sz w:val="21"/>
                      <w:szCs w:val="21"/>
                      <w:lang w:val="en-US" w:eastAsia="zh-CN"/>
                    </w:rPr>
                  </w:pPr>
                  <w:r>
                    <w:rPr>
                      <w:rFonts w:hint="default" w:ascii="Times New Roman" w:hAnsi="Times New Roman" w:cs="Times New Roman"/>
                      <w:bCs w:val="0"/>
                      <w:sz w:val="21"/>
                      <w:szCs w:val="21"/>
                      <w:lang w:val="en-US" w:eastAsia="zh-CN"/>
                    </w:rPr>
                    <w:t>23</w:t>
                  </w:r>
                </w:p>
              </w:tc>
              <w:tc>
                <w:tcPr>
                  <w:tcW w:w="1294" w:type="pct"/>
                  <w:vAlign w:val="center"/>
                </w:tcPr>
                <w:p w14:paraId="694BBC73">
                  <w:pPr>
                    <w:pageBreakBefore w:val="0"/>
                    <w:widowControl/>
                    <w:kinsoku/>
                    <w:wordWrap/>
                    <w:topLinePunct w:val="0"/>
                    <w:bidi w:val="0"/>
                    <w:adjustRightInd/>
                    <w:snapToGrid/>
                    <w:ind w:right="0"/>
                    <w:jc w:val="center"/>
                    <w:textAlignment w:val="auto"/>
                    <w:rPr>
                      <w:rFonts w:hint="default" w:ascii="Times New Roman" w:hAnsi="Times New Roman" w:cs="Times New Roman"/>
                      <w:sz w:val="21"/>
                      <w:szCs w:val="21"/>
                    </w:rPr>
                  </w:pPr>
                  <w:r>
                    <w:rPr>
                      <w:rFonts w:hint="default" w:ascii="Times New Roman" w:hAnsi="Times New Roman" w:cs="Times New Roman"/>
                      <w:kern w:val="0"/>
                      <w:sz w:val="21"/>
                      <w:szCs w:val="21"/>
                    </w:rPr>
                    <w:t>小车输送系统</w:t>
                  </w:r>
                </w:p>
              </w:tc>
              <w:tc>
                <w:tcPr>
                  <w:tcW w:w="695" w:type="pct"/>
                  <w:vAlign w:val="center"/>
                </w:tcPr>
                <w:p w14:paraId="17ACF6BA">
                  <w:pPr>
                    <w:pageBreakBefore w:val="0"/>
                    <w:kinsoku/>
                    <w:wordWrap/>
                    <w:topLinePunct w:val="0"/>
                    <w:autoSpaceDE w:val="0"/>
                    <w:autoSpaceDN w:val="0"/>
                    <w:bidi w:val="0"/>
                    <w:adjustRightInd/>
                    <w:snapToGrid/>
                    <w:ind w:right="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只</w:t>
                  </w:r>
                </w:p>
              </w:tc>
              <w:tc>
                <w:tcPr>
                  <w:tcW w:w="436" w:type="pct"/>
                  <w:vAlign w:val="center"/>
                </w:tcPr>
                <w:p w14:paraId="463F3ABC">
                  <w:pPr>
                    <w:pageBreakBefore w:val="0"/>
                    <w:widowControl/>
                    <w:kinsoku/>
                    <w:wordWrap/>
                    <w:topLinePunct w:val="0"/>
                    <w:bidi w:val="0"/>
                    <w:adjustRightInd/>
                    <w:snapToGrid/>
                    <w:ind w:right="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kern w:val="0"/>
                      <w:sz w:val="21"/>
                      <w:szCs w:val="21"/>
                    </w:rPr>
                    <w:t>14</w:t>
                  </w:r>
                </w:p>
              </w:tc>
              <w:tc>
                <w:tcPr>
                  <w:tcW w:w="1848" w:type="pct"/>
                  <w:vAlign w:val="center"/>
                </w:tcPr>
                <w:p w14:paraId="4686C8CE">
                  <w:pPr>
                    <w:pageBreakBefore w:val="0"/>
                    <w:widowControl/>
                    <w:kinsoku/>
                    <w:wordWrap/>
                    <w:topLinePunct w:val="0"/>
                    <w:bidi w:val="0"/>
                    <w:adjustRightInd/>
                    <w:snapToGrid/>
                    <w:ind w:right="0"/>
                    <w:jc w:val="center"/>
                    <w:textAlignment w:val="auto"/>
                    <w:rPr>
                      <w:rFonts w:hint="default" w:ascii="Times New Roman" w:hAnsi="Times New Roman" w:eastAsia="宋体" w:cs="Times New Roman"/>
                      <w:color w:val="000000"/>
                      <w:sz w:val="21"/>
                      <w:szCs w:val="21"/>
                      <w:lang w:val="en-US"/>
                    </w:rPr>
                  </w:pPr>
                  <w:r>
                    <w:rPr>
                      <w:rFonts w:hint="default" w:ascii="Times New Roman" w:hAnsi="Times New Roman" w:cs="Times New Roman"/>
                      <w:kern w:val="0"/>
                      <w:sz w:val="21"/>
                      <w:szCs w:val="21"/>
                    </w:rPr>
                    <w:t>1m×20m</w:t>
                  </w:r>
                </w:p>
              </w:tc>
            </w:tr>
            <w:tr w14:paraId="514D8D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pct"/>
                  <w:vAlign w:val="center"/>
                </w:tcPr>
                <w:p w14:paraId="49254E99">
                  <w:pPr>
                    <w:pStyle w:val="7"/>
                    <w:pageBreakBefore w:val="0"/>
                    <w:kinsoku/>
                    <w:wordWrap/>
                    <w:overflowPunct w:val="0"/>
                    <w:topLinePunct w:val="0"/>
                    <w:bidi w:val="0"/>
                    <w:adjustRightInd/>
                    <w:snapToGrid/>
                    <w:spacing w:line="240" w:lineRule="auto"/>
                    <w:ind w:right="0" w:firstLine="0" w:firstLineChars="0"/>
                    <w:jc w:val="center"/>
                    <w:textAlignment w:val="auto"/>
                    <w:rPr>
                      <w:rFonts w:hint="default" w:ascii="Times New Roman" w:hAnsi="Times New Roman" w:cs="Times New Roman"/>
                      <w:bCs w:val="0"/>
                      <w:sz w:val="21"/>
                      <w:szCs w:val="21"/>
                      <w:lang w:val="en-US" w:eastAsia="zh-CN"/>
                    </w:rPr>
                  </w:pPr>
                  <w:r>
                    <w:rPr>
                      <w:rFonts w:hint="default" w:ascii="Times New Roman" w:hAnsi="Times New Roman" w:cs="Times New Roman"/>
                      <w:bCs w:val="0"/>
                      <w:sz w:val="21"/>
                      <w:szCs w:val="21"/>
                      <w:lang w:val="en-US" w:eastAsia="zh-CN"/>
                    </w:rPr>
                    <w:t>24</w:t>
                  </w:r>
                </w:p>
              </w:tc>
              <w:tc>
                <w:tcPr>
                  <w:tcW w:w="1294" w:type="pct"/>
                  <w:vAlign w:val="center"/>
                </w:tcPr>
                <w:p w14:paraId="46863727">
                  <w:pPr>
                    <w:pageBreakBefore w:val="0"/>
                    <w:widowControl/>
                    <w:kinsoku/>
                    <w:wordWrap/>
                    <w:topLinePunct w:val="0"/>
                    <w:bidi w:val="0"/>
                    <w:adjustRightInd/>
                    <w:snapToGrid/>
                    <w:ind w:right="0"/>
                    <w:jc w:val="center"/>
                    <w:textAlignment w:val="auto"/>
                    <w:rPr>
                      <w:rFonts w:hint="default" w:ascii="Times New Roman" w:hAnsi="Times New Roman" w:cs="Times New Roman"/>
                      <w:sz w:val="21"/>
                      <w:szCs w:val="21"/>
                    </w:rPr>
                  </w:pPr>
                  <w:r>
                    <w:rPr>
                      <w:rFonts w:hint="default" w:ascii="Times New Roman" w:hAnsi="Times New Roman" w:cs="Times New Roman"/>
                      <w:kern w:val="0"/>
                      <w:sz w:val="21"/>
                      <w:szCs w:val="21"/>
                    </w:rPr>
                    <w:t>分步式切割机组</w:t>
                  </w:r>
                </w:p>
              </w:tc>
              <w:tc>
                <w:tcPr>
                  <w:tcW w:w="695" w:type="pct"/>
                  <w:vAlign w:val="center"/>
                </w:tcPr>
                <w:p w14:paraId="31A6EB4D">
                  <w:pPr>
                    <w:pageBreakBefore w:val="0"/>
                    <w:kinsoku/>
                    <w:wordWrap/>
                    <w:topLinePunct w:val="0"/>
                    <w:autoSpaceDE w:val="0"/>
                    <w:autoSpaceDN w:val="0"/>
                    <w:bidi w:val="0"/>
                    <w:adjustRightInd/>
                    <w:snapToGrid/>
                    <w:ind w:right="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只</w:t>
                  </w:r>
                </w:p>
              </w:tc>
              <w:tc>
                <w:tcPr>
                  <w:tcW w:w="436" w:type="pct"/>
                  <w:vAlign w:val="center"/>
                </w:tcPr>
                <w:p w14:paraId="43B7E252">
                  <w:pPr>
                    <w:pageBreakBefore w:val="0"/>
                    <w:widowControl/>
                    <w:kinsoku/>
                    <w:wordWrap/>
                    <w:topLinePunct w:val="0"/>
                    <w:bidi w:val="0"/>
                    <w:adjustRightInd/>
                    <w:snapToGrid/>
                    <w:ind w:right="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kern w:val="0"/>
                      <w:sz w:val="21"/>
                      <w:szCs w:val="21"/>
                    </w:rPr>
                    <w:t>1</w:t>
                  </w:r>
                </w:p>
              </w:tc>
              <w:tc>
                <w:tcPr>
                  <w:tcW w:w="1848" w:type="pct"/>
                  <w:vAlign w:val="center"/>
                </w:tcPr>
                <w:p w14:paraId="00EE921E">
                  <w:pPr>
                    <w:pageBreakBefore w:val="0"/>
                    <w:widowControl/>
                    <w:kinsoku/>
                    <w:wordWrap/>
                    <w:topLinePunct w:val="0"/>
                    <w:bidi w:val="0"/>
                    <w:adjustRightInd/>
                    <w:snapToGrid/>
                    <w:ind w:right="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kern w:val="0"/>
                      <w:sz w:val="21"/>
                      <w:szCs w:val="21"/>
                    </w:rPr>
                    <w:t>2m×4m</w:t>
                  </w:r>
                </w:p>
              </w:tc>
            </w:tr>
            <w:tr w14:paraId="6F5D5B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pct"/>
                  <w:vAlign w:val="center"/>
                </w:tcPr>
                <w:p w14:paraId="10A98135">
                  <w:pPr>
                    <w:pStyle w:val="7"/>
                    <w:pageBreakBefore w:val="0"/>
                    <w:kinsoku/>
                    <w:wordWrap/>
                    <w:overflowPunct w:val="0"/>
                    <w:topLinePunct w:val="0"/>
                    <w:bidi w:val="0"/>
                    <w:adjustRightInd/>
                    <w:snapToGrid/>
                    <w:spacing w:line="240" w:lineRule="auto"/>
                    <w:ind w:right="0" w:firstLine="0" w:firstLineChars="0"/>
                    <w:jc w:val="center"/>
                    <w:textAlignment w:val="auto"/>
                    <w:rPr>
                      <w:rFonts w:hint="default" w:ascii="Times New Roman" w:hAnsi="Times New Roman" w:cs="Times New Roman"/>
                      <w:bCs w:val="0"/>
                      <w:sz w:val="21"/>
                      <w:szCs w:val="21"/>
                      <w:lang w:val="en-US" w:eastAsia="zh-CN"/>
                    </w:rPr>
                  </w:pPr>
                  <w:r>
                    <w:rPr>
                      <w:rFonts w:hint="default" w:ascii="Times New Roman" w:hAnsi="Times New Roman" w:cs="Times New Roman"/>
                      <w:bCs w:val="0"/>
                      <w:sz w:val="21"/>
                      <w:szCs w:val="21"/>
                      <w:lang w:val="en-US" w:eastAsia="zh-CN"/>
                    </w:rPr>
                    <w:t>25</w:t>
                  </w:r>
                </w:p>
              </w:tc>
              <w:tc>
                <w:tcPr>
                  <w:tcW w:w="1294" w:type="pct"/>
                  <w:vAlign w:val="center"/>
                </w:tcPr>
                <w:p w14:paraId="04A45FFB">
                  <w:pPr>
                    <w:pageBreakBefore w:val="0"/>
                    <w:widowControl/>
                    <w:kinsoku/>
                    <w:wordWrap/>
                    <w:topLinePunct w:val="0"/>
                    <w:bidi w:val="0"/>
                    <w:adjustRightInd/>
                    <w:snapToGrid/>
                    <w:ind w:right="0"/>
                    <w:jc w:val="center"/>
                    <w:textAlignment w:val="auto"/>
                    <w:rPr>
                      <w:rFonts w:hint="default" w:ascii="Times New Roman" w:hAnsi="Times New Roman" w:cs="Times New Roman"/>
                      <w:sz w:val="21"/>
                      <w:szCs w:val="21"/>
                    </w:rPr>
                  </w:pPr>
                  <w:r>
                    <w:rPr>
                      <w:rFonts w:hint="default" w:ascii="Times New Roman" w:hAnsi="Times New Roman" w:cs="Times New Roman"/>
                      <w:kern w:val="0"/>
                      <w:sz w:val="21"/>
                      <w:szCs w:val="21"/>
                    </w:rPr>
                    <w:t>砌块分离机</w:t>
                  </w:r>
                </w:p>
              </w:tc>
              <w:tc>
                <w:tcPr>
                  <w:tcW w:w="695" w:type="pct"/>
                  <w:vAlign w:val="center"/>
                </w:tcPr>
                <w:p w14:paraId="3653C67E">
                  <w:pPr>
                    <w:pageBreakBefore w:val="0"/>
                    <w:kinsoku/>
                    <w:wordWrap/>
                    <w:topLinePunct w:val="0"/>
                    <w:autoSpaceDE w:val="0"/>
                    <w:autoSpaceDN w:val="0"/>
                    <w:bidi w:val="0"/>
                    <w:adjustRightInd/>
                    <w:snapToGrid/>
                    <w:ind w:right="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rPr>
                    <w:t>台</w:t>
                  </w:r>
                </w:p>
              </w:tc>
              <w:tc>
                <w:tcPr>
                  <w:tcW w:w="436" w:type="pct"/>
                  <w:vAlign w:val="center"/>
                </w:tcPr>
                <w:p w14:paraId="5A7408E5">
                  <w:pPr>
                    <w:pageBreakBefore w:val="0"/>
                    <w:widowControl/>
                    <w:kinsoku/>
                    <w:wordWrap/>
                    <w:topLinePunct w:val="0"/>
                    <w:bidi w:val="0"/>
                    <w:adjustRightInd/>
                    <w:snapToGrid/>
                    <w:ind w:right="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kern w:val="0"/>
                      <w:sz w:val="21"/>
                      <w:szCs w:val="21"/>
                    </w:rPr>
                    <w:t>1</w:t>
                  </w:r>
                </w:p>
              </w:tc>
              <w:tc>
                <w:tcPr>
                  <w:tcW w:w="1848" w:type="pct"/>
                  <w:vAlign w:val="center"/>
                </w:tcPr>
                <w:p w14:paraId="1ECA1B3C">
                  <w:pPr>
                    <w:pageBreakBefore w:val="0"/>
                    <w:widowControl/>
                    <w:kinsoku/>
                    <w:wordWrap/>
                    <w:topLinePunct w:val="0"/>
                    <w:bidi w:val="0"/>
                    <w:adjustRightInd/>
                    <w:snapToGrid/>
                    <w:ind w:right="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kern w:val="0"/>
                      <w:sz w:val="21"/>
                      <w:szCs w:val="21"/>
                    </w:rPr>
                    <w:t>600×400</w:t>
                  </w:r>
                </w:p>
              </w:tc>
            </w:tr>
            <w:tr w14:paraId="229F9B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pct"/>
                  <w:vAlign w:val="center"/>
                </w:tcPr>
                <w:p w14:paraId="244B22E9">
                  <w:pPr>
                    <w:pStyle w:val="7"/>
                    <w:pageBreakBefore w:val="0"/>
                    <w:kinsoku/>
                    <w:wordWrap/>
                    <w:overflowPunct w:val="0"/>
                    <w:topLinePunct w:val="0"/>
                    <w:bidi w:val="0"/>
                    <w:adjustRightInd/>
                    <w:snapToGrid/>
                    <w:spacing w:line="240" w:lineRule="auto"/>
                    <w:ind w:right="0" w:firstLine="0" w:firstLineChars="0"/>
                    <w:jc w:val="center"/>
                    <w:textAlignment w:val="auto"/>
                    <w:rPr>
                      <w:rFonts w:hint="default" w:ascii="Times New Roman" w:hAnsi="Times New Roman" w:cs="Times New Roman"/>
                      <w:bCs w:val="0"/>
                      <w:sz w:val="21"/>
                      <w:szCs w:val="21"/>
                      <w:lang w:val="en-US" w:eastAsia="zh-CN"/>
                    </w:rPr>
                  </w:pPr>
                  <w:r>
                    <w:rPr>
                      <w:rFonts w:hint="default" w:ascii="Times New Roman" w:hAnsi="Times New Roman" w:cs="Times New Roman"/>
                      <w:bCs w:val="0"/>
                      <w:sz w:val="21"/>
                      <w:szCs w:val="21"/>
                      <w:lang w:val="en-US" w:eastAsia="zh-CN"/>
                    </w:rPr>
                    <w:t>26</w:t>
                  </w:r>
                </w:p>
              </w:tc>
              <w:tc>
                <w:tcPr>
                  <w:tcW w:w="1294" w:type="pct"/>
                  <w:vAlign w:val="center"/>
                </w:tcPr>
                <w:p w14:paraId="3A35E44B">
                  <w:pPr>
                    <w:pageBreakBefore w:val="0"/>
                    <w:widowControl/>
                    <w:kinsoku/>
                    <w:wordWrap/>
                    <w:topLinePunct w:val="0"/>
                    <w:bidi w:val="0"/>
                    <w:adjustRightInd/>
                    <w:snapToGrid/>
                    <w:ind w:right="0"/>
                    <w:jc w:val="center"/>
                    <w:textAlignment w:val="auto"/>
                    <w:rPr>
                      <w:rFonts w:hint="default" w:ascii="Times New Roman" w:hAnsi="Times New Roman" w:cs="Times New Roman"/>
                      <w:sz w:val="21"/>
                      <w:szCs w:val="21"/>
                    </w:rPr>
                  </w:pPr>
                  <w:r>
                    <w:rPr>
                      <w:rFonts w:hint="default" w:ascii="Times New Roman" w:hAnsi="Times New Roman" w:cs="Times New Roman"/>
                      <w:kern w:val="0"/>
                      <w:sz w:val="21"/>
                      <w:szCs w:val="21"/>
                    </w:rPr>
                    <w:t>包装输送链</w:t>
                  </w:r>
                </w:p>
              </w:tc>
              <w:tc>
                <w:tcPr>
                  <w:tcW w:w="695" w:type="pct"/>
                  <w:vAlign w:val="center"/>
                </w:tcPr>
                <w:p w14:paraId="2AB293FD">
                  <w:pPr>
                    <w:pageBreakBefore w:val="0"/>
                    <w:kinsoku/>
                    <w:wordWrap/>
                    <w:topLinePunct w:val="0"/>
                    <w:autoSpaceDE w:val="0"/>
                    <w:autoSpaceDN w:val="0"/>
                    <w:bidi w:val="0"/>
                    <w:adjustRightInd/>
                    <w:snapToGrid/>
                    <w:ind w:right="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rPr>
                    <w:t>台</w:t>
                  </w:r>
                </w:p>
              </w:tc>
              <w:tc>
                <w:tcPr>
                  <w:tcW w:w="436" w:type="pct"/>
                  <w:vAlign w:val="center"/>
                </w:tcPr>
                <w:p w14:paraId="585AE67F">
                  <w:pPr>
                    <w:pageBreakBefore w:val="0"/>
                    <w:widowControl/>
                    <w:kinsoku/>
                    <w:wordWrap/>
                    <w:topLinePunct w:val="0"/>
                    <w:bidi w:val="0"/>
                    <w:adjustRightInd/>
                    <w:snapToGrid/>
                    <w:ind w:right="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kern w:val="0"/>
                      <w:sz w:val="21"/>
                      <w:szCs w:val="21"/>
                    </w:rPr>
                    <w:t>1</w:t>
                  </w:r>
                </w:p>
              </w:tc>
              <w:tc>
                <w:tcPr>
                  <w:tcW w:w="1848" w:type="pct"/>
                  <w:vAlign w:val="center"/>
                </w:tcPr>
                <w:p w14:paraId="7BDC06DD">
                  <w:pPr>
                    <w:pageBreakBefore w:val="0"/>
                    <w:widowControl/>
                    <w:kinsoku/>
                    <w:wordWrap/>
                    <w:topLinePunct w:val="0"/>
                    <w:bidi w:val="0"/>
                    <w:adjustRightInd/>
                    <w:snapToGrid/>
                    <w:ind w:right="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kern w:val="0"/>
                      <w:sz w:val="21"/>
                      <w:szCs w:val="21"/>
                    </w:rPr>
                    <w:t>4m×10m</w:t>
                  </w:r>
                </w:p>
              </w:tc>
            </w:tr>
            <w:tr w14:paraId="740FCD7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pct"/>
                  <w:vAlign w:val="center"/>
                </w:tcPr>
                <w:p w14:paraId="11F540F5">
                  <w:pPr>
                    <w:pStyle w:val="7"/>
                    <w:pageBreakBefore w:val="0"/>
                    <w:kinsoku/>
                    <w:wordWrap/>
                    <w:overflowPunct w:val="0"/>
                    <w:topLinePunct w:val="0"/>
                    <w:bidi w:val="0"/>
                    <w:adjustRightInd/>
                    <w:snapToGrid/>
                    <w:spacing w:line="240" w:lineRule="auto"/>
                    <w:ind w:right="0" w:firstLine="0" w:firstLineChars="0"/>
                    <w:jc w:val="center"/>
                    <w:textAlignment w:val="auto"/>
                    <w:rPr>
                      <w:rFonts w:hint="default" w:ascii="Times New Roman" w:hAnsi="Times New Roman" w:cs="Times New Roman"/>
                      <w:bCs w:val="0"/>
                      <w:sz w:val="21"/>
                      <w:szCs w:val="21"/>
                      <w:lang w:val="en-US" w:eastAsia="zh-CN"/>
                    </w:rPr>
                  </w:pPr>
                  <w:r>
                    <w:rPr>
                      <w:rFonts w:hint="default" w:ascii="Times New Roman" w:hAnsi="Times New Roman" w:cs="Times New Roman"/>
                      <w:bCs w:val="0"/>
                      <w:sz w:val="21"/>
                      <w:szCs w:val="21"/>
                      <w:lang w:val="en-US" w:eastAsia="zh-CN"/>
                    </w:rPr>
                    <w:t>27</w:t>
                  </w:r>
                </w:p>
              </w:tc>
              <w:tc>
                <w:tcPr>
                  <w:tcW w:w="1294" w:type="pct"/>
                  <w:vAlign w:val="center"/>
                </w:tcPr>
                <w:p w14:paraId="7C124EAF">
                  <w:pPr>
                    <w:pageBreakBefore w:val="0"/>
                    <w:widowControl/>
                    <w:kinsoku/>
                    <w:wordWrap/>
                    <w:topLinePunct w:val="0"/>
                    <w:bidi w:val="0"/>
                    <w:adjustRightInd/>
                    <w:snapToGrid/>
                    <w:ind w:right="0"/>
                    <w:jc w:val="center"/>
                    <w:textAlignment w:val="auto"/>
                    <w:rPr>
                      <w:rFonts w:hint="default" w:ascii="Times New Roman" w:hAnsi="Times New Roman" w:cs="Times New Roman"/>
                      <w:sz w:val="21"/>
                      <w:szCs w:val="21"/>
                    </w:rPr>
                  </w:pPr>
                  <w:r>
                    <w:rPr>
                      <w:rFonts w:hint="default" w:ascii="Times New Roman" w:hAnsi="Times New Roman" w:cs="Times New Roman"/>
                      <w:kern w:val="0"/>
                      <w:sz w:val="21"/>
                      <w:szCs w:val="21"/>
                    </w:rPr>
                    <w:t>铝粉搅拌机</w:t>
                  </w:r>
                </w:p>
              </w:tc>
              <w:tc>
                <w:tcPr>
                  <w:tcW w:w="695" w:type="pct"/>
                  <w:vAlign w:val="center"/>
                </w:tcPr>
                <w:p w14:paraId="31790B57">
                  <w:pPr>
                    <w:pageBreakBefore w:val="0"/>
                    <w:kinsoku/>
                    <w:wordWrap/>
                    <w:topLinePunct w:val="0"/>
                    <w:autoSpaceDE w:val="0"/>
                    <w:autoSpaceDN w:val="0"/>
                    <w:bidi w:val="0"/>
                    <w:adjustRightInd/>
                    <w:snapToGrid/>
                    <w:ind w:right="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rPr>
                    <w:t>台</w:t>
                  </w:r>
                </w:p>
              </w:tc>
              <w:tc>
                <w:tcPr>
                  <w:tcW w:w="436" w:type="pct"/>
                  <w:vAlign w:val="center"/>
                </w:tcPr>
                <w:p w14:paraId="5FF8D9E8">
                  <w:pPr>
                    <w:pageBreakBefore w:val="0"/>
                    <w:widowControl/>
                    <w:kinsoku/>
                    <w:wordWrap/>
                    <w:topLinePunct w:val="0"/>
                    <w:bidi w:val="0"/>
                    <w:adjustRightInd/>
                    <w:snapToGrid/>
                    <w:ind w:right="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kern w:val="0"/>
                      <w:sz w:val="21"/>
                      <w:szCs w:val="21"/>
                    </w:rPr>
                    <w:t>2</w:t>
                  </w:r>
                </w:p>
              </w:tc>
              <w:tc>
                <w:tcPr>
                  <w:tcW w:w="1848" w:type="pct"/>
                  <w:vAlign w:val="center"/>
                </w:tcPr>
                <w:p w14:paraId="73F27D3F">
                  <w:pPr>
                    <w:pageBreakBefore w:val="0"/>
                    <w:widowControl/>
                    <w:kinsoku/>
                    <w:wordWrap/>
                    <w:topLinePunct w:val="0"/>
                    <w:bidi w:val="0"/>
                    <w:adjustRightInd/>
                    <w:snapToGrid/>
                    <w:ind w:right="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kern w:val="0"/>
                      <w:sz w:val="21"/>
                      <w:szCs w:val="21"/>
                    </w:rPr>
                    <w:t>V=3立方</w:t>
                  </w:r>
                </w:p>
              </w:tc>
            </w:tr>
            <w:tr w14:paraId="369B4E9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pct"/>
                  <w:vAlign w:val="center"/>
                </w:tcPr>
                <w:p w14:paraId="4D2B8A37">
                  <w:pPr>
                    <w:pStyle w:val="7"/>
                    <w:pageBreakBefore w:val="0"/>
                    <w:kinsoku/>
                    <w:wordWrap/>
                    <w:overflowPunct w:val="0"/>
                    <w:topLinePunct w:val="0"/>
                    <w:bidi w:val="0"/>
                    <w:adjustRightInd/>
                    <w:snapToGrid/>
                    <w:spacing w:line="240" w:lineRule="auto"/>
                    <w:ind w:right="0" w:firstLine="0" w:firstLineChars="0"/>
                    <w:jc w:val="center"/>
                    <w:textAlignment w:val="auto"/>
                    <w:rPr>
                      <w:rFonts w:hint="default" w:ascii="Times New Roman" w:hAnsi="Times New Roman" w:cs="Times New Roman"/>
                      <w:bCs w:val="0"/>
                      <w:sz w:val="21"/>
                      <w:szCs w:val="21"/>
                      <w:lang w:val="en-US" w:eastAsia="zh-CN"/>
                    </w:rPr>
                  </w:pPr>
                  <w:r>
                    <w:rPr>
                      <w:rFonts w:hint="default" w:ascii="Times New Roman" w:hAnsi="Times New Roman" w:cs="Times New Roman"/>
                      <w:bCs w:val="0"/>
                      <w:sz w:val="21"/>
                      <w:szCs w:val="21"/>
                      <w:lang w:val="en-US" w:eastAsia="zh-CN"/>
                    </w:rPr>
                    <w:t>28</w:t>
                  </w:r>
                </w:p>
              </w:tc>
              <w:tc>
                <w:tcPr>
                  <w:tcW w:w="1294" w:type="pct"/>
                  <w:vAlign w:val="center"/>
                </w:tcPr>
                <w:p w14:paraId="47A02753">
                  <w:pPr>
                    <w:pageBreakBefore w:val="0"/>
                    <w:widowControl/>
                    <w:kinsoku/>
                    <w:wordWrap/>
                    <w:topLinePunct w:val="0"/>
                    <w:bidi w:val="0"/>
                    <w:adjustRightInd/>
                    <w:snapToGrid/>
                    <w:ind w:right="0"/>
                    <w:jc w:val="center"/>
                    <w:textAlignment w:val="auto"/>
                    <w:rPr>
                      <w:rFonts w:hint="default" w:ascii="Times New Roman" w:hAnsi="Times New Roman" w:cs="Times New Roman"/>
                      <w:sz w:val="21"/>
                      <w:szCs w:val="21"/>
                    </w:rPr>
                  </w:pPr>
                  <w:r>
                    <w:rPr>
                      <w:rFonts w:hint="default" w:ascii="Times New Roman" w:hAnsi="Times New Roman" w:cs="Times New Roman"/>
                      <w:kern w:val="0"/>
                      <w:sz w:val="21"/>
                      <w:szCs w:val="21"/>
                    </w:rPr>
                    <w:t>环保设备(含布袋脉冲除尘器)</w:t>
                  </w:r>
                </w:p>
              </w:tc>
              <w:tc>
                <w:tcPr>
                  <w:tcW w:w="695" w:type="pct"/>
                  <w:vAlign w:val="center"/>
                </w:tcPr>
                <w:p w14:paraId="05CD7F2B">
                  <w:pPr>
                    <w:pageBreakBefore w:val="0"/>
                    <w:kinsoku/>
                    <w:wordWrap/>
                    <w:topLinePunct w:val="0"/>
                    <w:autoSpaceDE w:val="0"/>
                    <w:autoSpaceDN w:val="0"/>
                    <w:bidi w:val="0"/>
                    <w:adjustRightInd/>
                    <w:snapToGrid/>
                    <w:ind w:right="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套</w:t>
                  </w:r>
                </w:p>
              </w:tc>
              <w:tc>
                <w:tcPr>
                  <w:tcW w:w="436" w:type="pct"/>
                  <w:vAlign w:val="center"/>
                </w:tcPr>
                <w:p w14:paraId="5881D316">
                  <w:pPr>
                    <w:pageBreakBefore w:val="0"/>
                    <w:widowControl/>
                    <w:kinsoku/>
                    <w:wordWrap/>
                    <w:topLinePunct w:val="0"/>
                    <w:bidi w:val="0"/>
                    <w:adjustRightInd/>
                    <w:snapToGrid/>
                    <w:ind w:right="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kern w:val="0"/>
                      <w:sz w:val="21"/>
                      <w:szCs w:val="21"/>
                      <w:lang w:val="en-US" w:eastAsia="zh-CN"/>
                    </w:rPr>
                    <w:t>1</w:t>
                  </w:r>
                </w:p>
              </w:tc>
              <w:tc>
                <w:tcPr>
                  <w:tcW w:w="1848" w:type="pct"/>
                  <w:vAlign w:val="center"/>
                </w:tcPr>
                <w:p w14:paraId="3B8E1415">
                  <w:pPr>
                    <w:pageBreakBefore w:val="0"/>
                    <w:widowControl/>
                    <w:kinsoku/>
                    <w:wordWrap/>
                    <w:topLinePunct w:val="0"/>
                    <w:bidi w:val="0"/>
                    <w:adjustRightInd/>
                    <w:snapToGrid/>
                    <w:ind w:right="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kern w:val="0"/>
                      <w:sz w:val="21"/>
                      <w:szCs w:val="21"/>
                      <w:lang w:val="en-US" w:eastAsia="zh-CN"/>
                    </w:rPr>
                    <w:t>/</w:t>
                  </w:r>
                </w:p>
              </w:tc>
            </w:tr>
            <w:tr w14:paraId="76895CE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pct"/>
                  <w:vAlign w:val="center"/>
                </w:tcPr>
                <w:p w14:paraId="7E649532">
                  <w:pPr>
                    <w:pStyle w:val="7"/>
                    <w:pageBreakBefore w:val="0"/>
                    <w:kinsoku/>
                    <w:wordWrap/>
                    <w:overflowPunct w:val="0"/>
                    <w:topLinePunct w:val="0"/>
                    <w:bidi w:val="0"/>
                    <w:adjustRightInd/>
                    <w:snapToGrid/>
                    <w:spacing w:line="240" w:lineRule="auto"/>
                    <w:ind w:right="0" w:firstLine="0" w:firstLineChars="0"/>
                    <w:jc w:val="center"/>
                    <w:textAlignment w:val="auto"/>
                    <w:rPr>
                      <w:rFonts w:hint="default" w:ascii="Times New Roman" w:hAnsi="Times New Roman" w:cs="Times New Roman"/>
                      <w:bCs w:val="0"/>
                      <w:sz w:val="21"/>
                      <w:szCs w:val="21"/>
                      <w:lang w:val="en-US" w:eastAsia="zh-CN"/>
                    </w:rPr>
                  </w:pPr>
                  <w:r>
                    <w:rPr>
                      <w:rFonts w:hint="default" w:ascii="Times New Roman" w:hAnsi="Times New Roman" w:cs="Times New Roman"/>
                      <w:bCs w:val="0"/>
                      <w:sz w:val="21"/>
                      <w:szCs w:val="21"/>
                      <w:lang w:val="en-US" w:eastAsia="zh-CN"/>
                    </w:rPr>
                    <w:t>29</w:t>
                  </w:r>
                </w:p>
              </w:tc>
              <w:tc>
                <w:tcPr>
                  <w:tcW w:w="1294" w:type="pct"/>
                  <w:vAlign w:val="center"/>
                </w:tcPr>
                <w:p w14:paraId="064B1DBD">
                  <w:pPr>
                    <w:pageBreakBefore w:val="0"/>
                    <w:widowControl/>
                    <w:kinsoku/>
                    <w:wordWrap/>
                    <w:topLinePunct w:val="0"/>
                    <w:bidi w:val="0"/>
                    <w:adjustRightInd/>
                    <w:snapToGrid/>
                    <w:ind w:right="0"/>
                    <w:jc w:val="center"/>
                    <w:textAlignment w:val="auto"/>
                    <w:rPr>
                      <w:rFonts w:hint="default" w:ascii="Times New Roman" w:hAnsi="Times New Roman" w:cs="Times New Roman"/>
                      <w:sz w:val="21"/>
                      <w:szCs w:val="21"/>
                    </w:rPr>
                  </w:pPr>
                  <w:r>
                    <w:rPr>
                      <w:rFonts w:hint="default" w:ascii="Times New Roman" w:hAnsi="Times New Roman" w:cs="Times New Roman"/>
                      <w:kern w:val="0"/>
                      <w:sz w:val="21"/>
                      <w:szCs w:val="21"/>
                    </w:rPr>
                    <w:t>运输设备</w:t>
                  </w:r>
                </w:p>
              </w:tc>
              <w:tc>
                <w:tcPr>
                  <w:tcW w:w="695" w:type="pct"/>
                  <w:vAlign w:val="center"/>
                </w:tcPr>
                <w:p w14:paraId="60AE9421">
                  <w:pPr>
                    <w:pageBreakBefore w:val="0"/>
                    <w:kinsoku/>
                    <w:wordWrap/>
                    <w:topLinePunct w:val="0"/>
                    <w:autoSpaceDE w:val="0"/>
                    <w:autoSpaceDN w:val="0"/>
                    <w:bidi w:val="0"/>
                    <w:adjustRightInd/>
                    <w:snapToGrid/>
                    <w:ind w:right="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rPr>
                    <w:t>台</w:t>
                  </w:r>
                </w:p>
              </w:tc>
              <w:tc>
                <w:tcPr>
                  <w:tcW w:w="436" w:type="pct"/>
                  <w:vAlign w:val="center"/>
                </w:tcPr>
                <w:p w14:paraId="38C8CE27">
                  <w:pPr>
                    <w:pageBreakBefore w:val="0"/>
                    <w:widowControl/>
                    <w:kinsoku/>
                    <w:wordWrap/>
                    <w:topLinePunct w:val="0"/>
                    <w:bidi w:val="0"/>
                    <w:adjustRightInd/>
                    <w:snapToGrid/>
                    <w:ind w:right="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kern w:val="0"/>
                      <w:sz w:val="21"/>
                      <w:szCs w:val="21"/>
                    </w:rPr>
                    <w:t>10</w:t>
                  </w:r>
                </w:p>
              </w:tc>
              <w:tc>
                <w:tcPr>
                  <w:tcW w:w="1848" w:type="pct"/>
                  <w:vAlign w:val="center"/>
                </w:tcPr>
                <w:p w14:paraId="53731071">
                  <w:pPr>
                    <w:pageBreakBefore w:val="0"/>
                    <w:widowControl/>
                    <w:kinsoku/>
                    <w:wordWrap/>
                    <w:topLinePunct w:val="0"/>
                    <w:bidi w:val="0"/>
                    <w:adjustRightInd/>
                    <w:snapToGrid/>
                    <w:ind w:right="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kern w:val="0"/>
                      <w:sz w:val="21"/>
                      <w:szCs w:val="21"/>
                      <w:lang w:val="en-US" w:eastAsia="zh-CN"/>
                    </w:rPr>
                    <w:t>/</w:t>
                  </w:r>
                </w:p>
              </w:tc>
            </w:tr>
            <w:tr w14:paraId="6D2E989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pct"/>
                  <w:vAlign w:val="center"/>
                </w:tcPr>
                <w:p w14:paraId="37FD2562">
                  <w:pPr>
                    <w:pStyle w:val="7"/>
                    <w:pageBreakBefore w:val="0"/>
                    <w:kinsoku/>
                    <w:wordWrap/>
                    <w:overflowPunct w:val="0"/>
                    <w:topLinePunct w:val="0"/>
                    <w:bidi w:val="0"/>
                    <w:adjustRightInd/>
                    <w:snapToGrid/>
                    <w:spacing w:line="240" w:lineRule="auto"/>
                    <w:ind w:right="0" w:firstLine="0" w:firstLineChars="0"/>
                    <w:jc w:val="center"/>
                    <w:textAlignment w:val="auto"/>
                    <w:rPr>
                      <w:rFonts w:hint="default" w:ascii="Times New Roman" w:hAnsi="Times New Roman" w:cs="Times New Roman"/>
                      <w:bCs w:val="0"/>
                      <w:sz w:val="21"/>
                      <w:szCs w:val="21"/>
                      <w:lang w:val="en-US" w:eastAsia="zh-CN"/>
                    </w:rPr>
                  </w:pPr>
                  <w:r>
                    <w:rPr>
                      <w:rFonts w:hint="default" w:ascii="Times New Roman" w:hAnsi="Times New Roman" w:cs="Times New Roman"/>
                      <w:bCs w:val="0"/>
                      <w:sz w:val="21"/>
                      <w:szCs w:val="21"/>
                      <w:lang w:val="en-US" w:eastAsia="zh-CN"/>
                    </w:rPr>
                    <w:t>30</w:t>
                  </w:r>
                </w:p>
              </w:tc>
              <w:tc>
                <w:tcPr>
                  <w:tcW w:w="1294" w:type="pct"/>
                  <w:vAlign w:val="center"/>
                </w:tcPr>
                <w:p w14:paraId="1997D84F">
                  <w:pPr>
                    <w:pageBreakBefore w:val="0"/>
                    <w:widowControl/>
                    <w:kinsoku/>
                    <w:wordWrap/>
                    <w:topLinePunct w:val="0"/>
                    <w:bidi w:val="0"/>
                    <w:adjustRightInd/>
                    <w:snapToGrid/>
                    <w:ind w:right="0"/>
                    <w:jc w:val="center"/>
                    <w:textAlignment w:val="auto"/>
                    <w:rPr>
                      <w:rFonts w:hint="default" w:ascii="Times New Roman" w:hAnsi="Times New Roman" w:cs="Times New Roman"/>
                      <w:sz w:val="21"/>
                      <w:szCs w:val="21"/>
                    </w:rPr>
                  </w:pPr>
                  <w:r>
                    <w:rPr>
                      <w:rFonts w:hint="default" w:ascii="Times New Roman" w:hAnsi="Times New Roman" w:cs="Times New Roman"/>
                      <w:kern w:val="0"/>
                      <w:sz w:val="21"/>
                      <w:szCs w:val="21"/>
                    </w:rPr>
                    <w:t>叉车</w:t>
                  </w:r>
                </w:p>
              </w:tc>
              <w:tc>
                <w:tcPr>
                  <w:tcW w:w="695" w:type="pct"/>
                  <w:vAlign w:val="center"/>
                </w:tcPr>
                <w:p w14:paraId="7A6B587B">
                  <w:pPr>
                    <w:pageBreakBefore w:val="0"/>
                    <w:kinsoku/>
                    <w:wordWrap/>
                    <w:topLinePunct w:val="0"/>
                    <w:autoSpaceDE w:val="0"/>
                    <w:autoSpaceDN w:val="0"/>
                    <w:bidi w:val="0"/>
                    <w:adjustRightInd/>
                    <w:snapToGrid/>
                    <w:ind w:right="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辆</w:t>
                  </w:r>
                </w:p>
              </w:tc>
              <w:tc>
                <w:tcPr>
                  <w:tcW w:w="436" w:type="pct"/>
                  <w:vAlign w:val="center"/>
                </w:tcPr>
                <w:p w14:paraId="241E3011">
                  <w:pPr>
                    <w:pageBreakBefore w:val="0"/>
                    <w:widowControl/>
                    <w:kinsoku/>
                    <w:wordWrap/>
                    <w:topLinePunct w:val="0"/>
                    <w:bidi w:val="0"/>
                    <w:adjustRightInd/>
                    <w:snapToGrid/>
                    <w:ind w:right="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kern w:val="0"/>
                      <w:sz w:val="21"/>
                      <w:szCs w:val="21"/>
                    </w:rPr>
                    <w:t>4</w:t>
                  </w:r>
                </w:p>
              </w:tc>
              <w:tc>
                <w:tcPr>
                  <w:tcW w:w="1848" w:type="pct"/>
                  <w:vAlign w:val="center"/>
                </w:tcPr>
                <w:p w14:paraId="4DA68A72">
                  <w:pPr>
                    <w:pageBreakBefore w:val="0"/>
                    <w:widowControl/>
                    <w:kinsoku/>
                    <w:wordWrap/>
                    <w:topLinePunct w:val="0"/>
                    <w:bidi w:val="0"/>
                    <w:adjustRightInd/>
                    <w:snapToGrid/>
                    <w:ind w:right="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kern w:val="0"/>
                      <w:sz w:val="21"/>
                      <w:szCs w:val="21"/>
                      <w:lang w:val="en-US" w:eastAsia="zh-CN"/>
                    </w:rPr>
                    <w:t>/</w:t>
                  </w:r>
                </w:p>
              </w:tc>
            </w:tr>
            <w:tr w14:paraId="182553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pct"/>
                  <w:vAlign w:val="center"/>
                </w:tcPr>
                <w:p w14:paraId="25680CE9">
                  <w:pPr>
                    <w:pStyle w:val="7"/>
                    <w:pageBreakBefore w:val="0"/>
                    <w:kinsoku/>
                    <w:wordWrap/>
                    <w:overflowPunct w:val="0"/>
                    <w:topLinePunct w:val="0"/>
                    <w:bidi w:val="0"/>
                    <w:adjustRightInd/>
                    <w:snapToGrid/>
                    <w:spacing w:line="240" w:lineRule="auto"/>
                    <w:ind w:right="0" w:firstLine="0" w:firstLineChars="0"/>
                    <w:jc w:val="center"/>
                    <w:textAlignment w:val="auto"/>
                    <w:rPr>
                      <w:rFonts w:hint="default" w:ascii="Times New Roman" w:hAnsi="Times New Roman" w:cs="Times New Roman"/>
                      <w:bCs w:val="0"/>
                      <w:sz w:val="21"/>
                      <w:szCs w:val="21"/>
                      <w:lang w:val="en-US" w:eastAsia="zh-CN"/>
                    </w:rPr>
                  </w:pPr>
                  <w:r>
                    <w:rPr>
                      <w:rFonts w:hint="default" w:ascii="Times New Roman" w:hAnsi="Times New Roman" w:cs="Times New Roman"/>
                      <w:bCs w:val="0"/>
                      <w:sz w:val="21"/>
                      <w:szCs w:val="21"/>
                      <w:lang w:val="en-US" w:eastAsia="zh-CN"/>
                    </w:rPr>
                    <w:t>31</w:t>
                  </w:r>
                </w:p>
              </w:tc>
              <w:tc>
                <w:tcPr>
                  <w:tcW w:w="1294" w:type="pct"/>
                  <w:vAlign w:val="center"/>
                </w:tcPr>
                <w:p w14:paraId="42ACE770">
                  <w:pPr>
                    <w:pageBreakBefore w:val="0"/>
                    <w:widowControl/>
                    <w:kinsoku/>
                    <w:wordWrap/>
                    <w:topLinePunct w:val="0"/>
                    <w:bidi w:val="0"/>
                    <w:adjustRightInd/>
                    <w:snapToGrid/>
                    <w:ind w:right="0"/>
                    <w:jc w:val="center"/>
                    <w:textAlignment w:val="auto"/>
                    <w:rPr>
                      <w:rFonts w:hint="default" w:ascii="Times New Roman" w:hAnsi="Times New Roman" w:cs="Times New Roman"/>
                      <w:sz w:val="21"/>
                      <w:szCs w:val="21"/>
                    </w:rPr>
                  </w:pPr>
                  <w:r>
                    <w:rPr>
                      <w:rFonts w:hint="default" w:ascii="Times New Roman" w:hAnsi="Times New Roman" w:cs="Times New Roman"/>
                      <w:kern w:val="0"/>
                      <w:sz w:val="21"/>
                      <w:szCs w:val="21"/>
                    </w:rPr>
                    <w:t>装载机</w:t>
                  </w:r>
                </w:p>
              </w:tc>
              <w:tc>
                <w:tcPr>
                  <w:tcW w:w="695" w:type="pct"/>
                  <w:vAlign w:val="center"/>
                </w:tcPr>
                <w:p w14:paraId="5D1EF252">
                  <w:pPr>
                    <w:pageBreakBefore w:val="0"/>
                    <w:kinsoku/>
                    <w:wordWrap/>
                    <w:topLinePunct w:val="0"/>
                    <w:autoSpaceDE w:val="0"/>
                    <w:autoSpaceDN w:val="0"/>
                    <w:bidi w:val="0"/>
                    <w:adjustRightInd/>
                    <w:snapToGrid/>
                    <w:ind w:right="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台</w:t>
                  </w:r>
                </w:p>
              </w:tc>
              <w:tc>
                <w:tcPr>
                  <w:tcW w:w="436" w:type="pct"/>
                  <w:vAlign w:val="center"/>
                </w:tcPr>
                <w:p w14:paraId="1EC64FC3">
                  <w:pPr>
                    <w:pageBreakBefore w:val="0"/>
                    <w:widowControl/>
                    <w:kinsoku/>
                    <w:wordWrap/>
                    <w:topLinePunct w:val="0"/>
                    <w:bidi w:val="0"/>
                    <w:adjustRightInd/>
                    <w:snapToGrid/>
                    <w:ind w:right="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kern w:val="0"/>
                      <w:sz w:val="21"/>
                      <w:szCs w:val="21"/>
                    </w:rPr>
                    <w:t>2</w:t>
                  </w:r>
                </w:p>
              </w:tc>
              <w:tc>
                <w:tcPr>
                  <w:tcW w:w="1848" w:type="pct"/>
                  <w:vAlign w:val="center"/>
                </w:tcPr>
                <w:p w14:paraId="242A5A0D">
                  <w:pPr>
                    <w:pageBreakBefore w:val="0"/>
                    <w:widowControl/>
                    <w:kinsoku/>
                    <w:wordWrap/>
                    <w:topLinePunct w:val="0"/>
                    <w:bidi w:val="0"/>
                    <w:adjustRightInd/>
                    <w:snapToGrid/>
                    <w:ind w:right="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kern w:val="0"/>
                      <w:sz w:val="21"/>
                      <w:szCs w:val="21"/>
                      <w:lang w:val="en-US" w:eastAsia="zh-CN"/>
                    </w:rPr>
                    <w:t>/</w:t>
                  </w:r>
                </w:p>
              </w:tc>
            </w:tr>
            <w:tr w14:paraId="122399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pct"/>
                  <w:vAlign w:val="center"/>
                </w:tcPr>
                <w:p w14:paraId="461C7421">
                  <w:pPr>
                    <w:pStyle w:val="7"/>
                    <w:pageBreakBefore w:val="0"/>
                    <w:kinsoku/>
                    <w:wordWrap/>
                    <w:overflowPunct w:val="0"/>
                    <w:topLinePunct w:val="0"/>
                    <w:bidi w:val="0"/>
                    <w:adjustRightInd/>
                    <w:snapToGrid/>
                    <w:spacing w:line="240" w:lineRule="auto"/>
                    <w:ind w:right="0" w:firstLine="0" w:firstLineChars="0"/>
                    <w:jc w:val="center"/>
                    <w:textAlignment w:val="auto"/>
                    <w:rPr>
                      <w:rFonts w:hint="default" w:ascii="Times New Roman" w:hAnsi="Times New Roman" w:cs="Times New Roman"/>
                      <w:bCs w:val="0"/>
                      <w:sz w:val="21"/>
                      <w:szCs w:val="21"/>
                      <w:lang w:val="en-US" w:eastAsia="zh-CN"/>
                    </w:rPr>
                  </w:pPr>
                  <w:r>
                    <w:rPr>
                      <w:rFonts w:hint="default" w:ascii="Times New Roman" w:hAnsi="Times New Roman" w:cs="Times New Roman"/>
                      <w:bCs w:val="0"/>
                      <w:sz w:val="21"/>
                      <w:szCs w:val="21"/>
                      <w:lang w:val="en-US" w:eastAsia="zh-CN"/>
                    </w:rPr>
                    <w:t>32</w:t>
                  </w:r>
                </w:p>
              </w:tc>
              <w:tc>
                <w:tcPr>
                  <w:tcW w:w="1294" w:type="pct"/>
                  <w:vAlign w:val="center"/>
                </w:tcPr>
                <w:p w14:paraId="65B06053">
                  <w:pPr>
                    <w:pageBreakBefore w:val="0"/>
                    <w:widowControl/>
                    <w:kinsoku/>
                    <w:wordWrap/>
                    <w:topLinePunct w:val="0"/>
                    <w:bidi w:val="0"/>
                    <w:adjustRightInd/>
                    <w:snapToGrid/>
                    <w:ind w:right="0"/>
                    <w:jc w:val="center"/>
                    <w:textAlignment w:val="auto"/>
                    <w:rPr>
                      <w:rFonts w:hint="default" w:ascii="Times New Roman" w:hAnsi="Times New Roman" w:cs="Times New Roman"/>
                      <w:sz w:val="21"/>
                      <w:szCs w:val="21"/>
                    </w:rPr>
                  </w:pPr>
                  <w:r>
                    <w:rPr>
                      <w:rFonts w:hint="default" w:ascii="Times New Roman" w:hAnsi="Times New Roman" w:cs="Times New Roman"/>
                      <w:kern w:val="0"/>
                      <w:sz w:val="21"/>
                      <w:szCs w:val="21"/>
                    </w:rPr>
                    <w:t>供配设施</w:t>
                  </w:r>
                </w:p>
              </w:tc>
              <w:tc>
                <w:tcPr>
                  <w:tcW w:w="695" w:type="pct"/>
                  <w:vAlign w:val="center"/>
                </w:tcPr>
                <w:p w14:paraId="4815498D">
                  <w:pPr>
                    <w:pageBreakBefore w:val="0"/>
                    <w:kinsoku/>
                    <w:wordWrap/>
                    <w:topLinePunct w:val="0"/>
                    <w:autoSpaceDE w:val="0"/>
                    <w:autoSpaceDN w:val="0"/>
                    <w:bidi w:val="0"/>
                    <w:adjustRightInd/>
                    <w:snapToGrid/>
                    <w:ind w:right="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台</w:t>
                  </w:r>
                </w:p>
              </w:tc>
              <w:tc>
                <w:tcPr>
                  <w:tcW w:w="436" w:type="pct"/>
                  <w:vAlign w:val="center"/>
                </w:tcPr>
                <w:p w14:paraId="31C5ECE9">
                  <w:pPr>
                    <w:pageBreakBefore w:val="0"/>
                    <w:widowControl/>
                    <w:kinsoku/>
                    <w:wordWrap/>
                    <w:topLinePunct w:val="0"/>
                    <w:bidi w:val="0"/>
                    <w:adjustRightInd/>
                    <w:snapToGrid/>
                    <w:ind w:right="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kern w:val="0"/>
                      <w:sz w:val="21"/>
                      <w:szCs w:val="21"/>
                      <w:lang w:val="en-US" w:eastAsia="zh-CN"/>
                    </w:rPr>
                    <w:t>/</w:t>
                  </w:r>
                </w:p>
              </w:tc>
              <w:tc>
                <w:tcPr>
                  <w:tcW w:w="1848" w:type="pct"/>
                  <w:vAlign w:val="center"/>
                </w:tcPr>
                <w:p w14:paraId="43734F07">
                  <w:pPr>
                    <w:pageBreakBefore w:val="0"/>
                    <w:widowControl/>
                    <w:kinsoku/>
                    <w:wordWrap/>
                    <w:topLinePunct w:val="0"/>
                    <w:bidi w:val="0"/>
                    <w:adjustRightInd/>
                    <w:snapToGrid/>
                    <w:ind w:right="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kern w:val="0"/>
                      <w:sz w:val="21"/>
                      <w:szCs w:val="21"/>
                      <w:lang w:val="en-US" w:eastAsia="zh-CN"/>
                    </w:rPr>
                    <w:t>/</w:t>
                  </w:r>
                </w:p>
              </w:tc>
            </w:tr>
            <w:tr w14:paraId="6C8AA1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pct"/>
                  <w:vAlign w:val="center"/>
                </w:tcPr>
                <w:p w14:paraId="201AEF19">
                  <w:pPr>
                    <w:pStyle w:val="7"/>
                    <w:pageBreakBefore w:val="0"/>
                    <w:kinsoku/>
                    <w:wordWrap/>
                    <w:overflowPunct w:val="0"/>
                    <w:topLinePunct w:val="0"/>
                    <w:bidi w:val="0"/>
                    <w:adjustRightInd/>
                    <w:snapToGrid/>
                    <w:spacing w:line="240" w:lineRule="auto"/>
                    <w:ind w:right="0" w:firstLine="0" w:firstLineChars="0"/>
                    <w:jc w:val="center"/>
                    <w:textAlignment w:val="auto"/>
                    <w:rPr>
                      <w:rFonts w:hint="default" w:ascii="Times New Roman" w:hAnsi="Times New Roman" w:cs="Times New Roman"/>
                      <w:bCs w:val="0"/>
                      <w:sz w:val="21"/>
                      <w:szCs w:val="21"/>
                      <w:lang w:val="en-US" w:eastAsia="zh-CN"/>
                    </w:rPr>
                  </w:pPr>
                  <w:r>
                    <w:rPr>
                      <w:rFonts w:hint="default" w:ascii="Times New Roman" w:hAnsi="Times New Roman" w:cs="Times New Roman"/>
                      <w:bCs w:val="0"/>
                      <w:sz w:val="21"/>
                      <w:szCs w:val="21"/>
                      <w:lang w:val="en-US" w:eastAsia="zh-CN"/>
                    </w:rPr>
                    <w:t>33</w:t>
                  </w:r>
                </w:p>
              </w:tc>
              <w:tc>
                <w:tcPr>
                  <w:tcW w:w="1294" w:type="pct"/>
                  <w:vAlign w:val="center"/>
                </w:tcPr>
                <w:p w14:paraId="70A05E4C">
                  <w:pPr>
                    <w:pageBreakBefore w:val="0"/>
                    <w:widowControl/>
                    <w:kinsoku/>
                    <w:wordWrap/>
                    <w:topLinePunct w:val="0"/>
                    <w:bidi w:val="0"/>
                    <w:adjustRightInd/>
                    <w:snapToGrid/>
                    <w:ind w:right="0"/>
                    <w:jc w:val="center"/>
                    <w:textAlignment w:val="auto"/>
                    <w:rPr>
                      <w:rFonts w:hint="default" w:ascii="Times New Roman" w:hAnsi="Times New Roman" w:cs="Times New Roman"/>
                      <w:sz w:val="21"/>
                      <w:szCs w:val="21"/>
                    </w:rPr>
                  </w:pPr>
                  <w:r>
                    <w:rPr>
                      <w:rFonts w:hint="default" w:ascii="Times New Roman" w:hAnsi="Times New Roman" w:cs="Times New Roman"/>
                      <w:kern w:val="0"/>
                      <w:sz w:val="21"/>
                      <w:szCs w:val="21"/>
                    </w:rPr>
                    <w:t>试验设备</w:t>
                  </w:r>
                </w:p>
              </w:tc>
              <w:tc>
                <w:tcPr>
                  <w:tcW w:w="695" w:type="pct"/>
                  <w:vAlign w:val="center"/>
                </w:tcPr>
                <w:p w14:paraId="7585C406">
                  <w:pPr>
                    <w:pageBreakBefore w:val="0"/>
                    <w:kinsoku/>
                    <w:wordWrap/>
                    <w:topLinePunct w:val="0"/>
                    <w:autoSpaceDE w:val="0"/>
                    <w:autoSpaceDN w:val="0"/>
                    <w:bidi w:val="0"/>
                    <w:adjustRightInd/>
                    <w:snapToGrid/>
                    <w:ind w:right="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套</w:t>
                  </w:r>
                </w:p>
              </w:tc>
              <w:tc>
                <w:tcPr>
                  <w:tcW w:w="436" w:type="pct"/>
                  <w:vAlign w:val="center"/>
                </w:tcPr>
                <w:p w14:paraId="2CE0BB92">
                  <w:pPr>
                    <w:pageBreakBefore w:val="0"/>
                    <w:widowControl/>
                    <w:kinsoku/>
                    <w:wordWrap/>
                    <w:topLinePunct w:val="0"/>
                    <w:bidi w:val="0"/>
                    <w:adjustRightInd/>
                    <w:snapToGrid/>
                    <w:ind w:right="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kern w:val="0"/>
                      <w:sz w:val="21"/>
                      <w:szCs w:val="21"/>
                      <w:lang w:val="en-US" w:eastAsia="zh-CN"/>
                    </w:rPr>
                    <w:t>/</w:t>
                  </w:r>
                </w:p>
              </w:tc>
              <w:tc>
                <w:tcPr>
                  <w:tcW w:w="1848" w:type="pct"/>
                  <w:vAlign w:val="center"/>
                </w:tcPr>
                <w:p w14:paraId="57F3D89D">
                  <w:pPr>
                    <w:pageBreakBefore w:val="0"/>
                    <w:widowControl/>
                    <w:kinsoku/>
                    <w:wordWrap/>
                    <w:topLinePunct w:val="0"/>
                    <w:bidi w:val="0"/>
                    <w:adjustRightInd/>
                    <w:snapToGrid/>
                    <w:ind w:right="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kern w:val="0"/>
                      <w:sz w:val="21"/>
                      <w:szCs w:val="21"/>
                      <w:lang w:val="en-US" w:eastAsia="zh-CN"/>
                    </w:rPr>
                    <w:t>/</w:t>
                  </w:r>
                </w:p>
              </w:tc>
            </w:tr>
          </w:tbl>
          <w:p w14:paraId="5857D5B8">
            <w:pPr>
              <w:pStyle w:val="4"/>
              <w:rPr>
                <w:rFonts w:hint="eastAsia"/>
                <w:sz w:val="24"/>
                <w:szCs w:val="24"/>
                <w:lang w:val="en-US" w:eastAsia="zh-CN"/>
              </w:rPr>
            </w:pPr>
            <w:r>
              <w:rPr>
                <w:rFonts w:hint="eastAsia"/>
                <w:sz w:val="24"/>
                <w:szCs w:val="24"/>
                <w:lang w:val="en-US" w:eastAsia="zh-CN"/>
              </w:rPr>
              <w:t>3.产品及产能</w:t>
            </w:r>
          </w:p>
          <w:p w14:paraId="32FC9D2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rPr>
            </w:pPr>
            <w:r>
              <w:rPr>
                <w:rFonts w:hint="eastAsia"/>
                <w:sz w:val="24"/>
                <w:szCs w:val="24"/>
                <w:lang w:val="en-US" w:eastAsia="zh-CN"/>
              </w:rPr>
              <w:t>本项目产品为</w:t>
            </w:r>
            <w:r>
              <w:rPr>
                <w:rFonts w:hint="eastAsia"/>
                <w:bCs/>
                <w:sz w:val="24"/>
                <w:szCs w:val="24"/>
              </w:rPr>
              <w:t>蒸压加气混凝土砌块和蒸压加气混凝土ALC配筋板材</w:t>
            </w:r>
            <w:r>
              <w:rPr>
                <w:rFonts w:hint="eastAsia" w:ascii="宋体" w:hAnsi="宋体" w:cs="宋体"/>
                <w:color w:val="000000"/>
                <w:kern w:val="0"/>
                <w:sz w:val="24"/>
                <w:szCs w:val="24"/>
                <w:lang w:val="en-US" w:eastAsia="zh-CN" w:bidi="ar"/>
              </w:rPr>
              <w:t>，产量分别为</w:t>
            </w:r>
            <w:r>
              <w:rPr>
                <w:rFonts w:hint="eastAsia" w:cs="Times New Roman"/>
                <w:color w:val="000000"/>
                <w:kern w:val="0"/>
                <w:sz w:val="24"/>
                <w:szCs w:val="24"/>
                <w:lang w:val="en-US" w:eastAsia="zh-CN" w:bidi="ar"/>
              </w:rPr>
              <w:t>1</w:t>
            </w:r>
            <w:r>
              <w:rPr>
                <w:rFonts w:hint="default" w:ascii="Times New Roman" w:hAnsi="Times New Roman" w:eastAsia="宋体" w:cs="Times New Roman"/>
                <w:color w:val="000000"/>
                <w:kern w:val="0"/>
                <w:sz w:val="24"/>
                <w:szCs w:val="24"/>
                <w:lang w:val="en-US" w:eastAsia="zh-CN" w:bidi="ar"/>
              </w:rPr>
              <w:t>0万m</w:t>
            </w:r>
            <w:r>
              <w:rPr>
                <w:rFonts w:hint="default" w:ascii="Times New Roman" w:hAnsi="Times New Roman" w:eastAsia="宋体" w:cs="Times New Roman"/>
                <w:color w:val="000000"/>
                <w:kern w:val="0"/>
                <w:sz w:val="24"/>
                <w:szCs w:val="24"/>
                <w:vertAlign w:val="superscript"/>
                <w:lang w:val="en-US" w:eastAsia="zh-CN" w:bidi="ar"/>
              </w:rPr>
              <w:t>3</w:t>
            </w:r>
            <w:r>
              <w:rPr>
                <w:rFonts w:hint="eastAsia" w:cs="Times New Roman"/>
                <w:color w:val="000000"/>
                <w:kern w:val="0"/>
                <w:sz w:val="24"/>
                <w:szCs w:val="24"/>
                <w:lang w:val="en-US" w:eastAsia="zh-CN" w:bidi="ar"/>
              </w:rPr>
              <w:t>/a，10万</w:t>
            </w:r>
            <w:r>
              <w:rPr>
                <w:rFonts w:hint="default" w:ascii="Times New Roman" w:hAnsi="Times New Roman" w:eastAsia="宋体" w:cs="Times New Roman"/>
                <w:color w:val="000000"/>
                <w:kern w:val="0"/>
                <w:sz w:val="24"/>
                <w:szCs w:val="24"/>
                <w:lang w:val="en-US" w:eastAsia="zh-CN" w:bidi="ar"/>
              </w:rPr>
              <w:t>m</w:t>
            </w:r>
            <w:r>
              <w:rPr>
                <w:rFonts w:hint="default" w:ascii="Times New Roman" w:hAnsi="Times New Roman" w:eastAsia="宋体" w:cs="Times New Roman"/>
                <w:color w:val="000000"/>
                <w:kern w:val="0"/>
                <w:sz w:val="24"/>
                <w:szCs w:val="24"/>
                <w:vertAlign w:val="superscript"/>
                <w:lang w:val="en-US" w:eastAsia="zh-CN" w:bidi="ar"/>
              </w:rPr>
              <w:t>3</w:t>
            </w:r>
            <w:r>
              <w:rPr>
                <w:rFonts w:hint="eastAsia" w:cs="Times New Roman"/>
                <w:color w:val="000000"/>
                <w:kern w:val="0"/>
                <w:sz w:val="24"/>
                <w:szCs w:val="24"/>
                <w:lang w:val="en-US" w:eastAsia="zh-CN" w:bidi="ar"/>
              </w:rPr>
              <w:t>/a，产品方案见下表。</w:t>
            </w:r>
          </w:p>
          <w:p w14:paraId="5345D2B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eastAsia="宋体"/>
                <w:b/>
                <w:bCs/>
                <w:lang w:val="en-US" w:eastAsia="zh-CN"/>
              </w:rPr>
            </w:pPr>
            <w:r>
              <w:rPr>
                <w:rFonts w:hint="eastAsia"/>
                <w:b/>
                <w:bCs/>
                <w:lang w:val="en-US" w:eastAsia="zh-CN"/>
              </w:rPr>
              <w:t>表2-3 产品方案</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2337"/>
              <w:gridCol w:w="2027"/>
              <w:gridCol w:w="2859"/>
            </w:tblGrid>
            <w:tr w14:paraId="5D94490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65" w:type="pct"/>
                  <w:tcBorders>
                    <w:tl2br w:val="nil"/>
                    <w:tr2bl w:val="nil"/>
                  </w:tcBorders>
                  <w:vAlign w:val="center"/>
                </w:tcPr>
                <w:p w14:paraId="45B51231">
                  <w:pPr>
                    <w:jc w:val="center"/>
                    <w:rPr>
                      <w:rFonts w:hint="default"/>
                      <w:b/>
                      <w:bCs/>
                      <w:sz w:val="21"/>
                      <w:szCs w:val="21"/>
                      <w:vertAlign w:val="baseline"/>
                      <w:lang w:val="en-US" w:eastAsia="zh-CN"/>
                    </w:rPr>
                  </w:pPr>
                  <w:r>
                    <w:rPr>
                      <w:rFonts w:hint="eastAsia"/>
                      <w:b/>
                      <w:bCs/>
                      <w:sz w:val="21"/>
                      <w:szCs w:val="21"/>
                      <w:vertAlign w:val="baseline"/>
                      <w:lang w:val="en-US" w:eastAsia="zh-CN"/>
                    </w:rPr>
                    <w:t>序号</w:t>
                  </w:r>
                </w:p>
              </w:tc>
              <w:tc>
                <w:tcPr>
                  <w:tcW w:w="1402" w:type="pct"/>
                  <w:tcBorders>
                    <w:tl2br w:val="nil"/>
                    <w:tr2bl w:val="nil"/>
                  </w:tcBorders>
                  <w:vAlign w:val="center"/>
                </w:tcPr>
                <w:p w14:paraId="31621807">
                  <w:pPr>
                    <w:jc w:val="center"/>
                    <w:rPr>
                      <w:rFonts w:hint="default"/>
                      <w:b/>
                      <w:bCs/>
                      <w:sz w:val="21"/>
                      <w:szCs w:val="21"/>
                      <w:vertAlign w:val="baseline"/>
                      <w:lang w:val="en-US" w:eastAsia="zh-CN"/>
                    </w:rPr>
                  </w:pPr>
                  <w:r>
                    <w:rPr>
                      <w:rFonts w:hint="eastAsia"/>
                      <w:b/>
                      <w:bCs/>
                      <w:sz w:val="21"/>
                      <w:szCs w:val="21"/>
                      <w:vertAlign w:val="baseline"/>
                      <w:lang w:val="en-US" w:eastAsia="zh-CN"/>
                    </w:rPr>
                    <w:t>产品名称</w:t>
                  </w:r>
                </w:p>
              </w:tc>
              <w:tc>
                <w:tcPr>
                  <w:tcW w:w="1216" w:type="pct"/>
                  <w:tcBorders>
                    <w:tl2br w:val="nil"/>
                    <w:tr2bl w:val="nil"/>
                  </w:tcBorders>
                  <w:vAlign w:val="center"/>
                </w:tcPr>
                <w:p w14:paraId="3C530FA1">
                  <w:pPr>
                    <w:jc w:val="center"/>
                    <w:rPr>
                      <w:rFonts w:hint="default"/>
                      <w:b/>
                      <w:bCs/>
                      <w:sz w:val="21"/>
                      <w:szCs w:val="21"/>
                      <w:vertAlign w:val="baseline"/>
                      <w:lang w:val="en-US" w:eastAsia="zh-CN"/>
                    </w:rPr>
                  </w:pPr>
                  <w:r>
                    <w:rPr>
                      <w:rFonts w:hint="eastAsia"/>
                      <w:b/>
                      <w:bCs/>
                      <w:sz w:val="21"/>
                      <w:szCs w:val="21"/>
                      <w:vertAlign w:val="baseline"/>
                      <w:lang w:val="en-US" w:eastAsia="zh-CN"/>
                    </w:rPr>
                    <w:t>产能</w:t>
                  </w:r>
                </w:p>
              </w:tc>
              <w:tc>
                <w:tcPr>
                  <w:tcW w:w="1715" w:type="pct"/>
                  <w:tcBorders>
                    <w:tl2br w:val="nil"/>
                    <w:tr2bl w:val="nil"/>
                  </w:tcBorders>
                  <w:vAlign w:val="center"/>
                </w:tcPr>
                <w:p w14:paraId="7EF426E6">
                  <w:pPr>
                    <w:jc w:val="center"/>
                    <w:rPr>
                      <w:rFonts w:hint="default"/>
                      <w:b/>
                      <w:bCs/>
                      <w:sz w:val="21"/>
                      <w:szCs w:val="21"/>
                      <w:vertAlign w:val="baseline"/>
                      <w:lang w:val="en-US" w:eastAsia="zh-CN"/>
                    </w:rPr>
                  </w:pPr>
                  <w:r>
                    <w:rPr>
                      <w:rFonts w:hint="eastAsia"/>
                      <w:b/>
                      <w:bCs/>
                      <w:sz w:val="21"/>
                      <w:szCs w:val="21"/>
                      <w:vertAlign w:val="baseline"/>
                      <w:lang w:val="en-US" w:eastAsia="zh-CN"/>
                    </w:rPr>
                    <w:t>备注</w:t>
                  </w:r>
                </w:p>
              </w:tc>
            </w:tr>
            <w:tr w14:paraId="7453E1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65" w:type="pct"/>
                  <w:tcBorders>
                    <w:tl2br w:val="nil"/>
                    <w:tr2bl w:val="nil"/>
                  </w:tcBorders>
                  <w:vAlign w:val="center"/>
                </w:tcPr>
                <w:p w14:paraId="51C33640">
                  <w:pPr>
                    <w:jc w:val="center"/>
                    <w:rPr>
                      <w:rFonts w:hint="default"/>
                      <w:sz w:val="21"/>
                      <w:szCs w:val="21"/>
                      <w:vertAlign w:val="baseline"/>
                      <w:lang w:val="en-US" w:eastAsia="zh-CN"/>
                    </w:rPr>
                  </w:pPr>
                  <w:r>
                    <w:rPr>
                      <w:rFonts w:hint="eastAsia"/>
                      <w:sz w:val="21"/>
                      <w:szCs w:val="21"/>
                      <w:vertAlign w:val="baseline"/>
                      <w:lang w:val="en-US" w:eastAsia="zh-CN"/>
                    </w:rPr>
                    <w:t>1</w:t>
                  </w:r>
                </w:p>
              </w:tc>
              <w:tc>
                <w:tcPr>
                  <w:tcW w:w="1402" w:type="pct"/>
                  <w:tcBorders>
                    <w:tl2br w:val="nil"/>
                    <w:tr2bl w:val="nil"/>
                  </w:tcBorders>
                  <w:vAlign w:val="center"/>
                </w:tcPr>
                <w:p w14:paraId="06F5E4C6">
                  <w:pPr>
                    <w:jc w:val="center"/>
                    <w:rPr>
                      <w:rFonts w:hint="default"/>
                      <w:sz w:val="21"/>
                      <w:szCs w:val="21"/>
                      <w:vertAlign w:val="baseline"/>
                      <w:lang w:val="en-US" w:eastAsia="zh-CN"/>
                    </w:rPr>
                  </w:pPr>
                  <w:r>
                    <w:rPr>
                      <w:rFonts w:hint="eastAsia"/>
                      <w:bCs/>
                      <w:sz w:val="21"/>
                      <w:szCs w:val="21"/>
                    </w:rPr>
                    <w:t>蒸压加气混凝土砌块</w:t>
                  </w:r>
                </w:p>
              </w:tc>
              <w:tc>
                <w:tcPr>
                  <w:tcW w:w="1216" w:type="pct"/>
                  <w:tcBorders>
                    <w:tl2br w:val="nil"/>
                    <w:tr2bl w:val="nil"/>
                  </w:tcBorders>
                  <w:vAlign w:val="center"/>
                </w:tcPr>
                <w:p w14:paraId="00AC262A">
                  <w:pPr>
                    <w:jc w:val="center"/>
                    <w:rPr>
                      <w:rFonts w:hint="default"/>
                      <w:sz w:val="21"/>
                      <w:szCs w:val="21"/>
                      <w:vertAlign w:val="baseline"/>
                      <w:lang w:val="en-US" w:eastAsia="zh-CN"/>
                    </w:rPr>
                  </w:pPr>
                  <w:r>
                    <w:rPr>
                      <w:rFonts w:hint="eastAsia"/>
                      <w:sz w:val="21"/>
                      <w:szCs w:val="21"/>
                      <w:vertAlign w:val="baseline"/>
                      <w:lang w:val="en-US" w:eastAsia="zh-CN"/>
                    </w:rPr>
                    <w:t>10</w:t>
                  </w:r>
                  <w:r>
                    <w:rPr>
                      <w:rFonts w:hint="eastAsia" w:cs="Times New Roman"/>
                      <w:color w:val="000000"/>
                      <w:kern w:val="0"/>
                      <w:sz w:val="21"/>
                      <w:szCs w:val="21"/>
                      <w:lang w:val="en-US" w:eastAsia="zh-CN" w:bidi="ar"/>
                    </w:rPr>
                    <w:t>万</w:t>
                  </w:r>
                  <w:r>
                    <w:rPr>
                      <w:rFonts w:hint="default" w:ascii="Times New Roman" w:hAnsi="Times New Roman" w:eastAsia="宋体" w:cs="Times New Roman"/>
                      <w:color w:val="000000"/>
                      <w:kern w:val="0"/>
                      <w:sz w:val="21"/>
                      <w:szCs w:val="21"/>
                      <w:lang w:val="en-US" w:eastAsia="zh-CN" w:bidi="ar"/>
                    </w:rPr>
                    <w:t>m</w:t>
                  </w:r>
                  <w:r>
                    <w:rPr>
                      <w:rFonts w:hint="default" w:ascii="Times New Roman" w:hAnsi="Times New Roman" w:eastAsia="宋体" w:cs="Times New Roman"/>
                      <w:color w:val="000000"/>
                      <w:kern w:val="0"/>
                      <w:sz w:val="21"/>
                      <w:szCs w:val="21"/>
                      <w:vertAlign w:val="superscript"/>
                      <w:lang w:val="en-US" w:eastAsia="zh-CN" w:bidi="ar"/>
                    </w:rPr>
                    <w:t>3</w:t>
                  </w:r>
                  <w:r>
                    <w:rPr>
                      <w:rFonts w:hint="eastAsia" w:cs="Times New Roman"/>
                      <w:color w:val="000000"/>
                      <w:kern w:val="0"/>
                      <w:sz w:val="21"/>
                      <w:szCs w:val="21"/>
                      <w:lang w:val="en-US" w:eastAsia="zh-CN" w:bidi="ar"/>
                    </w:rPr>
                    <w:t>/a</w:t>
                  </w:r>
                </w:p>
              </w:tc>
              <w:tc>
                <w:tcPr>
                  <w:tcW w:w="1715" w:type="pct"/>
                  <w:vMerge w:val="restart"/>
                  <w:tcBorders>
                    <w:tl2br w:val="nil"/>
                    <w:tr2bl w:val="nil"/>
                  </w:tcBorders>
                  <w:vAlign w:val="center"/>
                </w:tcPr>
                <w:p w14:paraId="4F419FF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sz w:val="21"/>
                      <w:szCs w:val="21"/>
                      <w:vertAlign w:val="baseline"/>
                      <w:lang w:val="en-US" w:eastAsia="zh-CN"/>
                    </w:rPr>
                  </w:pPr>
                  <w:r>
                    <w:rPr>
                      <w:rFonts w:ascii="仿宋" w:hAnsi="仿宋" w:eastAsia="仿宋" w:cs="仿宋"/>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蒸压加气混凝土板》（GB/T15762-2020）</w:t>
                  </w:r>
                </w:p>
              </w:tc>
            </w:tr>
            <w:tr w14:paraId="1942B6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65" w:type="pct"/>
                  <w:tcBorders>
                    <w:tl2br w:val="nil"/>
                    <w:tr2bl w:val="nil"/>
                  </w:tcBorders>
                  <w:vAlign w:val="center"/>
                </w:tcPr>
                <w:p w14:paraId="3AF4FE2C">
                  <w:pPr>
                    <w:jc w:val="center"/>
                    <w:rPr>
                      <w:rFonts w:hint="default"/>
                      <w:sz w:val="21"/>
                      <w:szCs w:val="21"/>
                      <w:vertAlign w:val="baseline"/>
                      <w:lang w:val="en-US" w:eastAsia="zh-CN"/>
                    </w:rPr>
                  </w:pPr>
                  <w:r>
                    <w:rPr>
                      <w:rFonts w:hint="eastAsia"/>
                      <w:sz w:val="21"/>
                      <w:szCs w:val="21"/>
                      <w:vertAlign w:val="baseline"/>
                      <w:lang w:val="en-US" w:eastAsia="zh-CN"/>
                    </w:rPr>
                    <w:t>2</w:t>
                  </w:r>
                </w:p>
              </w:tc>
              <w:tc>
                <w:tcPr>
                  <w:tcW w:w="1402" w:type="pct"/>
                  <w:tcBorders>
                    <w:tl2br w:val="nil"/>
                    <w:tr2bl w:val="nil"/>
                  </w:tcBorders>
                  <w:vAlign w:val="center"/>
                </w:tcPr>
                <w:p w14:paraId="4BE984A0">
                  <w:pPr>
                    <w:jc w:val="center"/>
                    <w:rPr>
                      <w:rFonts w:hint="default"/>
                      <w:sz w:val="21"/>
                      <w:szCs w:val="21"/>
                      <w:vertAlign w:val="baseline"/>
                      <w:lang w:val="en-US" w:eastAsia="zh-CN"/>
                    </w:rPr>
                  </w:pPr>
                  <w:r>
                    <w:rPr>
                      <w:rFonts w:hint="eastAsia"/>
                      <w:bCs/>
                      <w:sz w:val="21"/>
                      <w:szCs w:val="21"/>
                    </w:rPr>
                    <w:t>蒸压加气混凝土ALC配筋板材</w:t>
                  </w:r>
                </w:p>
              </w:tc>
              <w:tc>
                <w:tcPr>
                  <w:tcW w:w="1216" w:type="pct"/>
                  <w:tcBorders>
                    <w:tl2br w:val="nil"/>
                    <w:tr2bl w:val="nil"/>
                  </w:tcBorders>
                  <w:vAlign w:val="center"/>
                </w:tcPr>
                <w:p w14:paraId="0212AE13">
                  <w:pPr>
                    <w:jc w:val="center"/>
                    <w:rPr>
                      <w:rFonts w:hint="default"/>
                      <w:sz w:val="21"/>
                      <w:szCs w:val="21"/>
                      <w:vertAlign w:val="baseline"/>
                      <w:lang w:val="en-US" w:eastAsia="zh-CN"/>
                    </w:rPr>
                  </w:pPr>
                  <w:r>
                    <w:rPr>
                      <w:rFonts w:hint="eastAsia" w:cs="Times New Roman"/>
                      <w:color w:val="000000"/>
                      <w:kern w:val="0"/>
                      <w:sz w:val="21"/>
                      <w:szCs w:val="21"/>
                      <w:lang w:val="en-US" w:eastAsia="zh-CN" w:bidi="ar"/>
                    </w:rPr>
                    <w:t>1</w:t>
                  </w:r>
                  <w:r>
                    <w:rPr>
                      <w:rFonts w:hint="default" w:ascii="Times New Roman" w:hAnsi="Times New Roman" w:eastAsia="宋体" w:cs="Times New Roman"/>
                      <w:color w:val="000000"/>
                      <w:kern w:val="0"/>
                      <w:sz w:val="21"/>
                      <w:szCs w:val="21"/>
                      <w:lang w:val="en-US" w:eastAsia="zh-CN" w:bidi="ar"/>
                    </w:rPr>
                    <w:t>0万m</w:t>
                  </w:r>
                  <w:r>
                    <w:rPr>
                      <w:rFonts w:hint="default" w:ascii="Times New Roman" w:hAnsi="Times New Roman" w:eastAsia="宋体" w:cs="Times New Roman"/>
                      <w:color w:val="000000"/>
                      <w:kern w:val="0"/>
                      <w:sz w:val="21"/>
                      <w:szCs w:val="21"/>
                      <w:vertAlign w:val="superscript"/>
                      <w:lang w:val="en-US" w:eastAsia="zh-CN" w:bidi="ar"/>
                    </w:rPr>
                    <w:t>3</w:t>
                  </w:r>
                  <w:r>
                    <w:rPr>
                      <w:rFonts w:hint="eastAsia" w:cs="Times New Roman"/>
                      <w:color w:val="000000"/>
                      <w:kern w:val="0"/>
                      <w:sz w:val="21"/>
                      <w:szCs w:val="21"/>
                      <w:lang w:val="en-US" w:eastAsia="zh-CN" w:bidi="ar"/>
                    </w:rPr>
                    <w:t>/a</w:t>
                  </w:r>
                </w:p>
              </w:tc>
              <w:tc>
                <w:tcPr>
                  <w:tcW w:w="1715" w:type="pct"/>
                  <w:vMerge w:val="continue"/>
                  <w:tcBorders>
                    <w:tl2br w:val="nil"/>
                    <w:tr2bl w:val="nil"/>
                  </w:tcBorders>
                  <w:vAlign w:val="center"/>
                </w:tcPr>
                <w:p w14:paraId="34326C9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sz w:val="21"/>
                      <w:szCs w:val="21"/>
                      <w:vertAlign w:val="baseline"/>
                      <w:lang w:val="en-US" w:eastAsia="zh-CN"/>
                    </w:rPr>
                  </w:pPr>
                </w:p>
              </w:tc>
            </w:tr>
          </w:tbl>
          <w:p w14:paraId="1EFE3A01">
            <w:pPr>
              <w:pStyle w:val="4"/>
              <w:rPr>
                <w:sz w:val="24"/>
                <w:szCs w:val="24"/>
              </w:rPr>
            </w:pPr>
            <w:r>
              <w:rPr>
                <w:rFonts w:hint="eastAsia"/>
                <w:sz w:val="24"/>
                <w:szCs w:val="24"/>
                <w:lang w:val="en-US" w:eastAsia="zh-CN"/>
              </w:rPr>
              <w:t>4</w:t>
            </w:r>
            <w:r>
              <w:rPr>
                <w:rFonts w:hint="eastAsia"/>
                <w:sz w:val="24"/>
                <w:szCs w:val="24"/>
              </w:rPr>
              <w:t>.</w:t>
            </w:r>
            <w:r>
              <w:rPr>
                <w:sz w:val="24"/>
                <w:szCs w:val="24"/>
              </w:rPr>
              <w:t>原材料消耗</w:t>
            </w:r>
          </w:p>
          <w:p w14:paraId="588A4954">
            <w:pPr>
              <w:spacing w:line="360" w:lineRule="auto"/>
              <w:ind w:firstLine="480" w:firstLineChars="200"/>
              <w:rPr>
                <w:bCs/>
                <w:snapToGrid w:val="0"/>
                <w:color w:val="auto"/>
                <w:kern w:val="0"/>
                <w:sz w:val="24"/>
                <w:szCs w:val="24"/>
              </w:rPr>
            </w:pPr>
            <w:r>
              <w:rPr>
                <w:rFonts w:hint="eastAsia"/>
                <w:color w:val="auto"/>
                <w:sz w:val="24"/>
                <w:szCs w:val="24"/>
              </w:rPr>
              <w:t>本项目</w:t>
            </w:r>
            <w:r>
              <w:rPr>
                <w:rFonts w:hint="eastAsia"/>
                <w:bCs/>
                <w:snapToGrid w:val="0"/>
                <w:color w:val="auto"/>
                <w:kern w:val="0"/>
                <w:sz w:val="24"/>
                <w:szCs w:val="24"/>
              </w:rPr>
              <w:t>生产线</w:t>
            </w:r>
            <w:r>
              <w:rPr>
                <w:bCs/>
                <w:snapToGrid w:val="0"/>
                <w:color w:val="auto"/>
                <w:kern w:val="0"/>
                <w:sz w:val="24"/>
                <w:szCs w:val="24"/>
              </w:rPr>
              <w:t>原辅材料消耗见</w:t>
            </w:r>
            <w:r>
              <w:rPr>
                <w:rFonts w:hint="eastAsia"/>
                <w:bCs/>
                <w:snapToGrid w:val="0"/>
                <w:color w:val="auto"/>
                <w:kern w:val="0"/>
                <w:sz w:val="24"/>
                <w:szCs w:val="24"/>
              </w:rPr>
              <w:t>下表</w:t>
            </w:r>
            <w:r>
              <w:rPr>
                <w:bCs/>
                <w:snapToGrid w:val="0"/>
                <w:color w:val="auto"/>
                <w:kern w:val="0"/>
                <w:sz w:val="24"/>
                <w:szCs w:val="24"/>
              </w:rPr>
              <w:t>。</w:t>
            </w:r>
          </w:p>
          <w:p w14:paraId="5F26B379">
            <w:pPr>
              <w:pStyle w:val="38"/>
              <w:keepNext w:val="0"/>
              <w:keepLines w:val="0"/>
              <w:pageBreakBefore w:val="0"/>
              <w:widowControl w:val="0"/>
              <w:kinsoku/>
              <w:wordWrap/>
              <w:overflowPunct w:val="0"/>
              <w:topLinePunct w:val="0"/>
              <w:autoSpaceDE/>
              <w:autoSpaceDN/>
              <w:bidi w:val="0"/>
              <w:adjustRightInd/>
              <w:snapToGrid/>
              <w:textAlignment w:val="auto"/>
              <w:rPr>
                <w:b/>
                <w:snapToGrid w:val="0"/>
                <w:kern w:val="0"/>
              </w:rPr>
            </w:pPr>
            <w:r>
              <w:rPr>
                <w:b/>
                <w:snapToGrid w:val="0"/>
                <w:kern w:val="0"/>
              </w:rPr>
              <w:t>表</w:t>
            </w:r>
            <w:r>
              <w:rPr>
                <w:rFonts w:hint="eastAsia"/>
                <w:b/>
                <w:snapToGrid w:val="0"/>
                <w:kern w:val="0"/>
              </w:rPr>
              <w:t>2-4</w:t>
            </w:r>
            <w:r>
              <w:rPr>
                <w:b/>
                <w:snapToGrid w:val="0"/>
                <w:kern w:val="0"/>
              </w:rPr>
              <w:t xml:space="preserve">  原辅材料消耗一览表</w:t>
            </w:r>
          </w:p>
          <w:tbl>
            <w:tblPr>
              <w:tblStyle w:val="24"/>
              <w:tblW w:w="830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854"/>
              <w:gridCol w:w="1133"/>
              <w:gridCol w:w="1827"/>
              <w:gridCol w:w="2406"/>
            </w:tblGrid>
            <w:tr w14:paraId="06C9FC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89" w:type="dxa"/>
                  <w:noWrap/>
                  <w:vAlign w:val="center"/>
                </w:tcPr>
                <w:p w14:paraId="2D200D84">
                  <w:pPr>
                    <w:jc w:val="center"/>
                    <w:rPr>
                      <w:b/>
                      <w:bCs/>
                      <w:color w:val="000000"/>
                    </w:rPr>
                  </w:pPr>
                  <w:r>
                    <w:rPr>
                      <w:b/>
                      <w:bCs/>
                      <w:color w:val="000000"/>
                    </w:rPr>
                    <w:t>序号</w:t>
                  </w:r>
                </w:p>
              </w:tc>
              <w:tc>
                <w:tcPr>
                  <w:tcW w:w="1854" w:type="dxa"/>
                  <w:noWrap/>
                  <w:vAlign w:val="center"/>
                </w:tcPr>
                <w:p w14:paraId="1D781DE6">
                  <w:pPr>
                    <w:jc w:val="center"/>
                    <w:rPr>
                      <w:b/>
                      <w:bCs/>
                      <w:color w:val="000000"/>
                    </w:rPr>
                  </w:pPr>
                  <w:r>
                    <w:rPr>
                      <w:b/>
                      <w:bCs/>
                      <w:color w:val="000000"/>
                    </w:rPr>
                    <w:t>原辅材料名称</w:t>
                  </w:r>
                </w:p>
              </w:tc>
              <w:tc>
                <w:tcPr>
                  <w:tcW w:w="1133" w:type="dxa"/>
                  <w:noWrap/>
                  <w:vAlign w:val="center"/>
                </w:tcPr>
                <w:p w14:paraId="3602793C">
                  <w:pPr>
                    <w:jc w:val="center"/>
                    <w:rPr>
                      <w:b/>
                      <w:bCs/>
                      <w:color w:val="000000"/>
                    </w:rPr>
                  </w:pPr>
                  <w:r>
                    <w:rPr>
                      <w:b/>
                      <w:bCs/>
                      <w:color w:val="000000"/>
                    </w:rPr>
                    <w:t>单位</w:t>
                  </w:r>
                </w:p>
              </w:tc>
              <w:tc>
                <w:tcPr>
                  <w:tcW w:w="1827" w:type="dxa"/>
                  <w:noWrap/>
                  <w:vAlign w:val="center"/>
                </w:tcPr>
                <w:p w14:paraId="7B7DBA03">
                  <w:pPr>
                    <w:jc w:val="center"/>
                    <w:rPr>
                      <w:b/>
                      <w:bCs/>
                      <w:color w:val="000000"/>
                    </w:rPr>
                  </w:pPr>
                  <w:r>
                    <w:rPr>
                      <w:b/>
                      <w:bCs/>
                      <w:color w:val="000000"/>
                    </w:rPr>
                    <w:t>年耗量</w:t>
                  </w:r>
                </w:p>
              </w:tc>
              <w:tc>
                <w:tcPr>
                  <w:tcW w:w="2406" w:type="dxa"/>
                  <w:noWrap/>
                  <w:vAlign w:val="center"/>
                </w:tcPr>
                <w:p w14:paraId="544EF9DA">
                  <w:pPr>
                    <w:jc w:val="center"/>
                    <w:rPr>
                      <w:b/>
                      <w:bCs/>
                      <w:color w:val="000000"/>
                    </w:rPr>
                  </w:pPr>
                  <w:r>
                    <w:rPr>
                      <w:b/>
                      <w:bCs/>
                      <w:color w:val="000000"/>
                    </w:rPr>
                    <w:t>备注</w:t>
                  </w:r>
                </w:p>
              </w:tc>
            </w:tr>
            <w:tr w14:paraId="4B0E6F8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89" w:type="dxa"/>
                  <w:noWrap/>
                  <w:vAlign w:val="center"/>
                </w:tcPr>
                <w:p w14:paraId="0408A651">
                  <w:pPr>
                    <w:jc w:val="center"/>
                    <w:rPr>
                      <w:color w:val="000000"/>
                    </w:rPr>
                  </w:pPr>
                  <w:r>
                    <w:rPr>
                      <w:color w:val="000000"/>
                    </w:rPr>
                    <w:t>1</w:t>
                  </w:r>
                </w:p>
              </w:tc>
              <w:tc>
                <w:tcPr>
                  <w:tcW w:w="1854" w:type="dxa"/>
                  <w:noWrap/>
                  <w:vAlign w:val="center"/>
                </w:tcPr>
                <w:p w14:paraId="33E59521">
                  <w:pPr>
                    <w:jc w:val="center"/>
                    <w:rPr>
                      <w:rFonts w:hint="eastAsia" w:ascii="Times New Roman" w:hAnsi="Times New Roman" w:eastAsia="宋体" w:cs="Times New Roman"/>
                      <w:lang w:val="en-US" w:eastAsia="zh-CN"/>
                    </w:rPr>
                  </w:pPr>
                  <w:r>
                    <w:rPr>
                      <w:rFonts w:hint="eastAsia" w:cs="Times New Roman"/>
                      <w:lang w:val="en-US" w:eastAsia="zh-CN"/>
                    </w:rPr>
                    <w:t>粉煤灰</w:t>
                  </w:r>
                </w:p>
              </w:tc>
              <w:tc>
                <w:tcPr>
                  <w:tcW w:w="1133" w:type="dxa"/>
                  <w:noWrap/>
                  <w:vAlign w:val="center"/>
                </w:tcPr>
                <w:p w14:paraId="45E1EA6C">
                  <w:pPr>
                    <w:jc w:val="center"/>
                    <w:rPr>
                      <w:color w:val="000000"/>
                    </w:rPr>
                  </w:pPr>
                  <w:r>
                    <w:rPr>
                      <w:color w:val="000000"/>
                    </w:rPr>
                    <w:t>t/a</w:t>
                  </w:r>
                </w:p>
              </w:tc>
              <w:tc>
                <w:tcPr>
                  <w:tcW w:w="1827" w:type="dxa"/>
                  <w:noWrap/>
                  <w:vAlign w:val="center"/>
                </w:tcPr>
                <w:p w14:paraId="6C685FC6">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82886.6</w:t>
                  </w:r>
                </w:p>
              </w:tc>
              <w:tc>
                <w:tcPr>
                  <w:tcW w:w="2406" w:type="dxa"/>
                  <w:noWrap/>
                  <w:vAlign w:val="center"/>
                </w:tcPr>
                <w:p w14:paraId="518A9BD2">
                  <w:pPr>
                    <w:jc w:val="center"/>
                    <w:rPr>
                      <w:color w:val="000000"/>
                    </w:rPr>
                  </w:pPr>
                  <w:r>
                    <w:rPr>
                      <w:rFonts w:hint="eastAsia"/>
                      <w:kern w:val="0"/>
                      <w:lang w:val="en-US" w:eastAsia="zh-CN"/>
                    </w:rPr>
                    <w:t>外购</w:t>
                  </w:r>
                </w:p>
              </w:tc>
            </w:tr>
            <w:tr w14:paraId="234919B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9" w:type="dxa"/>
                  <w:noWrap/>
                  <w:vAlign w:val="center"/>
                </w:tcPr>
                <w:p w14:paraId="390CC74D">
                  <w:pPr>
                    <w:jc w:val="center"/>
                    <w:rPr>
                      <w:rFonts w:hint="eastAsia" w:eastAsia="宋体"/>
                      <w:color w:val="000000"/>
                      <w:lang w:eastAsia="zh-CN"/>
                    </w:rPr>
                  </w:pPr>
                  <w:r>
                    <w:rPr>
                      <w:rFonts w:hint="eastAsia"/>
                      <w:color w:val="000000"/>
                      <w:lang w:val="en-US" w:eastAsia="zh-CN"/>
                    </w:rPr>
                    <w:t>2</w:t>
                  </w:r>
                </w:p>
              </w:tc>
              <w:tc>
                <w:tcPr>
                  <w:tcW w:w="1854" w:type="dxa"/>
                  <w:noWrap/>
                  <w:vAlign w:val="center"/>
                </w:tcPr>
                <w:p w14:paraId="107B4CCE">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石灰</w:t>
                  </w:r>
                </w:p>
              </w:tc>
              <w:tc>
                <w:tcPr>
                  <w:tcW w:w="1133" w:type="dxa"/>
                  <w:noWrap/>
                  <w:vAlign w:val="center"/>
                </w:tcPr>
                <w:p w14:paraId="19634A5D">
                  <w:pPr>
                    <w:jc w:val="center"/>
                    <w:rPr>
                      <w:color w:val="000000"/>
                    </w:rPr>
                  </w:pPr>
                  <w:r>
                    <w:rPr>
                      <w:color w:val="000000"/>
                    </w:rPr>
                    <w:t>t/a</w:t>
                  </w:r>
                </w:p>
              </w:tc>
              <w:tc>
                <w:tcPr>
                  <w:tcW w:w="1827" w:type="dxa"/>
                  <w:noWrap/>
                  <w:vAlign w:val="center"/>
                </w:tcPr>
                <w:p w14:paraId="5EE3CFFF">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16082.47</w:t>
                  </w:r>
                </w:p>
              </w:tc>
              <w:tc>
                <w:tcPr>
                  <w:tcW w:w="2406" w:type="dxa"/>
                  <w:noWrap/>
                  <w:vAlign w:val="center"/>
                </w:tcPr>
                <w:p w14:paraId="79326ABD">
                  <w:pPr>
                    <w:jc w:val="center"/>
                    <w:rPr>
                      <w:color w:val="000000"/>
                    </w:rPr>
                  </w:pPr>
                  <w:r>
                    <w:rPr>
                      <w:rFonts w:hint="eastAsia"/>
                      <w:kern w:val="0"/>
                      <w:lang w:val="en-US" w:eastAsia="zh-CN"/>
                    </w:rPr>
                    <w:t>外购，</w:t>
                  </w:r>
                  <w:r>
                    <w:rPr>
                      <w:rFonts w:hint="eastAsia"/>
                      <w:lang w:val="en-US" w:eastAsia="zh-CN"/>
                    </w:rPr>
                    <w:t>筒仓贮存</w:t>
                  </w:r>
                </w:p>
              </w:tc>
            </w:tr>
            <w:tr w14:paraId="718FC38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9" w:type="dxa"/>
                  <w:noWrap/>
                  <w:vAlign w:val="center"/>
                </w:tcPr>
                <w:p w14:paraId="17021BEB">
                  <w:pPr>
                    <w:jc w:val="center"/>
                    <w:rPr>
                      <w:rFonts w:hint="eastAsia" w:eastAsia="宋体"/>
                      <w:color w:val="000000"/>
                      <w:lang w:val="en-US" w:eastAsia="zh-CN"/>
                    </w:rPr>
                  </w:pPr>
                  <w:r>
                    <w:rPr>
                      <w:rFonts w:hint="eastAsia"/>
                      <w:color w:val="000000"/>
                      <w:lang w:val="en-US" w:eastAsia="zh-CN"/>
                    </w:rPr>
                    <w:t>3</w:t>
                  </w:r>
                </w:p>
              </w:tc>
              <w:tc>
                <w:tcPr>
                  <w:tcW w:w="1854" w:type="dxa"/>
                  <w:noWrap/>
                  <w:vAlign w:val="center"/>
                </w:tcPr>
                <w:p w14:paraId="79AFDF03">
                  <w:pPr>
                    <w:jc w:val="center"/>
                    <w:rPr>
                      <w:rFonts w:hint="eastAsia" w:ascii="Times New Roman" w:hAnsi="Times New Roman" w:eastAsia="宋体" w:cs="Times New Roman"/>
                      <w:lang w:val="en-US" w:eastAsia="zh-CN"/>
                    </w:rPr>
                  </w:pPr>
                  <w:r>
                    <w:rPr>
                      <w:rFonts w:hint="eastAsia" w:cs="Times New Roman"/>
                      <w:lang w:val="en-US" w:eastAsia="zh-CN"/>
                    </w:rPr>
                    <w:t>脱硫</w:t>
                  </w:r>
                  <w:r>
                    <w:rPr>
                      <w:rFonts w:hint="eastAsia" w:ascii="Times New Roman" w:hAnsi="Times New Roman" w:eastAsia="宋体" w:cs="Times New Roman"/>
                      <w:lang w:val="en-US" w:eastAsia="zh-CN"/>
                    </w:rPr>
                    <w:t>石膏</w:t>
                  </w:r>
                </w:p>
              </w:tc>
              <w:tc>
                <w:tcPr>
                  <w:tcW w:w="1133" w:type="dxa"/>
                  <w:noWrap/>
                  <w:vAlign w:val="center"/>
                </w:tcPr>
                <w:p w14:paraId="26F310D3">
                  <w:pPr>
                    <w:jc w:val="center"/>
                    <w:rPr>
                      <w:color w:val="000000"/>
                    </w:rPr>
                  </w:pPr>
                  <w:r>
                    <w:rPr>
                      <w:color w:val="000000"/>
                    </w:rPr>
                    <w:t>t/a</w:t>
                  </w:r>
                </w:p>
              </w:tc>
              <w:tc>
                <w:tcPr>
                  <w:tcW w:w="1827" w:type="dxa"/>
                  <w:noWrap/>
                  <w:vAlign w:val="center"/>
                </w:tcPr>
                <w:p w14:paraId="7323C20A">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3711.34</w:t>
                  </w:r>
                </w:p>
              </w:tc>
              <w:tc>
                <w:tcPr>
                  <w:tcW w:w="2406" w:type="dxa"/>
                  <w:noWrap/>
                  <w:vAlign w:val="center"/>
                </w:tcPr>
                <w:p w14:paraId="5B48EC48">
                  <w:pPr>
                    <w:jc w:val="center"/>
                    <w:rPr>
                      <w:color w:val="000000"/>
                    </w:rPr>
                  </w:pPr>
                  <w:r>
                    <w:rPr>
                      <w:rFonts w:hint="eastAsia"/>
                      <w:kern w:val="0"/>
                      <w:lang w:val="en-US" w:eastAsia="zh-CN"/>
                    </w:rPr>
                    <w:t>外购，</w:t>
                  </w:r>
                  <w:r>
                    <w:rPr>
                      <w:rFonts w:hint="eastAsia"/>
                      <w:lang w:val="en-US" w:eastAsia="zh-CN"/>
                    </w:rPr>
                    <w:t>筒仓贮存</w:t>
                  </w:r>
                </w:p>
              </w:tc>
            </w:tr>
            <w:tr w14:paraId="38A8D2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9" w:type="dxa"/>
                  <w:noWrap/>
                  <w:vAlign w:val="center"/>
                </w:tcPr>
                <w:p w14:paraId="74CDEEB2">
                  <w:pPr>
                    <w:jc w:val="center"/>
                    <w:rPr>
                      <w:rFonts w:hint="eastAsia" w:eastAsia="宋体"/>
                      <w:color w:val="000000"/>
                      <w:lang w:val="en-US" w:eastAsia="zh-CN"/>
                    </w:rPr>
                  </w:pPr>
                  <w:r>
                    <w:rPr>
                      <w:rFonts w:hint="eastAsia"/>
                      <w:color w:val="000000"/>
                      <w:lang w:val="en-US" w:eastAsia="zh-CN"/>
                    </w:rPr>
                    <w:t>4</w:t>
                  </w:r>
                </w:p>
              </w:tc>
              <w:tc>
                <w:tcPr>
                  <w:tcW w:w="1854" w:type="dxa"/>
                  <w:noWrap/>
                  <w:vAlign w:val="center"/>
                </w:tcPr>
                <w:p w14:paraId="71AD39EB">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水泥</w:t>
                  </w:r>
                </w:p>
              </w:tc>
              <w:tc>
                <w:tcPr>
                  <w:tcW w:w="1133" w:type="dxa"/>
                  <w:noWrap/>
                  <w:vAlign w:val="center"/>
                </w:tcPr>
                <w:p w14:paraId="475C6771">
                  <w:pPr>
                    <w:jc w:val="center"/>
                    <w:rPr>
                      <w:color w:val="000000"/>
                    </w:rPr>
                  </w:pPr>
                  <w:r>
                    <w:rPr>
                      <w:color w:val="000000"/>
                    </w:rPr>
                    <w:t>t/a</w:t>
                  </w:r>
                </w:p>
              </w:tc>
              <w:tc>
                <w:tcPr>
                  <w:tcW w:w="1827" w:type="dxa"/>
                  <w:noWrap/>
                  <w:vAlign w:val="center"/>
                </w:tcPr>
                <w:p w14:paraId="275A3FBF">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21030.93</w:t>
                  </w:r>
                </w:p>
              </w:tc>
              <w:tc>
                <w:tcPr>
                  <w:tcW w:w="2406" w:type="dxa"/>
                  <w:noWrap/>
                  <w:vAlign w:val="center"/>
                </w:tcPr>
                <w:p w14:paraId="57820A20">
                  <w:pPr>
                    <w:jc w:val="center"/>
                    <w:rPr>
                      <w:color w:val="000000"/>
                    </w:rPr>
                  </w:pPr>
                  <w:r>
                    <w:rPr>
                      <w:rFonts w:hint="eastAsia"/>
                      <w:lang w:val="en-US" w:eastAsia="zh-CN"/>
                    </w:rPr>
                    <w:t>外购，筒仓贮存</w:t>
                  </w:r>
                </w:p>
              </w:tc>
            </w:tr>
            <w:tr w14:paraId="59BDC4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089" w:type="dxa"/>
                  <w:noWrap/>
                  <w:vAlign w:val="center"/>
                </w:tcPr>
                <w:p w14:paraId="787836C1">
                  <w:pPr>
                    <w:jc w:val="center"/>
                    <w:rPr>
                      <w:rFonts w:hint="default" w:eastAsia="宋体"/>
                      <w:color w:val="000000"/>
                      <w:lang w:val="en-US" w:eastAsia="zh-CN"/>
                    </w:rPr>
                  </w:pPr>
                  <w:r>
                    <w:rPr>
                      <w:rFonts w:hint="eastAsia"/>
                      <w:color w:val="000000"/>
                      <w:lang w:val="en-US" w:eastAsia="zh-CN"/>
                    </w:rPr>
                    <w:t>5</w:t>
                  </w:r>
                </w:p>
              </w:tc>
              <w:tc>
                <w:tcPr>
                  <w:tcW w:w="1854" w:type="dxa"/>
                  <w:noWrap/>
                  <w:vAlign w:val="center"/>
                </w:tcPr>
                <w:p w14:paraId="4A847D34">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铝粉膏</w:t>
                  </w:r>
                </w:p>
              </w:tc>
              <w:tc>
                <w:tcPr>
                  <w:tcW w:w="1133" w:type="dxa"/>
                  <w:noWrap/>
                  <w:vAlign w:val="center"/>
                </w:tcPr>
                <w:p w14:paraId="4685FB75">
                  <w:pPr>
                    <w:pStyle w:val="8"/>
                    <w:bidi w:val="0"/>
                    <w:ind w:left="0" w:leftChars="0" w:firstLine="0" w:firstLineChars="0"/>
                    <w:rPr>
                      <w:color w:val="000000"/>
                    </w:rPr>
                  </w:pPr>
                  <w:r>
                    <w:rPr>
                      <w:color w:val="000000"/>
                    </w:rPr>
                    <w:t>t/a</w:t>
                  </w:r>
                </w:p>
              </w:tc>
              <w:tc>
                <w:tcPr>
                  <w:tcW w:w="1827" w:type="dxa"/>
                  <w:noWrap/>
                  <w:vAlign w:val="center"/>
                </w:tcPr>
                <w:p w14:paraId="20CE9039">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100</w:t>
                  </w:r>
                </w:p>
              </w:tc>
              <w:tc>
                <w:tcPr>
                  <w:tcW w:w="2406" w:type="dxa"/>
                  <w:noWrap/>
                  <w:vAlign w:val="center"/>
                </w:tcPr>
                <w:p w14:paraId="5500CFEB">
                  <w:pPr>
                    <w:jc w:val="center"/>
                    <w:rPr>
                      <w:rFonts w:hint="default"/>
                      <w:color w:val="000000"/>
                      <w:lang w:val="en-US" w:eastAsia="zh-CN"/>
                    </w:rPr>
                  </w:pPr>
                  <w:r>
                    <w:rPr>
                      <w:rFonts w:hint="eastAsia"/>
                      <w:color w:val="000000"/>
                      <w:lang w:val="en-US" w:eastAsia="zh-CN"/>
                    </w:rPr>
                    <w:t>外购</w:t>
                  </w:r>
                </w:p>
              </w:tc>
            </w:tr>
            <w:tr w14:paraId="651B0C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089" w:type="dxa"/>
                  <w:noWrap/>
                  <w:vAlign w:val="center"/>
                </w:tcPr>
                <w:p w14:paraId="1369C326">
                  <w:pPr>
                    <w:jc w:val="center"/>
                    <w:rPr>
                      <w:rFonts w:hint="default" w:eastAsia="宋体"/>
                      <w:color w:val="000000"/>
                      <w:lang w:val="en-US" w:eastAsia="zh-CN"/>
                    </w:rPr>
                  </w:pPr>
                  <w:r>
                    <w:rPr>
                      <w:rFonts w:hint="eastAsia"/>
                      <w:color w:val="000000"/>
                      <w:lang w:val="en-US" w:eastAsia="zh-CN"/>
                    </w:rPr>
                    <w:t>6</w:t>
                  </w:r>
                </w:p>
              </w:tc>
              <w:tc>
                <w:tcPr>
                  <w:tcW w:w="1854" w:type="dxa"/>
                  <w:noWrap/>
                  <w:vAlign w:val="center"/>
                </w:tcPr>
                <w:p w14:paraId="3BE364C5">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脱模剂</w:t>
                  </w:r>
                </w:p>
              </w:tc>
              <w:tc>
                <w:tcPr>
                  <w:tcW w:w="1133" w:type="dxa"/>
                  <w:noWrap/>
                  <w:vAlign w:val="center"/>
                </w:tcPr>
                <w:p w14:paraId="72FB3A3E">
                  <w:pPr>
                    <w:pStyle w:val="8"/>
                    <w:bidi w:val="0"/>
                    <w:ind w:left="0" w:leftChars="0" w:firstLine="0" w:firstLineChars="0"/>
                    <w:rPr>
                      <w:color w:val="000000"/>
                    </w:rPr>
                  </w:pPr>
                  <w:r>
                    <w:rPr>
                      <w:color w:val="000000"/>
                    </w:rPr>
                    <w:t>t</w:t>
                  </w:r>
                  <w:r>
                    <w:t>/a</w:t>
                  </w:r>
                </w:p>
              </w:tc>
              <w:tc>
                <w:tcPr>
                  <w:tcW w:w="1827" w:type="dxa"/>
                  <w:noWrap/>
                  <w:vAlign w:val="center"/>
                </w:tcPr>
                <w:p w14:paraId="11A7EEB4">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100</w:t>
                  </w:r>
                </w:p>
              </w:tc>
              <w:tc>
                <w:tcPr>
                  <w:tcW w:w="2406" w:type="dxa"/>
                  <w:noWrap/>
                  <w:vAlign w:val="center"/>
                </w:tcPr>
                <w:p w14:paraId="02F35BC8">
                  <w:pPr>
                    <w:jc w:val="center"/>
                    <w:rPr>
                      <w:rFonts w:hint="default" w:eastAsia="宋体"/>
                      <w:color w:val="000000"/>
                      <w:lang w:val="en-US" w:eastAsia="zh-CN"/>
                    </w:rPr>
                  </w:pPr>
                  <w:r>
                    <w:rPr>
                      <w:rFonts w:hint="eastAsia"/>
                      <w:lang w:val="en-US" w:eastAsia="zh-CN"/>
                    </w:rPr>
                    <w:t>外购</w:t>
                  </w:r>
                </w:p>
              </w:tc>
            </w:tr>
            <w:tr w14:paraId="2B78833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089" w:type="dxa"/>
                  <w:noWrap/>
                  <w:vAlign w:val="center"/>
                </w:tcPr>
                <w:p w14:paraId="02DA1963">
                  <w:pPr>
                    <w:jc w:val="center"/>
                    <w:rPr>
                      <w:rFonts w:hint="default" w:eastAsia="宋体"/>
                      <w:color w:val="000000"/>
                      <w:lang w:val="en-US" w:eastAsia="zh-CN"/>
                    </w:rPr>
                  </w:pPr>
                  <w:r>
                    <w:rPr>
                      <w:rFonts w:hint="eastAsia"/>
                      <w:color w:val="000000"/>
                      <w:lang w:val="en-US" w:eastAsia="zh-CN"/>
                    </w:rPr>
                    <w:t>7</w:t>
                  </w:r>
                </w:p>
              </w:tc>
              <w:tc>
                <w:tcPr>
                  <w:tcW w:w="1854" w:type="dxa"/>
                  <w:noWrap/>
                  <w:vAlign w:val="center"/>
                </w:tcPr>
                <w:p w14:paraId="72F53955">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钢筋</w:t>
                  </w:r>
                </w:p>
              </w:tc>
              <w:tc>
                <w:tcPr>
                  <w:tcW w:w="1133" w:type="dxa"/>
                  <w:noWrap/>
                  <w:vAlign w:val="center"/>
                </w:tcPr>
                <w:p w14:paraId="67B5B625">
                  <w:pPr>
                    <w:jc w:val="center"/>
                    <w:rPr>
                      <w:rFonts w:hint="eastAsia" w:eastAsia="宋体"/>
                      <w:color w:val="000000"/>
                      <w:lang w:val="en-US" w:eastAsia="zh-CN"/>
                    </w:rPr>
                  </w:pPr>
                  <w:r>
                    <w:rPr>
                      <w:color w:val="000000"/>
                    </w:rPr>
                    <w:t>t</w:t>
                  </w:r>
                  <w:r>
                    <w:t>/a</w:t>
                  </w:r>
                </w:p>
              </w:tc>
              <w:tc>
                <w:tcPr>
                  <w:tcW w:w="1827" w:type="dxa"/>
                  <w:noWrap/>
                  <w:vAlign w:val="center"/>
                </w:tcPr>
                <w:p w14:paraId="4E1A9C33">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1000</w:t>
                  </w:r>
                </w:p>
              </w:tc>
              <w:tc>
                <w:tcPr>
                  <w:tcW w:w="2406" w:type="dxa"/>
                  <w:noWrap/>
                  <w:vAlign w:val="center"/>
                </w:tcPr>
                <w:p w14:paraId="19F38A84">
                  <w:pPr>
                    <w:jc w:val="center"/>
                    <w:rPr>
                      <w:rFonts w:hint="eastAsia"/>
                      <w:color w:val="000000"/>
                    </w:rPr>
                  </w:pPr>
                  <w:r>
                    <w:rPr>
                      <w:rFonts w:hint="eastAsia"/>
                      <w:lang w:val="en-US" w:eastAsia="zh-CN"/>
                    </w:rPr>
                    <w:t>外购</w:t>
                  </w:r>
                </w:p>
              </w:tc>
            </w:tr>
            <w:tr w14:paraId="2B01DC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089" w:type="dxa"/>
                  <w:noWrap/>
                  <w:vAlign w:val="center"/>
                </w:tcPr>
                <w:p w14:paraId="7759DA4B">
                  <w:pPr>
                    <w:jc w:val="center"/>
                    <w:rPr>
                      <w:rFonts w:hint="default"/>
                      <w:color w:val="000000"/>
                      <w:lang w:val="en-US" w:eastAsia="zh-CN"/>
                    </w:rPr>
                  </w:pPr>
                  <w:r>
                    <w:rPr>
                      <w:rFonts w:hint="eastAsia"/>
                      <w:color w:val="000000"/>
                      <w:lang w:val="en-US" w:eastAsia="zh-CN"/>
                    </w:rPr>
                    <w:t>8</w:t>
                  </w:r>
                </w:p>
              </w:tc>
              <w:tc>
                <w:tcPr>
                  <w:tcW w:w="1854" w:type="dxa"/>
                  <w:noWrap/>
                  <w:vAlign w:val="center"/>
                </w:tcPr>
                <w:p w14:paraId="4493FC1C">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防腐剂</w:t>
                  </w:r>
                </w:p>
              </w:tc>
              <w:tc>
                <w:tcPr>
                  <w:tcW w:w="1133" w:type="dxa"/>
                  <w:noWrap/>
                  <w:vAlign w:val="center"/>
                </w:tcPr>
                <w:p w14:paraId="25A722F4">
                  <w:pPr>
                    <w:jc w:val="center"/>
                    <w:rPr>
                      <w:rFonts w:hint="default"/>
                      <w:color w:val="000000"/>
                      <w:lang w:val="en-US" w:eastAsia="zh-CN"/>
                    </w:rPr>
                  </w:pPr>
                  <w:r>
                    <w:rPr>
                      <w:color w:val="000000"/>
                    </w:rPr>
                    <w:t>t</w:t>
                  </w:r>
                  <w:r>
                    <w:t>/a</w:t>
                  </w:r>
                </w:p>
              </w:tc>
              <w:tc>
                <w:tcPr>
                  <w:tcW w:w="1827" w:type="dxa"/>
                  <w:noWrap/>
                  <w:vAlign w:val="center"/>
                </w:tcPr>
                <w:p w14:paraId="61C28A03">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73.33</w:t>
                  </w:r>
                </w:p>
              </w:tc>
              <w:tc>
                <w:tcPr>
                  <w:tcW w:w="2406" w:type="dxa"/>
                  <w:noWrap/>
                  <w:vAlign w:val="center"/>
                </w:tcPr>
                <w:p w14:paraId="2E4798A0">
                  <w:pPr>
                    <w:jc w:val="center"/>
                    <w:rPr>
                      <w:rFonts w:hint="default"/>
                      <w:kern w:val="0"/>
                      <w:lang w:val="en-US" w:eastAsia="zh-CN"/>
                    </w:rPr>
                  </w:pPr>
                  <w:r>
                    <w:rPr>
                      <w:rFonts w:hint="eastAsia"/>
                      <w:lang w:val="en-US" w:eastAsia="zh-CN"/>
                    </w:rPr>
                    <w:t>外购</w:t>
                  </w:r>
                </w:p>
              </w:tc>
            </w:tr>
            <w:tr w14:paraId="1AABFA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089" w:type="dxa"/>
                  <w:noWrap/>
                  <w:vAlign w:val="center"/>
                </w:tcPr>
                <w:p w14:paraId="58C21509">
                  <w:pPr>
                    <w:jc w:val="center"/>
                    <w:rPr>
                      <w:rFonts w:hint="eastAsia"/>
                      <w:color w:val="000000"/>
                      <w:lang w:val="en-US" w:eastAsia="zh-CN"/>
                    </w:rPr>
                  </w:pPr>
                  <w:r>
                    <w:rPr>
                      <w:rFonts w:hint="eastAsia"/>
                      <w:color w:val="000000"/>
                      <w:lang w:val="en-US" w:eastAsia="zh-CN"/>
                    </w:rPr>
                    <w:t>9</w:t>
                  </w:r>
                </w:p>
              </w:tc>
              <w:tc>
                <w:tcPr>
                  <w:tcW w:w="1854" w:type="dxa"/>
                  <w:noWrap/>
                  <w:vAlign w:val="center"/>
                </w:tcPr>
                <w:p w14:paraId="29492446">
                  <w:pPr>
                    <w:jc w:val="center"/>
                    <w:rPr>
                      <w:rFonts w:hint="default" w:ascii="Times New Roman" w:hAnsi="Times New Roman" w:eastAsia="宋体" w:cs="Times New Roman"/>
                      <w:lang w:val="en-US" w:eastAsia="zh-CN"/>
                    </w:rPr>
                  </w:pPr>
                  <w:r>
                    <w:rPr>
                      <w:rFonts w:hint="eastAsia" w:cs="Times New Roman"/>
                      <w:lang w:val="en-US" w:eastAsia="zh-CN"/>
                    </w:rPr>
                    <w:t>脱模剂</w:t>
                  </w:r>
                </w:p>
              </w:tc>
              <w:tc>
                <w:tcPr>
                  <w:tcW w:w="1133" w:type="dxa"/>
                  <w:noWrap/>
                  <w:vAlign w:val="center"/>
                </w:tcPr>
                <w:p w14:paraId="66C06D0E">
                  <w:pPr>
                    <w:jc w:val="center"/>
                    <w:rPr>
                      <w:color w:val="000000"/>
                    </w:rPr>
                  </w:pPr>
                  <w:r>
                    <w:rPr>
                      <w:color w:val="000000"/>
                    </w:rPr>
                    <w:t>t</w:t>
                  </w:r>
                  <w:r>
                    <w:t>/a</w:t>
                  </w:r>
                </w:p>
              </w:tc>
              <w:tc>
                <w:tcPr>
                  <w:tcW w:w="1827" w:type="dxa"/>
                  <w:noWrap/>
                  <w:vAlign w:val="center"/>
                </w:tcPr>
                <w:p w14:paraId="46C7DBC6">
                  <w:pPr>
                    <w:jc w:val="center"/>
                    <w:rPr>
                      <w:rFonts w:hint="default" w:ascii="Times New Roman" w:hAnsi="Times New Roman" w:eastAsia="宋体" w:cs="Times New Roman"/>
                      <w:lang w:val="en-US" w:eastAsia="zh-CN"/>
                    </w:rPr>
                  </w:pPr>
                  <w:r>
                    <w:rPr>
                      <w:rFonts w:hint="eastAsia" w:cs="Times New Roman"/>
                      <w:lang w:val="en-US" w:eastAsia="zh-CN"/>
                    </w:rPr>
                    <w:t>12</w:t>
                  </w:r>
                </w:p>
              </w:tc>
              <w:tc>
                <w:tcPr>
                  <w:tcW w:w="2406" w:type="dxa"/>
                  <w:noWrap/>
                  <w:vAlign w:val="center"/>
                </w:tcPr>
                <w:p w14:paraId="5E9D919E">
                  <w:pPr>
                    <w:jc w:val="center"/>
                    <w:rPr>
                      <w:rFonts w:hint="default"/>
                      <w:lang w:val="en-US" w:eastAsia="zh-CN"/>
                    </w:rPr>
                  </w:pPr>
                  <w:r>
                    <w:rPr>
                      <w:rFonts w:hint="eastAsia"/>
                      <w:lang w:val="en-US" w:eastAsia="zh-CN"/>
                    </w:rPr>
                    <w:t>外购</w:t>
                  </w:r>
                </w:p>
              </w:tc>
            </w:tr>
            <w:tr w14:paraId="00C21AC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089" w:type="dxa"/>
                  <w:noWrap/>
                  <w:vAlign w:val="center"/>
                </w:tcPr>
                <w:p w14:paraId="516059AB">
                  <w:pPr>
                    <w:jc w:val="center"/>
                    <w:rPr>
                      <w:rFonts w:hint="eastAsia" w:eastAsia="宋体"/>
                      <w:color w:val="000000"/>
                      <w:lang w:val="en-US" w:eastAsia="zh-CN"/>
                    </w:rPr>
                  </w:pPr>
                  <w:r>
                    <w:rPr>
                      <w:rFonts w:hint="eastAsia"/>
                      <w:color w:val="000000"/>
                      <w:lang w:val="en-US" w:eastAsia="zh-CN"/>
                    </w:rPr>
                    <w:t>10</w:t>
                  </w:r>
                </w:p>
              </w:tc>
              <w:tc>
                <w:tcPr>
                  <w:tcW w:w="1854" w:type="dxa"/>
                  <w:noWrap/>
                  <w:vAlign w:val="center"/>
                </w:tcPr>
                <w:p w14:paraId="0283072A">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电</w:t>
                  </w:r>
                </w:p>
              </w:tc>
              <w:tc>
                <w:tcPr>
                  <w:tcW w:w="1133" w:type="dxa"/>
                  <w:noWrap/>
                  <w:vAlign w:val="center"/>
                </w:tcPr>
                <w:p w14:paraId="7658ED1E">
                  <w:pPr>
                    <w:jc w:val="center"/>
                    <w:rPr>
                      <w:rFonts w:hint="eastAsia"/>
                      <w:color w:val="000000"/>
                      <w:lang w:val="en-US" w:eastAsia="zh-CN"/>
                    </w:rPr>
                  </w:pPr>
                  <w:r>
                    <w:rPr>
                      <w:rFonts w:hint="eastAsia"/>
                      <w:color w:val="000000"/>
                      <w:lang w:val="en-US" w:eastAsia="zh-CN"/>
                    </w:rPr>
                    <w:t>万度</w:t>
                  </w:r>
                  <w:r>
                    <w:rPr>
                      <w:color w:val="000000"/>
                    </w:rPr>
                    <w:t>/a</w:t>
                  </w:r>
                </w:p>
              </w:tc>
              <w:tc>
                <w:tcPr>
                  <w:tcW w:w="1827" w:type="dxa"/>
                  <w:noWrap/>
                  <w:vAlign w:val="center"/>
                </w:tcPr>
                <w:p w14:paraId="568D2CE5">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467.7</w:t>
                  </w:r>
                </w:p>
              </w:tc>
              <w:tc>
                <w:tcPr>
                  <w:tcW w:w="2406" w:type="dxa"/>
                  <w:noWrap/>
                  <w:vAlign w:val="center"/>
                </w:tcPr>
                <w:p w14:paraId="63FD9F58">
                  <w:pPr>
                    <w:jc w:val="center"/>
                    <w:rPr>
                      <w:rFonts w:hint="default"/>
                      <w:kern w:val="0"/>
                      <w:lang w:val="en-US" w:eastAsia="zh-CN"/>
                    </w:rPr>
                  </w:pPr>
                  <w:r>
                    <w:rPr>
                      <w:rFonts w:hint="eastAsia"/>
                      <w:color w:val="000000"/>
                      <w:lang w:val="en-US" w:eastAsia="zh-CN"/>
                    </w:rPr>
                    <w:t>园区提供</w:t>
                  </w:r>
                </w:p>
              </w:tc>
            </w:tr>
            <w:tr w14:paraId="04E313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089" w:type="dxa"/>
                  <w:noWrap/>
                  <w:vAlign w:val="center"/>
                </w:tcPr>
                <w:p w14:paraId="68136439">
                  <w:pPr>
                    <w:jc w:val="center"/>
                    <w:rPr>
                      <w:rFonts w:hint="default"/>
                      <w:color w:val="000000"/>
                      <w:lang w:val="en-US" w:eastAsia="zh-CN"/>
                    </w:rPr>
                  </w:pPr>
                  <w:r>
                    <w:rPr>
                      <w:rFonts w:hint="eastAsia"/>
                      <w:color w:val="000000"/>
                      <w:lang w:val="en-US" w:eastAsia="zh-CN"/>
                    </w:rPr>
                    <w:t>11</w:t>
                  </w:r>
                </w:p>
              </w:tc>
              <w:tc>
                <w:tcPr>
                  <w:tcW w:w="1854" w:type="dxa"/>
                  <w:noWrap/>
                  <w:vAlign w:val="center"/>
                </w:tcPr>
                <w:p w14:paraId="383A3BA8">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水</w:t>
                  </w:r>
                </w:p>
              </w:tc>
              <w:tc>
                <w:tcPr>
                  <w:tcW w:w="1133" w:type="dxa"/>
                  <w:noWrap/>
                  <w:vAlign w:val="center"/>
                </w:tcPr>
                <w:p w14:paraId="33B543EE">
                  <w:pPr>
                    <w:jc w:val="center"/>
                    <w:rPr>
                      <w:rFonts w:hint="eastAsia"/>
                      <w:color w:val="000000"/>
                      <w:lang w:val="en-US" w:eastAsia="zh-CN"/>
                    </w:rPr>
                  </w:pPr>
                  <w:r>
                    <w:rPr>
                      <w:rFonts w:hint="eastAsia"/>
                      <w:color w:val="000000"/>
                      <w:lang w:val="en-US" w:eastAsia="zh-CN"/>
                    </w:rPr>
                    <w:t>万</w:t>
                  </w:r>
                  <w:r>
                    <w:rPr>
                      <w:color w:val="000000"/>
                    </w:rPr>
                    <w:t>t/a</w:t>
                  </w:r>
                </w:p>
              </w:tc>
              <w:tc>
                <w:tcPr>
                  <w:tcW w:w="1827" w:type="dxa"/>
                  <w:noWrap/>
                  <w:vAlign w:val="center"/>
                </w:tcPr>
                <w:p w14:paraId="2FE24971">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11.5</w:t>
                  </w:r>
                </w:p>
              </w:tc>
              <w:tc>
                <w:tcPr>
                  <w:tcW w:w="2406" w:type="dxa"/>
                  <w:noWrap/>
                  <w:vAlign w:val="center"/>
                </w:tcPr>
                <w:p w14:paraId="12F55EF1">
                  <w:pPr>
                    <w:jc w:val="center"/>
                    <w:rPr>
                      <w:rFonts w:hint="default"/>
                      <w:kern w:val="0"/>
                      <w:lang w:val="en-US" w:eastAsia="zh-CN"/>
                    </w:rPr>
                  </w:pPr>
                  <w:r>
                    <w:rPr>
                      <w:rFonts w:hint="eastAsia"/>
                      <w:color w:val="000000"/>
                      <w:lang w:val="en-US" w:eastAsia="zh-CN"/>
                    </w:rPr>
                    <w:t>园区提供</w:t>
                  </w:r>
                </w:p>
              </w:tc>
            </w:tr>
            <w:tr w14:paraId="42BE5E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089" w:type="dxa"/>
                  <w:noWrap/>
                  <w:vAlign w:val="center"/>
                </w:tcPr>
                <w:p w14:paraId="251346AF">
                  <w:pPr>
                    <w:jc w:val="center"/>
                    <w:rPr>
                      <w:rFonts w:hint="default"/>
                      <w:color w:val="000000"/>
                      <w:lang w:val="en-US" w:eastAsia="zh-CN"/>
                    </w:rPr>
                  </w:pPr>
                  <w:r>
                    <w:rPr>
                      <w:rFonts w:hint="eastAsia"/>
                      <w:color w:val="000000"/>
                      <w:lang w:val="en-US" w:eastAsia="zh-CN"/>
                    </w:rPr>
                    <w:t>12</w:t>
                  </w:r>
                </w:p>
              </w:tc>
              <w:tc>
                <w:tcPr>
                  <w:tcW w:w="1854" w:type="dxa"/>
                  <w:noWrap/>
                  <w:vAlign w:val="center"/>
                </w:tcPr>
                <w:p w14:paraId="18979027">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蒸汽</w:t>
                  </w:r>
                </w:p>
              </w:tc>
              <w:tc>
                <w:tcPr>
                  <w:tcW w:w="1133" w:type="dxa"/>
                  <w:noWrap/>
                  <w:vAlign w:val="center"/>
                </w:tcPr>
                <w:p w14:paraId="40565D69">
                  <w:pPr>
                    <w:jc w:val="center"/>
                    <w:rPr>
                      <w:rFonts w:hint="eastAsia"/>
                      <w:color w:val="000000"/>
                      <w:lang w:val="en-US" w:eastAsia="zh-CN"/>
                    </w:rPr>
                  </w:pPr>
                  <w:r>
                    <w:rPr>
                      <w:rFonts w:hint="eastAsia"/>
                      <w:color w:val="000000"/>
                      <w:lang w:val="en-US" w:eastAsia="zh-CN"/>
                    </w:rPr>
                    <w:t>万</w:t>
                  </w:r>
                  <w:r>
                    <w:rPr>
                      <w:rFonts w:hint="eastAsia"/>
                      <w:lang w:val="en-US" w:eastAsia="zh-CN"/>
                    </w:rPr>
                    <w:t>m</w:t>
                  </w:r>
                  <w:r>
                    <w:rPr>
                      <w:rFonts w:hint="eastAsia"/>
                      <w:vertAlign w:val="superscript"/>
                      <w:lang w:val="en-US" w:eastAsia="zh-CN"/>
                    </w:rPr>
                    <w:t>3</w:t>
                  </w:r>
                  <w:r>
                    <w:t>/a</w:t>
                  </w:r>
                </w:p>
              </w:tc>
              <w:tc>
                <w:tcPr>
                  <w:tcW w:w="1827" w:type="dxa"/>
                  <w:noWrap/>
                  <w:vAlign w:val="center"/>
                </w:tcPr>
                <w:p w14:paraId="0794493D">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300</w:t>
                  </w:r>
                </w:p>
              </w:tc>
              <w:tc>
                <w:tcPr>
                  <w:tcW w:w="2406" w:type="dxa"/>
                  <w:noWrap/>
                  <w:vAlign w:val="center"/>
                </w:tcPr>
                <w:p w14:paraId="44D5B96C">
                  <w:pPr>
                    <w:jc w:val="center"/>
                    <w:rPr>
                      <w:rFonts w:hint="eastAsia"/>
                      <w:kern w:val="0"/>
                      <w:lang w:val="en-US" w:eastAsia="zh-CN"/>
                    </w:rPr>
                  </w:pPr>
                  <w:r>
                    <w:rPr>
                      <w:rFonts w:hint="eastAsia"/>
                      <w:color w:val="000000"/>
                      <w:lang w:val="en-US" w:eastAsia="zh-CN"/>
                    </w:rPr>
                    <w:t>园区提供</w:t>
                  </w:r>
                </w:p>
              </w:tc>
            </w:tr>
          </w:tbl>
          <w:p w14:paraId="73926818">
            <w:pPr>
              <w:pStyle w:val="4"/>
              <w:ind w:firstLine="482" w:firstLineChars="200"/>
              <w:rPr>
                <w:sz w:val="24"/>
                <w:szCs w:val="24"/>
              </w:rPr>
            </w:pPr>
            <w:r>
              <w:rPr>
                <w:rFonts w:hint="eastAsia"/>
                <w:sz w:val="24"/>
                <w:szCs w:val="24"/>
              </w:rPr>
              <w:t>4.1原料的物化性质</w:t>
            </w:r>
          </w:p>
          <w:p w14:paraId="7FA96B27">
            <w:pPr>
              <w:pStyle w:val="4"/>
              <w:ind w:firstLine="482" w:firstLineChars="200"/>
              <w:rPr>
                <w:rFonts w:hint="eastAsia" w:eastAsia="宋体"/>
                <w:sz w:val="24"/>
                <w:szCs w:val="24"/>
                <w:lang w:val="en-US" w:eastAsia="zh-CN"/>
              </w:rPr>
            </w:pPr>
            <w:r>
              <w:rPr>
                <w:rFonts w:hint="eastAsia"/>
                <w:sz w:val="24"/>
                <w:szCs w:val="24"/>
              </w:rPr>
              <w:t>4.1.1</w:t>
            </w:r>
            <w:r>
              <w:rPr>
                <w:rFonts w:hint="eastAsia"/>
                <w:color w:val="000000"/>
                <w:sz w:val="24"/>
                <w:szCs w:val="24"/>
                <w:lang w:val="en-US" w:eastAsia="zh-CN"/>
              </w:rPr>
              <w:t>水泥</w:t>
            </w:r>
          </w:p>
          <w:p w14:paraId="749B79F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主要成分为硅酸三钙、硅酸二钙、铝酸三钙，</w:t>
            </w:r>
            <w:r>
              <w:rPr>
                <w:rFonts w:hint="default" w:ascii="Times New Roman" w:hAnsi="Times New Roman" w:eastAsia="宋体" w:cs="Times New Roman"/>
                <w:sz w:val="24"/>
                <w:szCs w:val="24"/>
              </w:rPr>
              <w:t>其质量要求满足《通用硅酸盐水泥》</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GB</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175-20</w:t>
            </w:r>
            <w:r>
              <w:rPr>
                <w:rFonts w:hint="default" w:ascii="Times New Roman" w:hAnsi="Times New Roman" w:eastAsia="宋体" w:cs="Times New Roman"/>
                <w:sz w:val="24"/>
                <w:szCs w:val="24"/>
                <w:lang w:val="en-US" w:eastAsia="zh-CN"/>
              </w:rPr>
              <w:t>20</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标准。水泥在生产加工过程中提供钙质材料，贡献加气混凝土的强度，主要作用是保证浇注的稳定性，加速坯体的硬化和切割时的坯体塑性强度，水泥通过汽运方式输送至筒仓</w:t>
            </w:r>
            <w:r>
              <w:rPr>
                <w:rFonts w:hint="default" w:ascii="Times New Roman" w:hAnsi="Times New Roman" w:eastAsia="宋体" w:cs="Times New Roman"/>
                <w:color w:val="000000"/>
                <w:kern w:val="0"/>
                <w:sz w:val="24"/>
                <w:szCs w:val="24"/>
                <w:lang w:val="en-US" w:eastAsia="zh-CN" w:bidi="ar"/>
              </w:rPr>
              <w:t>。加水搅拌后成浆体，能在空气中硬化或者在水中更好的硬化，并能把砂、石等材料牢固地胶结在一起。</w:t>
            </w:r>
          </w:p>
          <w:p w14:paraId="6ECC216C">
            <w:pPr>
              <w:pStyle w:val="2"/>
              <w:keepNext w:val="0"/>
              <w:keepLines w:val="0"/>
              <w:pageBreakBefore w:val="0"/>
              <w:kinsoku/>
              <w:wordWrap/>
              <w:overflowPunct/>
              <w:topLinePunct w:val="0"/>
              <w:autoSpaceDE/>
              <w:autoSpaceDN/>
              <w:bidi w:val="0"/>
              <w:adjustRightInd/>
              <w:snapToGrid/>
              <w:spacing w:before="0" w:after="0" w:line="360" w:lineRule="auto"/>
              <w:ind w:right="0" w:firstLine="482" w:firstLineChars="200"/>
              <w:textAlignment w:val="auto"/>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rPr>
              <w:t>4.1.2</w:t>
            </w:r>
            <w:r>
              <w:rPr>
                <w:rFonts w:hint="default" w:ascii="Times New Roman" w:hAnsi="Times New Roman" w:eastAsia="宋体" w:cs="Times New Roman"/>
                <w:b/>
                <w:bCs/>
                <w:color w:val="000000"/>
                <w:sz w:val="24"/>
                <w:szCs w:val="24"/>
                <w:lang w:val="en-US" w:eastAsia="zh-CN"/>
              </w:rPr>
              <w:t>石灰</w:t>
            </w:r>
          </w:p>
          <w:p w14:paraId="267612F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生石灰质量满足《硅酸盐建筑制品用生石灰》(JC/T</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621-2009)相应标准要求，活性氧化钙的含量&gt;80%、细度</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0.08mm方孔筛余量</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&lt;10%、氧化镁的含量&lt;2%、消化温度为53°C、消化速度为10~15min、过烧石灰量&lt;2%。生产过程中加入生石灰可以提供有效氧化钙与硅质物料中SiO</w:t>
            </w:r>
            <w:r>
              <w:rPr>
                <w:rFonts w:hint="default" w:ascii="Times New Roman" w:hAnsi="Times New Roman" w:eastAsia="宋体" w:cs="Times New Roman"/>
                <w:sz w:val="24"/>
                <w:szCs w:val="24"/>
                <w:vertAlign w:val="subscript"/>
              </w:rPr>
              <w:t>2</w:t>
            </w:r>
            <w:r>
              <w:rPr>
                <w:rFonts w:hint="default" w:ascii="Times New Roman" w:hAnsi="Times New Roman" w:eastAsia="宋体" w:cs="Times New Roman"/>
                <w:sz w:val="24"/>
                <w:szCs w:val="24"/>
              </w:rPr>
              <w:t>、A1</w:t>
            </w:r>
            <w:r>
              <w:rPr>
                <w:rFonts w:hint="default" w:ascii="Times New Roman" w:hAnsi="Times New Roman" w:eastAsia="宋体" w:cs="Times New Roman"/>
                <w:sz w:val="24"/>
                <w:szCs w:val="24"/>
                <w:vertAlign w:val="subscript"/>
              </w:rPr>
              <w:t>2</w:t>
            </w:r>
            <w:r>
              <w:rPr>
                <w:rFonts w:hint="default" w:ascii="Times New Roman" w:hAnsi="Times New Roman" w:eastAsia="宋体" w:cs="Times New Roman"/>
                <w:sz w:val="24"/>
                <w:szCs w:val="24"/>
              </w:rPr>
              <w:t>O</w:t>
            </w:r>
            <w:r>
              <w:rPr>
                <w:rFonts w:hint="default" w:ascii="Times New Roman" w:hAnsi="Times New Roman" w:eastAsia="宋体" w:cs="Times New Roman"/>
                <w:sz w:val="24"/>
                <w:szCs w:val="24"/>
                <w:vertAlign w:val="subscript"/>
              </w:rPr>
              <w:t>3</w:t>
            </w:r>
            <w:r>
              <w:rPr>
                <w:rFonts w:hint="default" w:ascii="Times New Roman" w:hAnsi="Times New Roman" w:eastAsia="宋体" w:cs="Times New Roman"/>
                <w:sz w:val="24"/>
                <w:szCs w:val="24"/>
              </w:rPr>
              <w:t>反应，生成水化产物，增强制品的强度。另一方面，生石灰提供的碱度可与铝粉膏发生反应，石灰水化时放出热量，促使混凝土砌块坯体硬化。项目所用生石灰通过汽车运输至厂区生石灰堆存场。</w:t>
            </w:r>
          </w:p>
          <w:p w14:paraId="37B738EC">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rPr>
              <w:t>4.1.</w:t>
            </w:r>
            <w:r>
              <w:rPr>
                <w:rFonts w:hint="eastAsia" w:cs="Times New Roman"/>
                <w:b/>
                <w:bCs/>
                <w:sz w:val="24"/>
                <w:szCs w:val="24"/>
                <w:lang w:val="en-US" w:eastAsia="zh-CN"/>
              </w:rPr>
              <w:t>3</w:t>
            </w:r>
            <w:r>
              <w:rPr>
                <w:rFonts w:hint="default" w:ascii="Times New Roman" w:hAnsi="Times New Roman" w:eastAsia="宋体" w:cs="Times New Roman"/>
                <w:b/>
                <w:bCs/>
                <w:color w:val="000000"/>
                <w:kern w:val="0"/>
                <w:sz w:val="24"/>
                <w:szCs w:val="24"/>
                <w:lang w:val="en-US" w:eastAsia="zh-CN"/>
              </w:rPr>
              <w:t>铝粉（膏）</w:t>
            </w:r>
          </w:p>
          <w:p w14:paraId="1FF101A5">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铝粉膏是以优质高纯铝作原料，经高温雾化，以水为介质，加特殊水溶剂研磨精制加工而成的银灰色、鳞片状颗粒块。铝粉膏湿度较大，存储时黏着成颗粒块状，使用过程中一般不容易起尘。铝粉膏具有活性铝高、易分散于水、发气充分、使用方便稳定等特点，多用于加气混凝土浇筑生产，是硅酸盐制品的理想添加剂、发气剂</w:t>
            </w:r>
            <w:r>
              <w:rPr>
                <w:rFonts w:hint="default" w:ascii="Times New Roman" w:hAnsi="Times New Roman" w:eastAsia="宋体" w:cs="Times New Roman"/>
                <w:sz w:val="24"/>
                <w:szCs w:val="24"/>
                <w:lang w:eastAsia="zh-CN"/>
              </w:rPr>
              <w:t>。</w:t>
            </w:r>
          </w:p>
          <w:p w14:paraId="2D3EFDE8">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b/>
                <w:bCs/>
                <w:sz w:val="24"/>
                <w:szCs w:val="24"/>
              </w:rPr>
              <w:t>4.1.</w:t>
            </w:r>
            <w:r>
              <w:rPr>
                <w:rFonts w:hint="eastAsia" w:cs="Times New Roman"/>
                <w:b/>
                <w:bCs/>
                <w:sz w:val="24"/>
                <w:szCs w:val="24"/>
                <w:lang w:val="en-US" w:eastAsia="zh-CN"/>
              </w:rPr>
              <w:t>4</w:t>
            </w:r>
            <w:r>
              <w:rPr>
                <w:rFonts w:hint="eastAsia" w:cs="Times New Roman"/>
                <w:b/>
                <w:bCs/>
                <w:color w:val="000000"/>
                <w:kern w:val="0"/>
                <w:sz w:val="24"/>
                <w:szCs w:val="24"/>
                <w:lang w:val="en-US" w:eastAsia="zh-CN"/>
              </w:rPr>
              <w:t>防腐</w:t>
            </w:r>
            <w:r>
              <w:rPr>
                <w:rFonts w:hint="default" w:ascii="Times New Roman" w:hAnsi="Times New Roman" w:eastAsia="宋体" w:cs="Times New Roman"/>
                <w:b/>
                <w:bCs w:val="0"/>
                <w:color w:val="000000"/>
                <w:sz w:val="24"/>
                <w:szCs w:val="24"/>
                <w:lang w:val="en-US" w:eastAsia="zh-CN"/>
              </w:rPr>
              <w:t>剂</w:t>
            </w:r>
          </w:p>
          <w:p w14:paraId="59CBBF1D">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default" w:ascii="Times New Roman" w:hAnsi="Times New Roman" w:eastAsia="宋体" w:cs="Times New Roman"/>
                <w:bCs w:val="0"/>
                <w:kern w:val="0"/>
                <w:sz w:val="24"/>
                <w:szCs w:val="24"/>
                <w:lang w:val="en-US" w:eastAsia="zh-CN" w:bidi="ar-SA"/>
              </w:rPr>
            </w:pPr>
            <w:r>
              <w:rPr>
                <w:rFonts w:hint="default" w:ascii="Times New Roman" w:hAnsi="Times New Roman" w:eastAsia="宋体" w:cs="Times New Roman"/>
                <w:bCs w:val="0"/>
                <w:kern w:val="0"/>
                <w:sz w:val="24"/>
                <w:szCs w:val="24"/>
                <w:lang w:val="en-US" w:eastAsia="zh-CN" w:bidi="ar-SA"/>
              </w:rPr>
              <w:t>化学性质</w:t>
            </w:r>
            <w:r>
              <w:rPr>
                <w:rFonts w:hint="eastAsia" w:ascii="Times New Roman" w:hAnsi="Times New Roman" w:eastAsia="宋体" w:cs="Times New Roman"/>
                <w:bCs w:val="0"/>
                <w:kern w:val="0"/>
                <w:sz w:val="24"/>
                <w:szCs w:val="24"/>
                <w:lang w:val="en-US" w:eastAsia="zh-CN" w:bidi="ar-SA"/>
              </w:rPr>
              <w:t>：</w:t>
            </w:r>
            <w:r>
              <w:rPr>
                <w:rFonts w:hint="default" w:ascii="Times New Roman" w:hAnsi="Times New Roman" w:eastAsia="宋体" w:cs="Times New Roman"/>
                <w:bCs w:val="0"/>
                <w:kern w:val="0"/>
                <w:sz w:val="24"/>
                <w:szCs w:val="24"/>
                <w:lang w:val="en-US" w:eastAsia="zh-CN" w:bidi="ar-SA"/>
              </w:rPr>
              <w:t>为黄色粘稠液。相对密度（25℃）1.14～1.18。1.原料准备：根据所选择的防腐剂种类，准备相应的原料。常见的原料包括有机化合物、无机盐类和合成材料等。2.反应合成：将原料放入反应釜中进行化学反应。这些反应可以是酯化反应、取代反应、氧化反应等。通过不同的反应条件和催化剂，可以合成出不同类型的防腐剂。3.提取和分离：对反应产物进行提取和分离，以得到纯净的防腐剂。</w:t>
            </w:r>
          </w:p>
          <w:p w14:paraId="19D5441F">
            <w:pPr>
              <w:pStyle w:val="4"/>
              <w:rPr>
                <w:sz w:val="24"/>
                <w:szCs w:val="24"/>
              </w:rPr>
            </w:pPr>
            <w:r>
              <w:rPr>
                <w:rFonts w:hint="eastAsia" w:ascii="Times New Roman" w:hAnsi="Times New Roman"/>
                <w:b/>
                <w:bCs w:val="0"/>
                <w:color w:val="auto"/>
                <w:kern w:val="2"/>
                <w:sz w:val="24"/>
                <w:szCs w:val="24"/>
                <w:lang w:val="en-US" w:eastAsia="zh-CN"/>
              </w:rPr>
              <w:t>5</w:t>
            </w:r>
            <w:r>
              <w:rPr>
                <w:rFonts w:hint="eastAsia"/>
                <w:sz w:val="24"/>
                <w:szCs w:val="24"/>
              </w:rPr>
              <w:t>.</w:t>
            </w:r>
            <w:r>
              <w:rPr>
                <w:sz w:val="24"/>
                <w:szCs w:val="24"/>
              </w:rPr>
              <w:t>公用工程</w:t>
            </w:r>
          </w:p>
          <w:p w14:paraId="4E783715">
            <w:pPr>
              <w:pStyle w:val="5"/>
              <w:ind w:firstLine="422"/>
              <w:rPr>
                <w:sz w:val="24"/>
                <w:szCs w:val="24"/>
              </w:rPr>
            </w:pPr>
            <w:r>
              <w:rPr>
                <w:rFonts w:hint="eastAsia"/>
                <w:sz w:val="24"/>
                <w:szCs w:val="24"/>
                <w:lang w:val="en-US" w:eastAsia="zh-CN"/>
              </w:rPr>
              <w:t>5</w:t>
            </w:r>
            <w:r>
              <w:rPr>
                <w:rFonts w:hint="eastAsia"/>
                <w:sz w:val="24"/>
                <w:szCs w:val="24"/>
              </w:rPr>
              <w:t>.1</w:t>
            </w:r>
            <w:r>
              <w:rPr>
                <w:sz w:val="24"/>
                <w:szCs w:val="24"/>
              </w:rPr>
              <w:t>供电</w:t>
            </w:r>
          </w:p>
          <w:p w14:paraId="430434FC">
            <w:pPr>
              <w:overflowPunct w:val="0"/>
              <w:spacing w:line="360" w:lineRule="auto"/>
              <w:ind w:firstLine="480" w:firstLineChars="200"/>
              <w:rPr>
                <w:snapToGrid w:val="0"/>
                <w:kern w:val="0"/>
                <w:sz w:val="24"/>
                <w:szCs w:val="24"/>
              </w:rPr>
            </w:pPr>
            <w:r>
              <w:rPr>
                <w:snapToGrid w:val="0"/>
                <w:kern w:val="0"/>
                <w:sz w:val="24"/>
                <w:szCs w:val="24"/>
              </w:rPr>
              <w:t>项目区用电</w:t>
            </w:r>
            <w:r>
              <w:rPr>
                <w:sz w:val="24"/>
                <w:szCs w:val="24"/>
              </w:rPr>
              <w:t>由</w:t>
            </w:r>
            <w:r>
              <w:rPr>
                <w:rFonts w:hint="eastAsia"/>
                <w:sz w:val="24"/>
                <w:szCs w:val="24"/>
              </w:rPr>
              <w:t>园区</w:t>
            </w:r>
            <w:r>
              <w:rPr>
                <w:rFonts w:hint="eastAsia"/>
                <w:snapToGrid w:val="0"/>
                <w:kern w:val="0"/>
                <w:sz w:val="24"/>
                <w:szCs w:val="24"/>
              </w:rPr>
              <w:t>供电管网统一供给，</w:t>
            </w:r>
            <w:r>
              <w:rPr>
                <w:sz w:val="24"/>
                <w:szCs w:val="24"/>
              </w:rPr>
              <w:t>电力充足，</w:t>
            </w:r>
            <w:r>
              <w:rPr>
                <w:snapToGrid w:val="0"/>
                <w:kern w:val="0"/>
                <w:sz w:val="24"/>
                <w:szCs w:val="24"/>
              </w:rPr>
              <w:t>可满足项目用电负荷的需要及对供电可靠性的要求。</w:t>
            </w:r>
          </w:p>
          <w:p w14:paraId="05346E82">
            <w:pPr>
              <w:pStyle w:val="5"/>
              <w:ind w:firstLine="422"/>
              <w:rPr>
                <w:sz w:val="24"/>
                <w:szCs w:val="24"/>
              </w:rPr>
            </w:pPr>
            <w:r>
              <w:rPr>
                <w:rFonts w:hint="eastAsia"/>
                <w:sz w:val="24"/>
                <w:szCs w:val="24"/>
                <w:lang w:val="en-US" w:eastAsia="zh-CN"/>
              </w:rPr>
              <w:t>5</w:t>
            </w:r>
            <w:r>
              <w:rPr>
                <w:rFonts w:hint="eastAsia"/>
                <w:sz w:val="24"/>
                <w:szCs w:val="24"/>
              </w:rPr>
              <w:t>.2</w:t>
            </w:r>
            <w:r>
              <w:rPr>
                <w:sz w:val="24"/>
                <w:szCs w:val="24"/>
              </w:rPr>
              <w:t>给</w:t>
            </w:r>
            <w:r>
              <w:rPr>
                <w:rFonts w:hint="eastAsia"/>
                <w:sz w:val="24"/>
                <w:szCs w:val="24"/>
              </w:rPr>
              <w:t>水</w:t>
            </w:r>
          </w:p>
          <w:p w14:paraId="4378DC5C">
            <w:pPr>
              <w:overflowPunct w:val="0"/>
              <w:spacing w:line="360" w:lineRule="auto"/>
              <w:ind w:firstLine="480" w:firstLineChars="200"/>
              <w:rPr>
                <w:snapToGrid w:val="0"/>
                <w:kern w:val="0"/>
                <w:sz w:val="24"/>
                <w:szCs w:val="24"/>
              </w:rPr>
            </w:pPr>
            <w:r>
              <w:rPr>
                <w:rStyle w:val="39"/>
                <w:sz w:val="24"/>
                <w:szCs w:val="24"/>
              </w:rPr>
              <w:t>本项目</w:t>
            </w:r>
            <w:r>
              <w:rPr>
                <w:snapToGrid w:val="0"/>
                <w:kern w:val="0"/>
                <w:sz w:val="24"/>
                <w:szCs w:val="24"/>
              </w:rPr>
              <w:t>用水来自</w:t>
            </w:r>
            <w:r>
              <w:rPr>
                <w:rFonts w:hint="eastAsia"/>
                <w:snapToGrid w:val="0"/>
                <w:kern w:val="0"/>
                <w:sz w:val="24"/>
                <w:szCs w:val="24"/>
              </w:rPr>
              <w:t>园区统一供给，可满足项目用水</w:t>
            </w:r>
            <w:r>
              <w:rPr>
                <w:snapToGrid w:val="0"/>
                <w:kern w:val="0"/>
                <w:sz w:val="24"/>
                <w:szCs w:val="24"/>
              </w:rPr>
              <w:t>。主要为少量生活饮用水，供水水质达到《生活饮用水卫生标准》（GB 5749-2006）的要求。</w:t>
            </w:r>
          </w:p>
          <w:p w14:paraId="333A4F04">
            <w:pPr>
              <w:topLinePunct/>
              <w:spacing w:line="360" w:lineRule="auto"/>
              <w:ind w:firstLine="480" w:firstLineChars="200"/>
              <w:rPr>
                <w:rFonts w:hint="default"/>
                <w:snapToGrid w:val="0"/>
                <w:kern w:val="0"/>
                <w:sz w:val="24"/>
                <w:szCs w:val="24"/>
                <w:lang w:val="en-US"/>
              </w:rPr>
            </w:pPr>
            <w:r>
              <w:rPr>
                <w:rFonts w:hint="eastAsia"/>
                <w:snapToGrid w:val="0"/>
                <w:kern w:val="0"/>
                <w:sz w:val="24"/>
                <w:szCs w:val="24"/>
              </w:rPr>
              <w:t>（1）</w:t>
            </w:r>
            <w:r>
              <w:rPr>
                <w:snapToGrid w:val="0"/>
                <w:kern w:val="0"/>
                <w:sz w:val="24"/>
                <w:szCs w:val="24"/>
              </w:rPr>
              <w:t>生产用水量：</w:t>
            </w:r>
            <w:r>
              <w:rPr>
                <w:rFonts w:hint="eastAsia"/>
                <w:snapToGrid w:val="0"/>
                <w:kern w:val="0"/>
                <w:sz w:val="24"/>
                <w:szCs w:val="24"/>
                <w:lang w:val="en-US" w:eastAsia="zh-CN"/>
              </w:rPr>
              <w:t>根据业主提供资料</w:t>
            </w:r>
            <w:r>
              <w:rPr>
                <w:rFonts w:hint="eastAsia" w:cs="Times New Roman"/>
                <w:color w:val="000000"/>
                <w:sz w:val="24"/>
                <w:szCs w:val="24"/>
                <w:lang w:eastAsia="zh-CN"/>
              </w:rPr>
              <w:t>，</w:t>
            </w:r>
            <w:r>
              <w:rPr>
                <w:rFonts w:hint="eastAsia" w:cs="Times New Roman"/>
                <w:color w:val="000000"/>
                <w:sz w:val="24"/>
                <w:szCs w:val="24"/>
                <w:lang w:val="en-US" w:eastAsia="zh-CN"/>
              </w:rPr>
              <w:t>本项目</w:t>
            </w:r>
            <w:r>
              <w:rPr>
                <w:rFonts w:hint="default" w:ascii="Times New Roman" w:hAnsi="Times New Roman" w:cs="Times New Roman"/>
                <w:color w:val="000000"/>
                <w:sz w:val="24"/>
                <w:szCs w:val="24"/>
              </w:rPr>
              <w:t>生产用水</w:t>
            </w:r>
            <w:r>
              <w:rPr>
                <w:rFonts w:hint="eastAsia" w:ascii="Times New Roman" w:hAnsi="Times New Roman" w:cs="Times New Roman"/>
                <w:color w:val="000000"/>
                <w:sz w:val="24"/>
                <w:szCs w:val="24"/>
                <w:lang w:eastAsia="zh-CN"/>
              </w:rPr>
              <w:t>：</w:t>
            </w:r>
            <w:r>
              <w:rPr>
                <w:rFonts w:hint="eastAsia" w:cs="Times New Roman"/>
                <w:color w:val="000000"/>
                <w:sz w:val="24"/>
                <w:szCs w:val="24"/>
                <w:lang w:val="en-US" w:eastAsia="zh-CN"/>
              </w:rPr>
              <w:t>80</w:t>
            </w:r>
            <w:r>
              <w:rPr>
                <w:sz w:val="24"/>
                <w:szCs w:val="24"/>
              </w:rPr>
              <w:t>m</w:t>
            </w:r>
            <w:r>
              <w:rPr>
                <w:sz w:val="24"/>
                <w:szCs w:val="24"/>
                <w:vertAlign w:val="superscript"/>
              </w:rPr>
              <w:t>3</w:t>
            </w:r>
            <w:r>
              <w:rPr>
                <w:sz w:val="24"/>
                <w:szCs w:val="24"/>
              </w:rPr>
              <w:t>/</w:t>
            </w:r>
            <w:r>
              <w:rPr>
                <w:rFonts w:hint="eastAsia"/>
                <w:sz w:val="24"/>
                <w:szCs w:val="24"/>
                <w:lang w:val="en-US" w:eastAsia="zh-CN"/>
              </w:rPr>
              <w:t>d</w:t>
            </w:r>
            <w:r>
              <w:rPr>
                <w:rFonts w:hint="eastAsia"/>
                <w:sz w:val="24"/>
                <w:szCs w:val="24"/>
                <w:lang w:eastAsia="zh-CN"/>
              </w:rPr>
              <w:t>，</w:t>
            </w:r>
            <w:r>
              <w:rPr>
                <w:rFonts w:hint="eastAsia"/>
                <w:sz w:val="24"/>
                <w:szCs w:val="24"/>
                <w:lang w:val="en-US" w:eastAsia="zh-CN"/>
              </w:rPr>
              <w:t>1.92</w:t>
            </w:r>
            <w:r>
              <w:rPr>
                <w:rFonts w:hint="eastAsia" w:ascii="Times New Roman" w:hAnsi="Times New Roman" w:cs="Times New Roman"/>
                <w:color w:val="000000"/>
                <w:sz w:val="24"/>
                <w:szCs w:val="24"/>
                <w:lang w:val="en-US" w:eastAsia="zh-CN"/>
              </w:rPr>
              <w:t>万</w:t>
            </w:r>
            <w:r>
              <w:rPr>
                <w:sz w:val="24"/>
                <w:szCs w:val="24"/>
              </w:rPr>
              <w:t>m</w:t>
            </w:r>
            <w:r>
              <w:rPr>
                <w:sz w:val="24"/>
                <w:szCs w:val="24"/>
                <w:vertAlign w:val="superscript"/>
              </w:rPr>
              <w:t>3</w:t>
            </w:r>
            <w:r>
              <w:rPr>
                <w:sz w:val="24"/>
                <w:szCs w:val="24"/>
              </w:rPr>
              <w:t>/a</w:t>
            </w:r>
            <w:r>
              <w:rPr>
                <w:rFonts w:hint="eastAsia"/>
                <w:sz w:val="24"/>
                <w:szCs w:val="24"/>
                <w:lang w:val="en-US" w:eastAsia="zh-CN"/>
              </w:rPr>
              <w:t>。</w:t>
            </w:r>
          </w:p>
          <w:p w14:paraId="74583A6F">
            <w:pPr>
              <w:topLinePunct/>
              <w:spacing w:line="360" w:lineRule="auto"/>
              <w:ind w:firstLine="480" w:firstLineChars="200"/>
              <w:rPr>
                <w:snapToGrid w:val="0"/>
                <w:kern w:val="0"/>
                <w:sz w:val="24"/>
                <w:szCs w:val="24"/>
              </w:rPr>
            </w:pPr>
            <w:r>
              <w:rPr>
                <w:rFonts w:hint="eastAsia"/>
                <w:snapToGrid w:val="0"/>
                <w:kern w:val="0"/>
                <w:sz w:val="24"/>
                <w:szCs w:val="24"/>
              </w:rPr>
              <w:t>（2）</w:t>
            </w:r>
            <w:r>
              <w:rPr>
                <w:snapToGrid w:val="0"/>
                <w:kern w:val="0"/>
                <w:sz w:val="24"/>
                <w:szCs w:val="24"/>
              </w:rPr>
              <w:t>生活用水量：根据《建筑给水排水设计规范》（GB50015-2009）及参照《新疆维吾尔自治区工业和生活用水定额》（2007.7.31）中提供的用水定额，确定项目区</w:t>
            </w:r>
            <w:r>
              <w:rPr>
                <w:rFonts w:hint="eastAsia"/>
                <w:snapToGrid w:val="0"/>
                <w:kern w:val="0"/>
                <w:sz w:val="24"/>
                <w:szCs w:val="24"/>
              </w:rPr>
              <w:t>食</w:t>
            </w:r>
            <w:r>
              <w:rPr>
                <w:snapToGrid w:val="0"/>
                <w:kern w:val="0"/>
                <w:sz w:val="24"/>
                <w:szCs w:val="24"/>
              </w:rPr>
              <w:t>宿工作人员的用水定额为0.</w:t>
            </w:r>
            <w:r>
              <w:rPr>
                <w:rFonts w:hint="eastAsia"/>
                <w:snapToGrid w:val="0"/>
                <w:kern w:val="0"/>
                <w:sz w:val="24"/>
                <w:szCs w:val="24"/>
                <w:lang w:val="en-US" w:eastAsia="zh-CN"/>
              </w:rPr>
              <w:t>1</w:t>
            </w:r>
            <w:r>
              <w:rPr>
                <w:snapToGrid w:val="0"/>
                <w:kern w:val="0"/>
                <w:sz w:val="24"/>
                <w:szCs w:val="24"/>
              </w:rPr>
              <w:t>m</w:t>
            </w:r>
            <w:r>
              <w:rPr>
                <w:snapToGrid w:val="0"/>
                <w:kern w:val="0"/>
                <w:sz w:val="24"/>
                <w:szCs w:val="24"/>
                <w:vertAlign w:val="superscript"/>
              </w:rPr>
              <w:t>3</w:t>
            </w:r>
            <w:r>
              <w:rPr>
                <w:snapToGrid w:val="0"/>
                <w:kern w:val="0"/>
                <w:sz w:val="24"/>
                <w:szCs w:val="24"/>
              </w:rPr>
              <w:t>/（d.cap），</w:t>
            </w:r>
            <w:r>
              <w:rPr>
                <w:rFonts w:hint="eastAsia"/>
                <w:snapToGrid w:val="0"/>
                <w:kern w:val="0"/>
                <w:sz w:val="24"/>
                <w:szCs w:val="24"/>
              </w:rPr>
              <w:t>工作</w:t>
            </w:r>
            <w:r>
              <w:rPr>
                <w:snapToGrid w:val="0"/>
                <w:kern w:val="0"/>
                <w:sz w:val="24"/>
                <w:szCs w:val="24"/>
              </w:rPr>
              <w:t>员工</w:t>
            </w:r>
            <w:r>
              <w:rPr>
                <w:rFonts w:hint="eastAsia"/>
                <w:snapToGrid w:val="0"/>
                <w:kern w:val="0"/>
                <w:sz w:val="24"/>
                <w:szCs w:val="24"/>
                <w:lang w:val="en-US" w:eastAsia="zh-CN"/>
              </w:rPr>
              <w:t>53</w:t>
            </w:r>
            <w:r>
              <w:rPr>
                <w:snapToGrid w:val="0"/>
                <w:kern w:val="0"/>
                <w:sz w:val="24"/>
                <w:szCs w:val="24"/>
              </w:rPr>
              <w:t>人，年工作天数</w:t>
            </w:r>
            <w:r>
              <w:rPr>
                <w:rFonts w:hint="eastAsia"/>
                <w:snapToGrid w:val="0"/>
                <w:kern w:val="0"/>
                <w:sz w:val="24"/>
                <w:szCs w:val="24"/>
                <w:lang w:val="en-US" w:eastAsia="zh-CN"/>
              </w:rPr>
              <w:t>240</w:t>
            </w:r>
            <w:r>
              <w:rPr>
                <w:snapToGrid w:val="0"/>
                <w:kern w:val="0"/>
                <w:sz w:val="24"/>
                <w:szCs w:val="24"/>
              </w:rPr>
              <w:t>天，则生活用水量为</w:t>
            </w:r>
            <w:r>
              <w:rPr>
                <w:rFonts w:hint="eastAsia"/>
                <w:snapToGrid w:val="0"/>
                <w:kern w:val="0"/>
                <w:sz w:val="24"/>
                <w:szCs w:val="24"/>
                <w:lang w:val="en-US" w:eastAsia="zh-CN"/>
              </w:rPr>
              <w:t>5.3</w:t>
            </w:r>
            <w:r>
              <w:rPr>
                <w:snapToGrid w:val="0"/>
                <w:kern w:val="0"/>
                <w:sz w:val="24"/>
                <w:szCs w:val="24"/>
              </w:rPr>
              <w:t>m</w:t>
            </w:r>
            <w:r>
              <w:rPr>
                <w:snapToGrid w:val="0"/>
                <w:kern w:val="0"/>
                <w:sz w:val="24"/>
                <w:szCs w:val="24"/>
                <w:vertAlign w:val="superscript"/>
              </w:rPr>
              <w:t>3</w:t>
            </w:r>
            <w:r>
              <w:rPr>
                <w:snapToGrid w:val="0"/>
                <w:kern w:val="0"/>
                <w:sz w:val="24"/>
                <w:szCs w:val="24"/>
              </w:rPr>
              <w:t>/d（</w:t>
            </w:r>
            <w:r>
              <w:rPr>
                <w:rFonts w:hint="eastAsia"/>
                <w:snapToGrid w:val="0"/>
                <w:kern w:val="0"/>
                <w:sz w:val="24"/>
                <w:szCs w:val="24"/>
              </w:rPr>
              <w:t>1</w:t>
            </w:r>
            <w:r>
              <w:rPr>
                <w:rFonts w:hint="eastAsia"/>
                <w:snapToGrid w:val="0"/>
                <w:kern w:val="0"/>
                <w:sz w:val="24"/>
                <w:szCs w:val="24"/>
                <w:lang w:val="en-US" w:eastAsia="zh-CN"/>
              </w:rPr>
              <w:t>272</w:t>
            </w:r>
            <w:r>
              <w:rPr>
                <w:snapToGrid w:val="0"/>
                <w:kern w:val="0"/>
                <w:sz w:val="24"/>
                <w:szCs w:val="24"/>
              </w:rPr>
              <w:t>m</w:t>
            </w:r>
            <w:r>
              <w:rPr>
                <w:snapToGrid w:val="0"/>
                <w:kern w:val="0"/>
                <w:sz w:val="24"/>
                <w:szCs w:val="24"/>
                <w:vertAlign w:val="superscript"/>
              </w:rPr>
              <w:t>3</w:t>
            </w:r>
            <w:r>
              <w:rPr>
                <w:snapToGrid w:val="0"/>
                <w:kern w:val="0"/>
                <w:sz w:val="24"/>
                <w:szCs w:val="24"/>
              </w:rPr>
              <w:t>/a）</w:t>
            </w:r>
            <w:r>
              <w:rPr>
                <w:rFonts w:hint="eastAsia"/>
                <w:snapToGrid w:val="0"/>
                <w:kern w:val="0"/>
                <w:sz w:val="24"/>
                <w:szCs w:val="24"/>
              </w:rPr>
              <w:t>。</w:t>
            </w:r>
          </w:p>
          <w:p w14:paraId="54340A3E">
            <w:pPr>
              <w:topLinePunct/>
              <w:spacing w:line="360" w:lineRule="auto"/>
              <w:ind w:firstLine="480" w:firstLineChars="200"/>
              <w:rPr>
                <w:snapToGrid w:val="0"/>
                <w:kern w:val="0"/>
                <w:sz w:val="24"/>
                <w:szCs w:val="24"/>
              </w:rPr>
            </w:pPr>
            <w:r>
              <w:rPr>
                <w:rFonts w:hint="eastAsia"/>
                <w:snapToGrid w:val="0"/>
                <w:kern w:val="0"/>
                <w:sz w:val="24"/>
                <w:szCs w:val="24"/>
              </w:rPr>
              <w:t>（</w:t>
            </w:r>
            <w:r>
              <w:rPr>
                <w:rFonts w:hint="eastAsia"/>
                <w:snapToGrid w:val="0"/>
                <w:kern w:val="0"/>
                <w:sz w:val="24"/>
                <w:szCs w:val="24"/>
                <w:lang w:val="en-US" w:eastAsia="zh-CN"/>
              </w:rPr>
              <w:t>3</w:t>
            </w:r>
            <w:r>
              <w:rPr>
                <w:rFonts w:hint="eastAsia"/>
                <w:snapToGrid w:val="0"/>
                <w:kern w:val="0"/>
                <w:sz w:val="24"/>
                <w:szCs w:val="24"/>
              </w:rPr>
              <w:t>）</w:t>
            </w:r>
            <w:r>
              <w:rPr>
                <w:snapToGrid w:val="0"/>
                <w:kern w:val="0"/>
                <w:sz w:val="24"/>
                <w:szCs w:val="24"/>
              </w:rPr>
              <w:t>绿化用水量：</w:t>
            </w:r>
            <w:r>
              <w:rPr>
                <w:sz w:val="24"/>
                <w:szCs w:val="24"/>
              </w:rPr>
              <w:t>本项目的绿化面积为</w:t>
            </w:r>
            <w:r>
              <w:rPr>
                <w:rFonts w:hint="eastAsia"/>
                <w:sz w:val="24"/>
                <w:szCs w:val="24"/>
                <w:lang w:val="en-US" w:eastAsia="zh-CN"/>
              </w:rPr>
              <w:t>600</w:t>
            </w:r>
            <w:r>
              <w:rPr>
                <w:sz w:val="24"/>
                <w:szCs w:val="24"/>
              </w:rPr>
              <w:t>m</w:t>
            </w:r>
            <w:r>
              <w:rPr>
                <w:sz w:val="24"/>
                <w:szCs w:val="24"/>
                <w:vertAlign w:val="superscript"/>
              </w:rPr>
              <w:t>2</w:t>
            </w:r>
            <w:r>
              <w:rPr>
                <w:sz w:val="24"/>
                <w:szCs w:val="24"/>
              </w:rPr>
              <w:t>，</w:t>
            </w:r>
            <w:bookmarkStart w:id="1" w:name="OLE_LINK4"/>
            <w:r>
              <w:rPr>
                <w:snapToGrid w:val="0"/>
                <w:kern w:val="0"/>
                <w:sz w:val="24"/>
                <w:szCs w:val="24"/>
              </w:rPr>
              <w:t>根据</w:t>
            </w:r>
            <w:r>
              <w:rPr>
                <w:kern w:val="0"/>
                <w:sz w:val="24"/>
                <w:szCs w:val="24"/>
              </w:rPr>
              <w:t>《</w:t>
            </w:r>
            <w:r>
              <w:rPr>
                <w:sz w:val="24"/>
                <w:szCs w:val="24"/>
              </w:rPr>
              <w:t>新疆维吾尔自治区工业和生活用水定额</w:t>
            </w:r>
            <w:r>
              <w:rPr>
                <w:snapToGrid w:val="0"/>
                <w:sz w:val="24"/>
                <w:szCs w:val="24"/>
              </w:rPr>
              <w:t>》（2007.7.31）</w:t>
            </w:r>
            <w:bookmarkEnd w:id="1"/>
            <w:r>
              <w:rPr>
                <w:snapToGrid w:val="0"/>
                <w:sz w:val="24"/>
                <w:szCs w:val="24"/>
              </w:rPr>
              <w:t>对绿化用水的给定：</w:t>
            </w:r>
            <w:r>
              <w:rPr>
                <w:sz w:val="24"/>
                <w:szCs w:val="24"/>
              </w:rPr>
              <w:t>2L/m</w:t>
            </w:r>
            <w:r>
              <w:rPr>
                <w:sz w:val="24"/>
                <w:szCs w:val="24"/>
                <w:vertAlign w:val="superscript"/>
              </w:rPr>
              <w:t>2</w:t>
            </w:r>
            <w:r>
              <w:rPr>
                <w:sz w:val="24"/>
                <w:szCs w:val="24"/>
              </w:rPr>
              <w:t>d，项</w:t>
            </w:r>
            <w:r>
              <w:rPr>
                <w:snapToGrid w:val="0"/>
                <w:sz w:val="24"/>
                <w:szCs w:val="24"/>
              </w:rPr>
              <w:t>目区绿化用地的年灌溉天数以1</w:t>
            </w:r>
            <w:r>
              <w:rPr>
                <w:rFonts w:hint="eastAsia"/>
                <w:snapToGrid w:val="0"/>
                <w:sz w:val="24"/>
                <w:szCs w:val="24"/>
              </w:rPr>
              <w:t>5</w:t>
            </w:r>
            <w:r>
              <w:rPr>
                <w:snapToGrid w:val="0"/>
                <w:sz w:val="24"/>
                <w:szCs w:val="24"/>
              </w:rPr>
              <w:t>0d计算，则总的绿化用水量为</w:t>
            </w:r>
            <w:r>
              <w:rPr>
                <w:rFonts w:hint="eastAsia"/>
                <w:snapToGrid w:val="0"/>
                <w:sz w:val="24"/>
                <w:szCs w:val="24"/>
                <w:lang w:val="en-US" w:eastAsia="zh-CN"/>
              </w:rPr>
              <w:t>1.2</w:t>
            </w:r>
            <w:r>
              <w:rPr>
                <w:sz w:val="24"/>
                <w:szCs w:val="24"/>
              </w:rPr>
              <w:t>m</w:t>
            </w:r>
            <w:r>
              <w:rPr>
                <w:sz w:val="24"/>
                <w:szCs w:val="24"/>
                <w:vertAlign w:val="superscript"/>
              </w:rPr>
              <w:t>3</w:t>
            </w:r>
            <w:r>
              <w:rPr>
                <w:sz w:val="24"/>
                <w:szCs w:val="24"/>
              </w:rPr>
              <w:t>/d</w:t>
            </w:r>
            <w:r>
              <w:rPr>
                <w:snapToGrid w:val="0"/>
                <w:sz w:val="24"/>
                <w:szCs w:val="24"/>
              </w:rPr>
              <w:t>，即</w:t>
            </w:r>
            <w:r>
              <w:rPr>
                <w:rFonts w:hint="eastAsia"/>
                <w:snapToGrid w:val="0"/>
                <w:sz w:val="24"/>
                <w:szCs w:val="24"/>
                <w:lang w:val="en-US" w:eastAsia="zh-CN"/>
              </w:rPr>
              <w:t>180</w:t>
            </w:r>
            <w:r>
              <w:rPr>
                <w:sz w:val="24"/>
                <w:szCs w:val="24"/>
              </w:rPr>
              <w:t>m</w:t>
            </w:r>
            <w:r>
              <w:rPr>
                <w:sz w:val="24"/>
                <w:szCs w:val="24"/>
                <w:vertAlign w:val="superscript"/>
              </w:rPr>
              <w:t>3</w:t>
            </w:r>
            <w:r>
              <w:rPr>
                <w:sz w:val="24"/>
                <w:szCs w:val="24"/>
              </w:rPr>
              <w:t>/a。</w:t>
            </w:r>
          </w:p>
          <w:p w14:paraId="12C8D756">
            <w:pPr>
              <w:topLinePunct/>
              <w:spacing w:line="360" w:lineRule="auto"/>
              <w:ind w:firstLine="482" w:firstLineChars="200"/>
              <w:rPr>
                <w:b/>
                <w:bCs/>
                <w:snapToGrid w:val="0"/>
                <w:kern w:val="0"/>
                <w:sz w:val="24"/>
                <w:szCs w:val="24"/>
              </w:rPr>
            </w:pPr>
            <w:r>
              <w:rPr>
                <w:rFonts w:hint="eastAsia"/>
                <w:b/>
                <w:bCs/>
                <w:snapToGrid w:val="0"/>
                <w:kern w:val="0"/>
                <w:sz w:val="24"/>
                <w:szCs w:val="24"/>
                <w:lang w:val="en-US" w:eastAsia="zh-CN"/>
              </w:rPr>
              <w:t>5</w:t>
            </w:r>
            <w:r>
              <w:rPr>
                <w:rFonts w:hint="eastAsia"/>
                <w:b/>
                <w:bCs/>
                <w:snapToGrid w:val="0"/>
                <w:kern w:val="0"/>
                <w:sz w:val="24"/>
                <w:szCs w:val="24"/>
              </w:rPr>
              <w:t>.3</w:t>
            </w:r>
            <w:r>
              <w:rPr>
                <w:b/>
                <w:bCs/>
                <w:snapToGrid w:val="0"/>
                <w:kern w:val="0"/>
                <w:sz w:val="24"/>
                <w:szCs w:val="24"/>
              </w:rPr>
              <w:t>排水</w:t>
            </w:r>
          </w:p>
          <w:p w14:paraId="6A31821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本项目生产用水全部进入产品，生产区不涉及化学反应，生产设备、储罐残留物料用于后续生产，不产生清洗废水。本项目加气混凝土生产用水主要是浆体配制用水，该水经精确计量使用，无外排。</w:t>
            </w:r>
          </w:p>
          <w:p w14:paraId="2419EEA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snapToGrid w:val="0"/>
                <w:kern w:val="0"/>
                <w:sz w:val="24"/>
                <w:szCs w:val="24"/>
                <w:lang w:eastAsia="zh-CN"/>
              </w:rPr>
            </w:pPr>
            <w:r>
              <w:rPr>
                <w:rFonts w:hint="eastAsia"/>
                <w:snapToGrid w:val="0"/>
                <w:kern w:val="0"/>
                <w:sz w:val="24"/>
                <w:szCs w:val="24"/>
              </w:rPr>
              <w:t>本项目排水主要为生活排</w:t>
            </w:r>
            <w:r>
              <w:rPr>
                <w:rFonts w:hint="eastAsia"/>
                <w:snapToGrid w:val="0"/>
                <w:kern w:val="0"/>
                <w:sz w:val="24"/>
                <w:szCs w:val="24"/>
                <w:lang w:val="en-US" w:eastAsia="zh-CN"/>
              </w:rPr>
              <w:t>水</w:t>
            </w:r>
            <w:r>
              <w:rPr>
                <w:rFonts w:hint="eastAsia"/>
                <w:snapToGrid w:val="0"/>
                <w:kern w:val="0"/>
                <w:sz w:val="24"/>
                <w:szCs w:val="24"/>
                <w:lang w:eastAsia="zh-CN"/>
              </w:rPr>
              <w:t>。</w:t>
            </w:r>
          </w:p>
          <w:p w14:paraId="75631F3A">
            <w:pPr>
              <w:topLinePunct/>
              <w:spacing w:line="360" w:lineRule="auto"/>
              <w:ind w:firstLine="480" w:firstLineChars="200"/>
              <w:rPr>
                <w:sz w:val="24"/>
                <w:szCs w:val="24"/>
              </w:rPr>
            </w:pPr>
            <w:r>
              <w:rPr>
                <w:snapToGrid w:val="0"/>
                <w:kern w:val="0"/>
                <w:sz w:val="24"/>
                <w:szCs w:val="24"/>
              </w:rPr>
              <w:t>生活污水排水量按照给水量的80%计，约</w:t>
            </w:r>
            <w:r>
              <w:rPr>
                <w:rFonts w:hint="eastAsia"/>
                <w:snapToGrid w:val="0"/>
                <w:kern w:val="0"/>
                <w:sz w:val="24"/>
                <w:szCs w:val="24"/>
                <w:lang w:val="en-US" w:eastAsia="zh-CN"/>
              </w:rPr>
              <w:t>4.24</w:t>
            </w:r>
            <w:r>
              <w:rPr>
                <w:sz w:val="24"/>
                <w:szCs w:val="24"/>
              </w:rPr>
              <w:t>m</w:t>
            </w:r>
            <w:r>
              <w:rPr>
                <w:sz w:val="24"/>
                <w:szCs w:val="24"/>
                <w:vertAlign w:val="superscript"/>
              </w:rPr>
              <w:t>3</w:t>
            </w:r>
            <w:r>
              <w:rPr>
                <w:sz w:val="24"/>
                <w:szCs w:val="24"/>
              </w:rPr>
              <w:t>/d</w:t>
            </w:r>
            <w:r>
              <w:rPr>
                <w:snapToGrid w:val="0"/>
                <w:kern w:val="0"/>
                <w:sz w:val="24"/>
                <w:szCs w:val="24"/>
              </w:rPr>
              <w:t>（</w:t>
            </w:r>
            <w:r>
              <w:rPr>
                <w:rFonts w:hint="eastAsia"/>
                <w:snapToGrid w:val="0"/>
                <w:kern w:val="0"/>
                <w:sz w:val="24"/>
                <w:szCs w:val="24"/>
              </w:rPr>
              <w:t>1</w:t>
            </w:r>
            <w:r>
              <w:rPr>
                <w:rFonts w:hint="eastAsia"/>
                <w:snapToGrid w:val="0"/>
                <w:kern w:val="0"/>
                <w:sz w:val="24"/>
                <w:szCs w:val="24"/>
                <w:lang w:val="en-US" w:eastAsia="zh-CN"/>
              </w:rPr>
              <w:t>017.6</w:t>
            </w:r>
            <w:r>
              <w:rPr>
                <w:snapToGrid w:val="0"/>
                <w:kern w:val="0"/>
                <w:sz w:val="24"/>
                <w:szCs w:val="24"/>
              </w:rPr>
              <w:t>m</w:t>
            </w:r>
            <w:r>
              <w:rPr>
                <w:snapToGrid w:val="0"/>
                <w:kern w:val="0"/>
                <w:sz w:val="24"/>
                <w:szCs w:val="24"/>
                <w:vertAlign w:val="superscript"/>
              </w:rPr>
              <w:t>3</w:t>
            </w:r>
            <w:r>
              <w:rPr>
                <w:snapToGrid w:val="0"/>
                <w:kern w:val="0"/>
                <w:sz w:val="24"/>
                <w:szCs w:val="24"/>
              </w:rPr>
              <w:t>/a）</w:t>
            </w:r>
            <w:r>
              <w:rPr>
                <w:sz w:val="24"/>
                <w:szCs w:val="24"/>
              </w:rPr>
              <w:t>，</w:t>
            </w:r>
            <w:r>
              <w:rPr>
                <w:color w:val="000000"/>
                <w:sz w:val="24"/>
                <w:szCs w:val="24"/>
              </w:rPr>
              <w:t>生活污水</w:t>
            </w:r>
            <w:r>
              <w:rPr>
                <w:rFonts w:hint="eastAsia"/>
                <w:color w:val="000000"/>
                <w:sz w:val="24"/>
                <w:szCs w:val="24"/>
              </w:rPr>
              <w:t>经</w:t>
            </w:r>
            <w:r>
              <w:rPr>
                <w:rFonts w:hint="eastAsia"/>
                <w:color w:val="000000"/>
                <w:sz w:val="24"/>
                <w:szCs w:val="24"/>
                <w:lang w:val="en-US" w:eastAsia="zh-CN"/>
              </w:rPr>
              <w:t>园区污水管网排放至</w:t>
            </w:r>
            <w:r>
              <w:rPr>
                <w:rFonts w:hint="eastAsia" w:ascii="宋体" w:hAnsi="宋体" w:cs="宋体"/>
                <w:sz w:val="24"/>
                <w:szCs w:val="24"/>
                <w:lang w:val="en-US" w:eastAsia="zh-CN"/>
              </w:rPr>
              <w:t>园区</w:t>
            </w:r>
            <w:r>
              <w:rPr>
                <w:rFonts w:hint="eastAsia" w:ascii="宋体" w:hAnsi="宋体" w:eastAsia="宋体" w:cs="宋体"/>
                <w:sz w:val="24"/>
                <w:szCs w:val="24"/>
                <w:lang w:val="en-US" w:eastAsia="zh-CN"/>
              </w:rPr>
              <w:t>污水处理厂</w:t>
            </w:r>
            <w:r>
              <w:rPr>
                <w:snapToGrid w:val="0"/>
                <w:kern w:val="0"/>
                <w:sz w:val="24"/>
                <w:szCs w:val="24"/>
              </w:rPr>
              <w:t>，不外排</w:t>
            </w:r>
            <w:r>
              <w:rPr>
                <w:rFonts w:hint="eastAsia"/>
                <w:snapToGrid w:val="0"/>
                <w:kern w:val="0"/>
                <w:sz w:val="24"/>
                <w:szCs w:val="24"/>
              </w:rPr>
              <w:t>，</w:t>
            </w:r>
            <w:r>
              <w:rPr>
                <w:rFonts w:hint="eastAsia"/>
                <w:sz w:val="24"/>
                <w:szCs w:val="24"/>
              </w:rPr>
              <w:t>对周边环境影响较小。</w:t>
            </w:r>
          </w:p>
          <w:p w14:paraId="4475932A">
            <w:pPr>
              <w:pStyle w:val="13"/>
              <w:spacing w:line="360" w:lineRule="auto"/>
              <w:ind w:firstLine="480" w:firstLineChars="200"/>
              <w:rPr>
                <w:rFonts w:hint="default" w:ascii="Times New Roman" w:hAnsi="Times New Roman" w:eastAsia="宋体"/>
                <w:sz w:val="24"/>
                <w:szCs w:val="24"/>
              </w:rPr>
            </w:pPr>
            <w:r>
              <w:rPr>
                <w:rFonts w:hint="default" w:ascii="Times New Roman" w:hAnsi="Times New Roman" w:eastAsia="宋体"/>
                <w:snapToGrid w:val="0"/>
                <w:kern w:val="0"/>
                <w:sz w:val="24"/>
                <w:szCs w:val="24"/>
              </w:rPr>
              <w:t>本项目</w:t>
            </w:r>
            <w:r>
              <w:rPr>
                <w:rFonts w:hint="default" w:ascii="Times New Roman" w:hAnsi="Times New Roman" w:eastAsia="宋体"/>
                <w:sz w:val="24"/>
                <w:szCs w:val="24"/>
              </w:rPr>
              <w:t>用、排水情况见</w:t>
            </w:r>
            <w:r>
              <w:rPr>
                <w:rFonts w:ascii="Times New Roman" w:hAnsi="Times New Roman" w:eastAsia="宋体"/>
                <w:sz w:val="24"/>
                <w:szCs w:val="24"/>
              </w:rPr>
              <w:t>下</w:t>
            </w:r>
            <w:r>
              <w:rPr>
                <w:rFonts w:hint="default" w:ascii="Times New Roman" w:hAnsi="Times New Roman" w:eastAsia="宋体"/>
                <w:sz w:val="24"/>
                <w:szCs w:val="24"/>
              </w:rPr>
              <w:t>表，水平衡关系见图</w:t>
            </w:r>
            <w:r>
              <w:rPr>
                <w:rFonts w:ascii="Times New Roman" w:hAnsi="Times New Roman" w:eastAsia="宋体"/>
                <w:sz w:val="24"/>
                <w:szCs w:val="24"/>
              </w:rPr>
              <w:t>1-1</w:t>
            </w:r>
            <w:r>
              <w:rPr>
                <w:rFonts w:hint="default" w:ascii="Times New Roman" w:hAnsi="Times New Roman" w:eastAsia="宋体"/>
                <w:sz w:val="24"/>
                <w:szCs w:val="24"/>
              </w:rPr>
              <w:t>。</w:t>
            </w:r>
          </w:p>
          <w:p w14:paraId="4727E4D6">
            <w:pPr>
              <w:pStyle w:val="13"/>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b/>
                <w:color w:val="C00000"/>
                <w:sz w:val="21"/>
                <w:szCs w:val="21"/>
              </w:rPr>
            </w:pPr>
            <w:r>
              <w:rPr>
                <w:rFonts w:hint="default" w:ascii="Times New Roman" w:hAnsi="Times New Roman" w:eastAsia="宋体"/>
                <w:b/>
                <w:sz w:val="21"/>
                <w:szCs w:val="21"/>
              </w:rPr>
              <w:t>表</w:t>
            </w:r>
            <w:r>
              <w:rPr>
                <w:rFonts w:ascii="Times New Roman" w:hAnsi="Times New Roman" w:eastAsia="宋体"/>
                <w:b/>
                <w:sz w:val="21"/>
                <w:szCs w:val="21"/>
              </w:rPr>
              <w:t>2</w:t>
            </w:r>
            <w:r>
              <w:rPr>
                <w:rFonts w:hint="eastAsia" w:ascii="Times New Roman" w:hAnsi="Times New Roman" w:eastAsia="宋体"/>
                <w:b/>
                <w:sz w:val="21"/>
                <w:szCs w:val="21"/>
                <w:lang w:val="en-US" w:eastAsia="zh-CN"/>
              </w:rPr>
              <w:t xml:space="preserve">-5 </w:t>
            </w:r>
            <w:r>
              <w:rPr>
                <w:rFonts w:hint="default" w:ascii="Times New Roman" w:hAnsi="Times New Roman" w:eastAsia="宋体"/>
                <w:b/>
                <w:sz w:val="21"/>
                <w:szCs w:val="21"/>
              </w:rPr>
              <w:t xml:space="preserve"> </w:t>
            </w:r>
            <w:r>
              <w:rPr>
                <w:rFonts w:hint="eastAsia" w:ascii="Times New Roman" w:hAnsi="Times New Roman" w:eastAsia="宋体"/>
                <w:b/>
                <w:sz w:val="21"/>
                <w:szCs w:val="21"/>
                <w:lang w:val="en-US" w:eastAsia="zh-CN"/>
              </w:rPr>
              <w:t>项目</w:t>
            </w:r>
            <w:r>
              <w:rPr>
                <w:rFonts w:hint="default" w:ascii="Times New Roman" w:hAnsi="Times New Roman" w:eastAsia="宋体"/>
                <w:b/>
                <w:sz w:val="21"/>
                <w:szCs w:val="21"/>
              </w:rPr>
              <w:t>用、排水标准及情况</w:t>
            </w:r>
          </w:p>
          <w:tbl>
            <w:tblPr>
              <w:tblStyle w:val="24"/>
              <w:tblW w:w="8334"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57" w:type="dxa"/>
                <w:bottom w:w="0" w:type="dxa"/>
                <w:right w:w="57" w:type="dxa"/>
              </w:tblCellMar>
            </w:tblPr>
            <w:tblGrid>
              <w:gridCol w:w="1372"/>
              <w:gridCol w:w="1356"/>
              <w:gridCol w:w="1138"/>
              <w:gridCol w:w="603"/>
              <w:gridCol w:w="973"/>
              <w:gridCol w:w="962"/>
              <w:gridCol w:w="974"/>
              <w:gridCol w:w="956"/>
            </w:tblGrid>
            <w:tr w14:paraId="2BF779E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290" w:hRule="atLeast"/>
                <w:jc w:val="center"/>
              </w:trPr>
              <w:tc>
                <w:tcPr>
                  <w:tcW w:w="1372" w:type="dxa"/>
                  <w:vMerge w:val="restart"/>
                  <w:noWrap/>
                  <w:vAlign w:val="center"/>
                </w:tcPr>
                <w:p w14:paraId="43438AF2">
                  <w:pPr>
                    <w:pStyle w:val="13"/>
                    <w:ind w:left="-105" w:leftChars="-50" w:right="-105" w:rightChars="-50"/>
                    <w:jc w:val="center"/>
                    <w:rPr>
                      <w:rFonts w:hint="default" w:ascii="Times New Roman" w:hAnsi="Times New Roman" w:eastAsia="宋体"/>
                      <w:sz w:val="21"/>
                      <w:szCs w:val="21"/>
                    </w:rPr>
                  </w:pPr>
                  <w:r>
                    <w:rPr>
                      <w:rFonts w:hint="default" w:ascii="Times New Roman" w:hAnsi="Times New Roman" w:eastAsia="宋体"/>
                      <w:sz w:val="21"/>
                      <w:szCs w:val="21"/>
                    </w:rPr>
                    <w:t>用水类别</w:t>
                  </w:r>
                </w:p>
              </w:tc>
              <w:tc>
                <w:tcPr>
                  <w:tcW w:w="1356" w:type="dxa"/>
                  <w:vMerge w:val="restart"/>
                  <w:noWrap/>
                  <w:vAlign w:val="center"/>
                </w:tcPr>
                <w:p w14:paraId="57B8EF87">
                  <w:pPr>
                    <w:pStyle w:val="13"/>
                    <w:ind w:left="-105" w:leftChars="-50" w:right="-105" w:rightChars="-50"/>
                    <w:jc w:val="center"/>
                    <w:rPr>
                      <w:rFonts w:hint="default" w:ascii="Times New Roman" w:hAnsi="Times New Roman" w:eastAsia="宋体"/>
                      <w:sz w:val="21"/>
                      <w:szCs w:val="21"/>
                    </w:rPr>
                  </w:pPr>
                  <w:r>
                    <w:rPr>
                      <w:rFonts w:hint="default" w:ascii="Times New Roman" w:hAnsi="Times New Roman" w:eastAsia="宋体"/>
                      <w:sz w:val="21"/>
                      <w:szCs w:val="21"/>
                    </w:rPr>
                    <w:t>用水定额</w:t>
                  </w:r>
                </w:p>
              </w:tc>
              <w:tc>
                <w:tcPr>
                  <w:tcW w:w="1138" w:type="dxa"/>
                  <w:vMerge w:val="restart"/>
                  <w:noWrap/>
                  <w:vAlign w:val="center"/>
                </w:tcPr>
                <w:p w14:paraId="34DD9B42">
                  <w:pPr>
                    <w:pStyle w:val="13"/>
                    <w:ind w:left="-105" w:leftChars="-50" w:right="-105" w:rightChars="-50"/>
                    <w:jc w:val="center"/>
                    <w:rPr>
                      <w:rFonts w:hint="default" w:ascii="Times New Roman" w:hAnsi="Times New Roman" w:eastAsia="宋体"/>
                      <w:sz w:val="21"/>
                      <w:szCs w:val="21"/>
                    </w:rPr>
                  </w:pPr>
                  <w:r>
                    <w:rPr>
                      <w:rFonts w:hint="default" w:ascii="Times New Roman" w:hAnsi="Times New Roman" w:eastAsia="宋体"/>
                      <w:sz w:val="21"/>
                      <w:szCs w:val="21"/>
                    </w:rPr>
                    <w:t>用水规模</w:t>
                  </w:r>
                </w:p>
              </w:tc>
              <w:tc>
                <w:tcPr>
                  <w:tcW w:w="603" w:type="dxa"/>
                  <w:vMerge w:val="restart"/>
                  <w:noWrap/>
                  <w:vAlign w:val="center"/>
                </w:tcPr>
                <w:p w14:paraId="55AE2BD4">
                  <w:pPr>
                    <w:pStyle w:val="13"/>
                    <w:ind w:left="-105" w:leftChars="-50" w:right="-105" w:rightChars="-50"/>
                    <w:jc w:val="center"/>
                    <w:rPr>
                      <w:rFonts w:hint="default" w:ascii="Times New Roman" w:hAnsi="Times New Roman" w:eastAsia="宋体"/>
                      <w:sz w:val="21"/>
                      <w:szCs w:val="21"/>
                    </w:rPr>
                  </w:pPr>
                  <w:r>
                    <w:rPr>
                      <w:rFonts w:hint="default" w:ascii="Times New Roman" w:hAnsi="Times New Roman" w:eastAsia="宋体"/>
                      <w:sz w:val="21"/>
                      <w:szCs w:val="21"/>
                    </w:rPr>
                    <w:t>用水</w:t>
                  </w:r>
                </w:p>
                <w:p w14:paraId="14FB5FFC">
                  <w:pPr>
                    <w:pStyle w:val="13"/>
                    <w:ind w:left="-105" w:leftChars="-50" w:right="-105" w:rightChars="-50"/>
                    <w:jc w:val="center"/>
                    <w:rPr>
                      <w:rFonts w:hint="default" w:ascii="Times New Roman" w:hAnsi="Times New Roman" w:eastAsia="宋体"/>
                      <w:sz w:val="21"/>
                      <w:szCs w:val="21"/>
                    </w:rPr>
                  </w:pPr>
                  <w:r>
                    <w:rPr>
                      <w:rFonts w:hint="default" w:ascii="Times New Roman" w:hAnsi="Times New Roman" w:eastAsia="宋体"/>
                      <w:sz w:val="21"/>
                      <w:szCs w:val="21"/>
                    </w:rPr>
                    <w:t>时间</w:t>
                  </w:r>
                </w:p>
              </w:tc>
              <w:tc>
                <w:tcPr>
                  <w:tcW w:w="1935" w:type="dxa"/>
                  <w:gridSpan w:val="2"/>
                  <w:noWrap/>
                  <w:vAlign w:val="center"/>
                </w:tcPr>
                <w:p w14:paraId="42CF9CF3">
                  <w:pPr>
                    <w:pStyle w:val="13"/>
                    <w:ind w:left="-105" w:leftChars="-50" w:right="-105" w:rightChars="-50"/>
                    <w:jc w:val="center"/>
                    <w:rPr>
                      <w:rFonts w:hint="default" w:ascii="Times New Roman" w:hAnsi="Times New Roman" w:eastAsia="宋体"/>
                      <w:sz w:val="21"/>
                      <w:szCs w:val="21"/>
                    </w:rPr>
                  </w:pPr>
                  <w:r>
                    <w:rPr>
                      <w:rFonts w:hint="default" w:ascii="Times New Roman" w:hAnsi="Times New Roman" w:eastAsia="宋体"/>
                      <w:sz w:val="21"/>
                      <w:szCs w:val="21"/>
                    </w:rPr>
                    <w:t>用水量</w:t>
                  </w:r>
                </w:p>
              </w:tc>
              <w:tc>
                <w:tcPr>
                  <w:tcW w:w="1930" w:type="dxa"/>
                  <w:gridSpan w:val="2"/>
                  <w:noWrap/>
                  <w:vAlign w:val="center"/>
                </w:tcPr>
                <w:p w14:paraId="645F11E7">
                  <w:pPr>
                    <w:pStyle w:val="13"/>
                    <w:ind w:left="-105" w:leftChars="-50" w:right="-105" w:rightChars="-50"/>
                    <w:jc w:val="center"/>
                    <w:rPr>
                      <w:rFonts w:hint="default" w:ascii="Times New Roman" w:hAnsi="Times New Roman" w:eastAsia="宋体"/>
                      <w:sz w:val="21"/>
                      <w:szCs w:val="21"/>
                    </w:rPr>
                  </w:pPr>
                  <w:r>
                    <w:rPr>
                      <w:rFonts w:hint="default" w:ascii="Times New Roman" w:hAnsi="Times New Roman" w:eastAsia="宋体"/>
                      <w:sz w:val="21"/>
                      <w:szCs w:val="21"/>
                    </w:rPr>
                    <w:t>排水量</w:t>
                  </w:r>
                </w:p>
              </w:tc>
            </w:tr>
            <w:tr w14:paraId="7AA2CCD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277" w:hRule="atLeast"/>
                <w:jc w:val="center"/>
              </w:trPr>
              <w:tc>
                <w:tcPr>
                  <w:tcW w:w="1372" w:type="dxa"/>
                  <w:vMerge w:val="continue"/>
                  <w:noWrap/>
                  <w:vAlign w:val="center"/>
                </w:tcPr>
                <w:p w14:paraId="7C02692F">
                  <w:pPr>
                    <w:pStyle w:val="13"/>
                    <w:ind w:left="-105" w:leftChars="-50" w:right="-105" w:rightChars="-50"/>
                    <w:jc w:val="center"/>
                    <w:rPr>
                      <w:rFonts w:hint="default" w:ascii="Times New Roman" w:hAnsi="Times New Roman" w:eastAsia="宋体"/>
                      <w:sz w:val="21"/>
                      <w:szCs w:val="21"/>
                    </w:rPr>
                  </w:pPr>
                </w:p>
              </w:tc>
              <w:tc>
                <w:tcPr>
                  <w:tcW w:w="1356" w:type="dxa"/>
                  <w:vMerge w:val="continue"/>
                  <w:noWrap/>
                  <w:vAlign w:val="center"/>
                </w:tcPr>
                <w:p w14:paraId="37A20F4C">
                  <w:pPr>
                    <w:pStyle w:val="13"/>
                    <w:ind w:left="-105" w:leftChars="-50" w:right="-105" w:rightChars="-50"/>
                    <w:jc w:val="center"/>
                    <w:rPr>
                      <w:rFonts w:hint="default" w:ascii="Times New Roman" w:hAnsi="Times New Roman" w:eastAsia="宋体"/>
                      <w:sz w:val="21"/>
                      <w:szCs w:val="21"/>
                    </w:rPr>
                  </w:pPr>
                </w:p>
              </w:tc>
              <w:tc>
                <w:tcPr>
                  <w:tcW w:w="1138" w:type="dxa"/>
                  <w:vMerge w:val="continue"/>
                  <w:noWrap/>
                  <w:vAlign w:val="center"/>
                </w:tcPr>
                <w:p w14:paraId="7D826010">
                  <w:pPr>
                    <w:pStyle w:val="13"/>
                    <w:ind w:left="-105" w:leftChars="-50" w:right="-105" w:rightChars="-50"/>
                    <w:jc w:val="center"/>
                    <w:rPr>
                      <w:rFonts w:hint="default" w:ascii="Times New Roman" w:hAnsi="Times New Roman" w:eastAsia="宋体"/>
                      <w:sz w:val="21"/>
                      <w:szCs w:val="21"/>
                    </w:rPr>
                  </w:pPr>
                </w:p>
              </w:tc>
              <w:tc>
                <w:tcPr>
                  <w:tcW w:w="603" w:type="dxa"/>
                  <w:vMerge w:val="continue"/>
                  <w:tcBorders>
                    <w:bottom w:val="single" w:color="auto" w:sz="4" w:space="0"/>
                  </w:tcBorders>
                  <w:noWrap/>
                  <w:vAlign w:val="center"/>
                </w:tcPr>
                <w:p w14:paraId="2FC54BA1">
                  <w:pPr>
                    <w:pStyle w:val="13"/>
                    <w:ind w:left="-105" w:leftChars="-50" w:right="-105" w:rightChars="-50"/>
                    <w:jc w:val="center"/>
                    <w:rPr>
                      <w:rFonts w:hint="default" w:ascii="Times New Roman" w:hAnsi="Times New Roman" w:eastAsia="宋体"/>
                      <w:sz w:val="21"/>
                      <w:szCs w:val="21"/>
                    </w:rPr>
                  </w:pPr>
                </w:p>
              </w:tc>
              <w:tc>
                <w:tcPr>
                  <w:tcW w:w="973" w:type="dxa"/>
                  <w:tcBorders>
                    <w:bottom w:val="single" w:color="auto" w:sz="4" w:space="0"/>
                  </w:tcBorders>
                  <w:noWrap/>
                  <w:vAlign w:val="center"/>
                </w:tcPr>
                <w:p w14:paraId="47C7ABE0">
                  <w:pPr>
                    <w:pStyle w:val="13"/>
                    <w:ind w:left="-105" w:leftChars="-50" w:right="-105" w:rightChars="-50"/>
                    <w:jc w:val="center"/>
                    <w:rPr>
                      <w:rFonts w:hint="default" w:ascii="Times New Roman" w:hAnsi="Times New Roman" w:eastAsia="宋体"/>
                      <w:sz w:val="21"/>
                      <w:szCs w:val="21"/>
                    </w:rPr>
                  </w:pPr>
                  <w:r>
                    <w:rPr>
                      <w:rFonts w:hint="default" w:ascii="Times New Roman" w:hAnsi="Times New Roman" w:eastAsia="宋体"/>
                      <w:sz w:val="21"/>
                      <w:szCs w:val="21"/>
                    </w:rPr>
                    <w:t>日(m</w:t>
                  </w:r>
                  <w:r>
                    <w:rPr>
                      <w:rFonts w:hint="default" w:ascii="Times New Roman" w:hAnsi="Times New Roman" w:eastAsia="宋体"/>
                      <w:sz w:val="21"/>
                      <w:szCs w:val="21"/>
                      <w:vertAlign w:val="superscript"/>
                    </w:rPr>
                    <w:t>3</w:t>
                  </w:r>
                  <w:r>
                    <w:rPr>
                      <w:rFonts w:hint="default" w:ascii="Times New Roman" w:hAnsi="Times New Roman" w:eastAsia="宋体"/>
                      <w:sz w:val="21"/>
                      <w:szCs w:val="21"/>
                    </w:rPr>
                    <w:t>/d)</w:t>
                  </w:r>
                </w:p>
              </w:tc>
              <w:tc>
                <w:tcPr>
                  <w:tcW w:w="962" w:type="dxa"/>
                  <w:noWrap/>
                  <w:vAlign w:val="center"/>
                </w:tcPr>
                <w:p w14:paraId="6D326B35">
                  <w:pPr>
                    <w:pStyle w:val="13"/>
                    <w:ind w:left="-105" w:leftChars="-50" w:right="-105" w:rightChars="-50"/>
                    <w:jc w:val="center"/>
                    <w:rPr>
                      <w:rFonts w:hint="default" w:ascii="Times New Roman" w:hAnsi="Times New Roman" w:eastAsia="宋体"/>
                      <w:sz w:val="21"/>
                      <w:szCs w:val="21"/>
                    </w:rPr>
                  </w:pPr>
                  <w:r>
                    <w:rPr>
                      <w:rFonts w:hint="default" w:ascii="Times New Roman" w:hAnsi="Times New Roman" w:eastAsia="宋体"/>
                      <w:sz w:val="21"/>
                      <w:szCs w:val="21"/>
                    </w:rPr>
                    <w:t>年(m</w:t>
                  </w:r>
                  <w:r>
                    <w:rPr>
                      <w:rFonts w:hint="default" w:ascii="Times New Roman" w:hAnsi="Times New Roman" w:eastAsia="宋体"/>
                      <w:sz w:val="21"/>
                      <w:szCs w:val="21"/>
                      <w:vertAlign w:val="superscript"/>
                    </w:rPr>
                    <w:t>3</w:t>
                  </w:r>
                  <w:r>
                    <w:rPr>
                      <w:rFonts w:hint="default" w:ascii="Times New Roman" w:hAnsi="Times New Roman" w:eastAsia="宋体"/>
                      <w:sz w:val="21"/>
                      <w:szCs w:val="21"/>
                    </w:rPr>
                    <w:t>/a)</w:t>
                  </w:r>
                </w:p>
              </w:tc>
              <w:tc>
                <w:tcPr>
                  <w:tcW w:w="974" w:type="dxa"/>
                  <w:noWrap/>
                  <w:vAlign w:val="center"/>
                </w:tcPr>
                <w:p w14:paraId="5AE8E167">
                  <w:pPr>
                    <w:pStyle w:val="13"/>
                    <w:ind w:left="-105" w:leftChars="-50" w:right="-105" w:rightChars="-50"/>
                    <w:jc w:val="center"/>
                    <w:rPr>
                      <w:rFonts w:hint="default" w:ascii="Times New Roman" w:hAnsi="Times New Roman" w:eastAsia="宋体"/>
                      <w:sz w:val="21"/>
                      <w:szCs w:val="21"/>
                    </w:rPr>
                  </w:pPr>
                  <w:r>
                    <w:rPr>
                      <w:rFonts w:hint="default" w:ascii="Times New Roman" w:hAnsi="Times New Roman" w:eastAsia="宋体"/>
                      <w:sz w:val="21"/>
                      <w:szCs w:val="21"/>
                    </w:rPr>
                    <w:t>日(m</w:t>
                  </w:r>
                  <w:r>
                    <w:rPr>
                      <w:rFonts w:hint="default" w:ascii="Times New Roman" w:hAnsi="Times New Roman" w:eastAsia="宋体"/>
                      <w:sz w:val="21"/>
                      <w:szCs w:val="21"/>
                      <w:vertAlign w:val="superscript"/>
                    </w:rPr>
                    <w:t>3</w:t>
                  </w:r>
                  <w:r>
                    <w:rPr>
                      <w:rFonts w:hint="default" w:ascii="Times New Roman" w:hAnsi="Times New Roman" w:eastAsia="宋体"/>
                      <w:sz w:val="21"/>
                      <w:szCs w:val="21"/>
                    </w:rPr>
                    <w:t>/d)</w:t>
                  </w:r>
                </w:p>
              </w:tc>
              <w:tc>
                <w:tcPr>
                  <w:tcW w:w="956" w:type="dxa"/>
                  <w:noWrap/>
                  <w:vAlign w:val="center"/>
                </w:tcPr>
                <w:p w14:paraId="02862A86">
                  <w:pPr>
                    <w:pStyle w:val="13"/>
                    <w:ind w:left="-105" w:leftChars="-50" w:right="-105" w:rightChars="-50"/>
                    <w:jc w:val="center"/>
                    <w:rPr>
                      <w:rFonts w:hint="default" w:ascii="Times New Roman" w:hAnsi="Times New Roman" w:eastAsia="宋体"/>
                      <w:sz w:val="21"/>
                      <w:szCs w:val="21"/>
                    </w:rPr>
                  </w:pPr>
                  <w:r>
                    <w:rPr>
                      <w:rFonts w:hint="default" w:ascii="Times New Roman" w:hAnsi="Times New Roman" w:eastAsia="宋体"/>
                      <w:sz w:val="21"/>
                      <w:szCs w:val="21"/>
                    </w:rPr>
                    <w:t>年(m</w:t>
                  </w:r>
                  <w:r>
                    <w:rPr>
                      <w:rFonts w:hint="default" w:ascii="Times New Roman" w:hAnsi="Times New Roman" w:eastAsia="宋体"/>
                      <w:sz w:val="21"/>
                      <w:szCs w:val="21"/>
                      <w:vertAlign w:val="superscript"/>
                    </w:rPr>
                    <w:t>3</w:t>
                  </w:r>
                  <w:r>
                    <w:rPr>
                      <w:rFonts w:hint="default" w:ascii="Times New Roman" w:hAnsi="Times New Roman" w:eastAsia="宋体"/>
                      <w:sz w:val="21"/>
                      <w:szCs w:val="21"/>
                    </w:rPr>
                    <w:t>/a)</w:t>
                  </w:r>
                </w:p>
              </w:tc>
            </w:tr>
            <w:tr w14:paraId="0277D21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277" w:hRule="atLeast"/>
                <w:jc w:val="center"/>
              </w:trPr>
              <w:tc>
                <w:tcPr>
                  <w:tcW w:w="1372" w:type="dxa"/>
                  <w:noWrap/>
                  <w:vAlign w:val="center"/>
                </w:tcPr>
                <w:p w14:paraId="648F8221">
                  <w:pPr>
                    <w:pStyle w:val="13"/>
                    <w:ind w:left="-105" w:leftChars="-50" w:right="-105" w:rightChars="-5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生产用水</w:t>
                  </w:r>
                </w:p>
              </w:tc>
              <w:tc>
                <w:tcPr>
                  <w:tcW w:w="1356" w:type="dxa"/>
                  <w:noWrap/>
                  <w:vAlign w:val="center"/>
                </w:tcPr>
                <w:p w14:paraId="533ED707">
                  <w:pPr>
                    <w:pStyle w:val="13"/>
                    <w:ind w:left="-105" w:leftChars="-50" w:right="-105" w:rightChars="-5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w:t>
                  </w:r>
                </w:p>
              </w:tc>
              <w:tc>
                <w:tcPr>
                  <w:tcW w:w="1138" w:type="dxa"/>
                  <w:noWrap/>
                  <w:vAlign w:val="center"/>
                </w:tcPr>
                <w:p w14:paraId="5AD52E73">
                  <w:pPr>
                    <w:pStyle w:val="13"/>
                    <w:ind w:left="-105" w:leftChars="-50" w:right="-105" w:rightChars="-5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w:t>
                  </w:r>
                </w:p>
              </w:tc>
              <w:tc>
                <w:tcPr>
                  <w:tcW w:w="603" w:type="dxa"/>
                  <w:tcBorders>
                    <w:top w:val="single" w:color="auto" w:sz="4" w:space="0"/>
                  </w:tcBorders>
                  <w:noWrap/>
                  <w:vAlign w:val="center"/>
                </w:tcPr>
                <w:p w14:paraId="2A16B4E6">
                  <w:pPr>
                    <w:pStyle w:val="13"/>
                    <w:ind w:left="-105" w:leftChars="-50" w:right="-105" w:rightChars="-5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240</w:t>
                  </w:r>
                  <w:r>
                    <w:rPr>
                      <w:rFonts w:hint="default" w:ascii="Times New Roman" w:hAnsi="Times New Roman" w:eastAsia="宋体"/>
                      <w:sz w:val="21"/>
                      <w:szCs w:val="21"/>
                    </w:rPr>
                    <w:t>d</w:t>
                  </w:r>
                </w:p>
              </w:tc>
              <w:tc>
                <w:tcPr>
                  <w:tcW w:w="973" w:type="dxa"/>
                  <w:tcBorders>
                    <w:top w:val="single" w:color="auto" w:sz="4" w:space="0"/>
                  </w:tcBorders>
                  <w:noWrap/>
                  <w:vAlign w:val="center"/>
                </w:tcPr>
                <w:p w14:paraId="1B1A8CD6">
                  <w:pPr>
                    <w:pStyle w:val="13"/>
                    <w:ind w:left="-105" w:leftChars="-50" w:right="-105" w:rightChars="-5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80</w:t>
                  </w:r>
                </w:p>
              </w:tc>
              <w:tc>
                <w:tcPr>
                  <w:tcW w:w="962" w:type="dxa"/>
                  <w:noWrap/>
                  <w:vAlign w:val="center"/>
                </w:tcPr>
                <w:p w14:paraId="6170F7D2">
                  <w:pPr>
                    <w:pStyle w:val="13"/>
                    <w:ind w:left="-105" w:leftChars="-50" w:right="-105" w:rightChars="-5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19200</w:t>
                  </w:r>
                </w:p>
              </w:tc>
              <w:tc>
                <w:tcPr>
                  <w:tcW w:w="974" w:type="dxa"/>
                  <w:noWrap/>
                  <w:vAlign w:val="center"/>
                </w:tcPr>
                <w:p w14:paraId="16956029">
                  <w:pPr>
                    <w:pStyle w:val="13"/>
                    <w:ind w:left="-105" w:leftChars="-50" w:right="-105" w:rightChars="-50"/>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0</w:t>
                  </w:r>
                </w:p>
              </w:tc>
              <w:tc>
                <w:tcPr>
                  <w:tcW w:w="956" w:type="dxa"/>
                  <w:noWrap/>
                  <w:vAlign w:val="center"/>
                </w:tcPr>
                <w:p w14:paraId="7B92B991">
                  <w:pPr>
                    <w:pStyle w:val="13"/>
                    <w:ind w:left="-105" w:leftChars="-50" w:right="-105" w:rightChars="-50"/>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0</w:t>
                  </w:r>
                </w:p>
              </w:tc>
            </w:tr>
            <w:tr w14:paraId="395DF64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277" w:hRule="atLeast"/>
                <w:jc w:val="center"/>
              </w:trPr>
              <w:tc>
                <w:tcPr>
                  <w:tcW w:w="1372" w:type="dxa"/>
                  <w:noWrap/>
                  <w:vAlign w:val="center"/>
                </w:tcPr>
                <w:p w14:paraId="707A9797">
                  <w:pPr>
                    <w:pStyle w:val="13"/>
                    <w:ind w:left="-105" w:leftChars="-50" w:right="-105" w:rightChars="-50"/>
                    <w:jc w:val="center"/>
                    <w:rPr>
                      <w:rFonts w:hint="default" w:ascii="Times New Roman" w:hAnsi="Times New Roman" w:eastAsia="宋体"/>
                      <w:sz w:val="21"/>
                      <w:szCs w:val="21"/>
                    </w:rPr>
                  </w:pPr>
                  <w:r>
                    <w:rPr>
                      <w:rFonts w:hint="default" w:ascii="Times New Roman" w:hAnsi="Times New Roman" w:eastAsia="宋体"/>
                      <w:sz w:val="21"/>
                      <w:szCs w:val="21"/>
                    </w:rPr>
                    <w:t>生活</w:t>
                  </w:r>
                  <w:r>
                    <w:rPr>
                      <w:rFonts w:ascii="Times New Roman" w:hAnsi="Times New Roman" w:eastAsia="宋体"/>
                      <w:sz w:val="21"/>
                      <w:szCs w:val="21"/>
                    </w:rPr>
                    <w:t>用水</w:t>
                  </w:r>
                </w:p>
              </w:tc>
              <w:tc>
                <w:tcPr>
                  <w:tcW w:w="1356" w:type="dxa"/>
                  <w:noWrap/>
                  <w:vAlign w:val="center"/>
                </w:tcPr>
                <w:p w14:paraId="4F2EC88F">
                  <w:pPr>
                    <w:pStyle w:val="13"/>
                    <w:ind w:left="-105" w:leftChars="-50" w:right="-105" w:rightChars="-50"/>
                    <w:jc w:val="center"/>
                    <w:rPr>
                      <w:rFonts w:hint="default" w:ascii="Times New Roman" w:hAnsi="Times New Roman" w:eastAsia="宋体"/>
                      <w:sz w:val="21"/>
                      <w:szCs w:val="21"/>
                    </w:rPr>
                  </w:pPr>
                  <w:r>
                    <w:rPr>
                      <w:rFonts w:ascii="Times New Roman" w:hAnsi="Times New Roman" w:eastAsia="宋体"/>
                      <w:sz w:val="21"/>
                      <w:szCs w:val="21"/>
                    </w:rPr>
                    <w:t>100</w:t>
                  </w:r>
                  <w:r>
                    <w:rPr>
                      <w:rFonts w:hint="default" w:ascii="Times New Roman" w:hAnsi="Times New Roman" w:eastAsia="宋体"/>
                      <w:sz w:val="21"/>
                      <w:szCs w:val="21"/>
                    </w:rPr>
                    <w:t>L/人·d</w:t>
                  </w:r>
                </w:p>
              </w:tc>
              <w:tc>
                <w:tcPr>
                  <w:tcW w:w="1138" w:type="dxa"/>
                  <w:noWrap/>
                  <w:vAlign w:val="center"/>
                </w:tcPr>
                <w:p w14:paraId="44436844">
                  <w:pPr>
                    <w:pStyle w:val="13"/>
                    <w:ind w:left="-105" w:leftChars="-50" w:right="-105" w:rightChars="-50"/>
                    <w:jc w:val="center"/>
                    <w:rPr>
                      <w:rFonts w:hint="default" w:ascii="Times New Roman" w:hAnsi="Times New Roman" w:eastAsia="宋体"/>
                      <w:sz w:val="21"/>
                      <w:szCs w:val="21"/>
                    </w:rPr>
                  </w:pPr>
                  <w:r>
                    <w:rPr>
                      <w:rFonts w:ascii="Times New Roman" w:hAnsi="Times New Roman" w:eastAsia="宋体"/>
                      <w:sz w:val="21"/>
                      <w:szCs w:val="21"/>
                    </w:rPr>
                    <w:t>10</w:t>
                  </w:r>
                  <w:r>
                    <w:rPr>
                      <w:rFonts w:hint="default" w:ascii="Times New Roman" w:hAnsi="Times New Roman" w:eastAsia="宋体"/>
                      <w:sz w:val="21"/>
                      <w:szCs w:val="21"/>
                    </w:rPr>
                    <w:t>人/d</w:t>
                  </w:r>
                </w:p>
              </w:tc>
              <w:tc>
                <w:tcPr>
                  <w:tcW w:w="603" w:type="dxa"/>
                  <w:tcBorders>
                    <w:top w:val="single" w:color="auto" w:sz="4" w:space="0"/>
                  </w:tcBorders>
                  <w:noWrap/>
                  <w:vAlign w:val="center"/>
                </w:tcPr>
                <w:p w14:paraId="55661317">
                  <w:pPr>
                    <w:pStyle w:val="13"/>
                    <w:ind w:left="-105" w:leftChars="-50" w:right="-105" w:rightChars="-50"/>
                    <w:jc w:val="center"/>
                    <w:rPr>
                      <w:rFonts w:hint="default" w:ascii="Times New Roman" w:hAnsi="Times New Roman" w:eastAsia="宋体"/>
                      <w:sz w:val="21"/>
                      <w:szCs w:val="21"/>
                    </w:rPr>
                  </w:pPr>
                  <w:r>
                    <w:rPr>
                      <w:rFonts w:hint="eastAsia" w:ascii="Times New Roman" w:hAnsi="Times New Roman" w:eastAsia="宋体"/>
                      <w:sz w:val="21"/>
                      <w:szCs w:val="21"/>
                      <w:lang w:val="en-US" w:eastAsia="zh-CN"/>
                    </w:rPr>
                    <w:t>240</w:t>
                  </w:r>
                  <w:r>
                    <w:rPr>
                      <w:rFonts w:hint="default" w:ascii="Times New Roman" w:hAnsi="Times New Roman" w:eastAsia="宋体"/>
                      <w:sz w:val="21"/>
                      <w:szCs w:val="21"/>
                    </w:rPr>
                    <w:t>d</w:t>
                  </w:r>
                </w:p>
              </w:tc>
              <w:tc>
                <w:tcPr>
                  <w:tcW w:w="973" w:type="dxa"/>
                  <w:tcBorders>
                    <w:top w:val="single" w:color="auto" w:sz="4" w:space="0"/>
                  </w:tcBorders>
                  <w:noWrap/>
                  <w:vAlign w:val="center"/>
                </w:tcPr>
                <w:p w14:paraId="5D8FF424">
                  <w:pPr>
                    <w:pStyle w:val="13"/>
                    <w:ind w:left="-105" w:leftChars="-50" w:right="-105" w:rightChars="-5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5.3</w:t>
                  </w:r>
                </w:p>
              </w:tc>
              <w:tc>
                <w:tcPr>
                  <w:tcW w:w="962" w:type="dxa"/>
                  <w:noWrap/>
                  <w:vAlign w:val="center"/>
                </w:tcPr>
                <w:p w14:paraId="550D5404">
                  <w:pPr>
                    <w:pStyle w:val="13"/>
                    <w:ind w:left="-105" w:leftChars="-50" w:right="-105" w:rightChars="-50"/>
                    <w:jc w:val="center"/>
                    <w:rPr>
                      <w:rFonts w:hint="default" w:ascii="Times New Roman" w:hAnsi="Times New Roman" w:eastAsia="宋体"/>
                      <w:sz w:val="21"/>
                      <w:szCs w:val="21"/>
                      <w:lang w:val="en-US" w:eastAsia="zh-CN"/>
                    </w:rPr>
                  </w:pPr>
                  <w:r>
                    <w:rPr>
                      <w:rFonts w:ascii="Times New Roman" w:hAnsi="Times New Roman" w:eastAsia="宋体"/>
                      <w:sz w:val="21"/>
                      <w:szCs w:val="21"/>
                    </w:rPr>
                    <w:t>1</w:t>
                  </w:r>
                  <w:r>
                    <w:rPr>
                      <w:rFonts w:hint="eastAsia" w:ascii="Times New Roman" w:hAnsi="Times New Roman" w:eastAsia="宋体"/>
                      <w:sz w:val="21"/>
                      <w:szCs w:val="21"/>
                      <w:lang w:val="en-US" w:eastAsia="zh-CN"/>
                    </w:rPr>
                    <w:t>272</w:t>
                  </w:r>
                </w:p>
              </w:tc>
              <w:tc>
                <w:tcPr>
                  <w:tcW w:w="974" w:type="dxa"/>
                  <w:noWrap/>
                  <w:vAlign w:val="center"/>
                </w:tcPr>
                <w:p w14:paraId="788AF4D6">
                  <w:pPr>
                    <w:pStyle w:val="13"/>
                    <w:ind w:left="-105" w:leftChars="-50" w:right="-105" w:rightChars="-5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4.24</w:t>
                  </w:r>
                </w:p>
              </w:tc>
              <w:tc>
                <w:tcPr>
                  <w:tcW w:w="956" w:type="dxa"/>
                  <w:noWrap/>
                  <w:vAlign w:val="center"/>
                </w:tcPr>
                <w:p w14:paraId="1ADCF57E">
                  <w:pPr>
                    <w:pStyle w:val="13"/>
                    <w:ind w:left="-105" w:leftChars="-50" w:right="-105" w:rightChars="-50"/>
                    <w:jc w:val="center"/>
                    <w:rPr>
                      <w:rFonts w:hint="default" w:ascii="Times New Roman" w:hAnsi="Times New Roman" w:eastAsia="宋体"/>
                      <w:sz w:val="21"/>
                      <w:szCs w:val="21"/>
                      <w:lang w:val="en-US" w:eastAsia="zh-CN"/>
                    </w:rPr>
                  </w:pPr>
                  <w:r>
                    <w:rPr>
                      <w:rFonts w:ascii="Times New Roman" w:hAnsi="Times New Roman" w:eastAsia="宋体"/>
                      <w:sz w:val="21"/>
                      <w:szCs w:val="21"/>
                    </w:rPr>
                    <w:t>1</w:t>
                  </w:r>
                  <w:r>
                    <w:rPr>
                      <w:rFonts w:hint="eastAsia" w:ascii="Times New Roman" w:hAnsi="Times New Roman" w:eastAsia="宋体"/>
                      <w:sz w:val="21"/>
                      <w:szCs w:val="21"/>
                      <w:lang w:val="en-US" w:eastAsia="zh-CN"/>
                    </w:rPr>
                    <w:t>017.6</w:t>
                  </w:r>
                </w:p>
              </w:tc>
            </w:tr>
            <w:tr w14:paraId="059992A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90" w:hRule="atLeast"/>
                <w:jc w:val="center"/>
              </w:trPr>
              <w:tc>
                <w:tcPr>
                  <w:tcW w:w="1372" w:type="dxa"/>
                  <w:noWrap/>
                  <w:vAlign w:val="center"/>
                </w:tcPr>
                <w:p w14:paraId="5099D167">
                  <w:pPr>
                    <w:pStyle w:val="13"/>
                    <w:jc w:val="center"/>
                    <w:rPr>
                      <w:rFonts w:hint="default" w:ascii="Times New Roman" w:hAnsi="Times New Roman" w:eastAsia="宋体"/>
                      <w:sz w:val="21"/>
                      <w:szCs w:val="21"/>
                    </w:rPr>
                  </w:pPr>
                  <w:r>
                    <w:rPr>
                      <w:rFonts w:hint="default" w:ascii="Times New Roman" w:hAnsi="Times New Roman" w:eastAsia="宋体"/>
                      <w:sz w:val="21"/>
                      <w:szCs w:val="21"/>
                    </w:rPr>
                    <w:t>绿化用水</w:t>
                  </w:r>
                </w:p>
              </w:tc>
              <w:tc>
                <w:tcPr>
                  <w:tcW w:w="1356" w:type="dxa"/>
                  <w:noWrap/>
                  <w:vAlign w:val="center"/>
                </w:tcPr>
                <w:p w14:paraId="5F17271D">
                  <w:pPr>
                    <w:pStyle w:val="13"/>
                    <w:jc w:val="center"/>
                    <w:rPr>
                      <w:rFonts w:hint="default" w:ascii="Times New Roman" w:hAnsi="Times New Roman" w:eastAsia="宋体"/>
                      <w:snapToGrid w:val="0"/>
                      <w:kern w:val="0"/>
                      <w:sz w:val="21"/>
                      <w:szCs w:val="21"/>
                    </w:rPr>
                  </w:pPr>
                  <w:r>
                    <w:rPr>
                      <w:rFonts w:hint="default" w:ascii="Times New Roman" w:hAnsi="Times New Roman" w:eastAsia="宋体"/>
                      <w:snapToGrid w:val="0"/>
                      <w:kern w:val="0"/>
                      <w:sz w:val="21"/>
                      <w:szCs w:val="21"/>
                    </w:rPr>
                    <w:t>2L/m</w:t>
                  </w:r>
                  <w:r>
                    <w:rPr>
                      <w:rFonts w:hint="default" w:ascii="Times New Roman" w:hAnsi="Times New Roman" w:eastAsia="宋体"/>
                      <w:snapToGrid w:val="0"/>
                      <w:kern w:val="0"/>
                      <w:sz w:val="21"/>
                      <w:szCs w:val="21"/>
                      <w:vertAlign w:val="superscript"/>
                    </w:rPr>
                    <w:t>2</w:t>
                  </w:r>
                  <w:r>
                    <w:rPr>
                      <w:rFonts w:hint="default" w:ascii="Times New Roman" w:hAnsi="Times New Roman" w:eastAsia="宋体"/>
                      <w:snapToGrid w:val="0"/>
                      <w:kern w:val="0"/>
                      <w:sz w:val="21"/>
                      <w:szCs w:val="21"/>
                    </w:rPr>
                    <w:t>·d</w:t>
                  </w:r>
                </w:p>
              </w:tc>
              <w:tc>
                <w:tcPr>
                  <w:tcW w:w="1138" w:type="dxa"/>
                  <w:noWrap/>
                  <w:vAlign w:val="center"/>
                </w:tcPr>
                <w:p w14:paraId="0014CB68">
                  <w:pPr>
                    <w:pStyle w:val="13"/>
                    <w:jc w:val="center"/>
                    <w:rPr>
                      <w:rFonts w:hint="default" w:ascii="Times New Roman" w:hAnsi="Times New Roman" w:eastAsia="宋体"/>
                      <w:snapToGrid w:val="0"/>
                      <w:kern w:val="0"/>
                      <w:sz w:val="21"/>
                      <w:szCs w:val="21"/>
                    </w:rPr>
                  </w:pPr>
                  <w:r>
                    <w:rPr>
                      <w:rFonts w:hint="eastAsia" w:ascii="Times New Roman" w:hAnsi="Times New Roman" w:eastAsia="宋体"/>
                      <w:sz w:val="21"/>
                      <w:szCs w:val="21"/>
                      <w:lang w:val="en-US" w:eastAsia="zh-CN"/>
                    </w:rPr>
                    <w:t>4500</w:t>
                  </w:r>
                  <w:r>
                    <w:rPr>
                      <w:rFonts w:hint="default" w:ascii="Times New Roman" w:hAnsi="Times New Roman" w:eastAsia="宋体"/>
                      <w:sz w:val="21"/>
                      <w:szCs w:val="21"/>
                    </w:rPr>
                    <w:t>m²</w:t>
                  </w:r>
                </w:p>
              </w:tc>
              <w:tc>
                <w:tcPr>
                  <w:tcW w:w="603" w:type="dxa"/>
                  <w:noWrap/>
                  <w:vAlign w:val="center"/>
                </w:tcPr>
                <w:p w14:paraId="616F1B8D">
                  <w:pPr>
                    <w:pStyle w:val="13"/>
                    <w:jc w:val="center"/>
                    <w:rPr>
                      <w:rFonts w:hint="default" w:ascii="Times New Roman" w:hAnsi="Times New Roman" w:eastAsia="宋体"/>
                      <w:sz w:val="21"/>
                      <w:szCs w:val="21"/>
                    </w:rPr>
                  </w:pPr>
                  <w:r>
                    <w:rPr>
                      <w:rFonts w:hint="default" w:ascii="Times New Roman" w:hAnsi="Times New Roman" w:eastAsia="宋体"/>
                      <w:sz w:val="21"/>
                      <w:szCs w:val="21"/>
                    </w:rPr>
                    <w:t>1</w:t>
                  </w:r>
                  <w:r>
                    <w:rPr>
                      <w:rFonts w:ascii="Times New Roman" w:hAnsi="Times New Roman" w:eastAsia="宋体"/>
                      <w:sz w:val="21"/>
                      <w:szCs w:val="21"/>
                    </w:rPr>
                    <w:t>5</w:t>
                  </w:r>
                  <w:r>
                    <w:rPr>
                      <w:rFonts w:hint="default" w:ascii="Times New Roman" w:hAnsi="Times New Roman" w:eastAsia="宋体"/>
                      <w:sz w:val="21"/>
                      <w:szCs w:val="21"/>
                    </w:rPr>
                    <w:t>0d</w:t>
                  </w:r>
                </w:p>
              </w:tc>
              <w:tc>
                <w:tcPr>
                  <w:tcW w:w="973" w:type="dxa"/>
                  <w:noWrap/>
                  <w:vAlign w:val="center"/>
                </w:tcPr>
                <w:p w14:paraId="3BD20265">
                  <w:pPr>
                    <w:pStyle w:val="32"/>
                    <w:jc w:val="center"/>
                    <w:rPr>
                      <w:rFonts w:hint="default" w:ascii="Times New Roman" w:hAnsi="Times New Roman" w:eastAsia="宋体"/>
                      <w:lang w:val="en-US" w:eastAsia="zh-CN"/>
                    </w:rPr>
                  </w:pPr>
                  <w:r>
                    <w:rPr>
                      <w:rFonts w:hint="eastAsia" w:ascii="Times New Roman" w:hAnsi="Times New Roman"/>
                      <w:lang w:val="en-US" w:eastAsia="zh-CN"/>
                    </w:rPr>
                    <w:t>1.2</w:t>
                  </w:r>
                </w:p>
              </w:tc>
              <w:tc>
                <w:tcPr>
                  <w:tcW w:w="962" w:type="dxa"/>
                  <w:noWrap/>
                  <w:vAlign w:val="center"/>
                </w:tcPr>
                <w:p w14:paraId="28466172">
                  <w:pPr>
                    <w:pStyle w:val="32"/>
                    <w:jc w:val="center"/>
                    <w:rPr>
                      <w:rFonts w:hint="default" w:ascii="Times New Roman" w:hAnsi="Times New Roman" w:eastAsia="宋体"/>
                      <w:lang w:val="en-US" w:eastAsia="zh-CN"/>
                    </w:rPr>
                  </w:pPr>
                  <w:r>
                    <w:rPr>
                      <w:rFonts w:hint="eastAsia" w:ascii="Times New Roman" w:hAnsi="Times New Roman"/>
                      <w:lang w:val="en-US" w:eastAsia="zh-CN"/>
                    </w:rPr>
                    <w:t>180</w:t>
                  </w:r>
                </w:p>
              </w:tc>
              <w:tc>
                <w:tcPr>
                  <w:tcW w:w="974" w:type="dxa"/>
                  <w:noWrap/>
                  <w:vAlign w:val="center"/>
                </w:tcPr>
                <w:p w14:paraId="4C2C5ED7">
                  <w:pPr>
                    <w:pStyle w:val="32"/>
                    <w:jc w:val="center"/>
                    <w:rPr>
                      <w:rFonts w:ascii="Times New Roman" w:hAnsi="Times New Roman"/>
                    </w:rPr>
                  </w:pPr>
                  <w:r>
                    <w:rPr>
                      <w:rFonts w:ascii="Times New Roman" w:hAnsi="Times New Roman"/>
                    </w:rPr>
                    <w:t>0</w:t>
                  </w:r>
                </w:p>
              </w:tc>
              <w:tc>
                <w:tcPr>
                  <w:tcW w:w="956" w:type="dxa"/>
                  <w:noWrap/>
                  <w:vAlign w:val="center"/>
                </w:tcPr>
                <w:p w14:paraId="62D258B4">
                  <w:pPr>
                    <w:pStyle w:val="32"/>
                    <w:jc w:val="center"/>
                    <w:rPr>
                      <w:rFonts w:ascii="Times New Roman" w:hAnsi="Times New Roman"/>
                    </w:rPr>
                  </w:pPr>
                  <w:r>
                    <w:rPr>
                      <w:rFonts w:ascii="Times New Roman" w:hAnsi="Times New Roman"/>
                    </w:rPr>
                    <w:t>0</w:t>
                  </w:r>
                </w:p>
              </w:tc>
            </w:tr>
            <w:tr w14:paraId="61CC2E0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369" w:hRule="atLeast"/>
                <w:jc w:val="center"/>
              </w:trPr>
              <w:tc>
                <w:tcPr>
                  <w:tcW w:w="1372" w:type="dxa"/>
                  <w:noWrap/>
                  <w:vAlign w:val="center"/>
                </w:tcPr>
                <w:p w14:paraId="734BDB21">
                  <w:pPr>
                    <w:pStyle w:val="13"/>
                    <w:ind w:left="-105" w:leftChars="-50" w:right="-105" w:rightChars="-50"/>
                    <w:jc w:val="center"/>
                    <w:rPr>
                      <w:rFonts w:hint="default" w:ascii="Times New Roman" w:hAnsi="Times New Roman" w:eastAsia="宋体"/>
                      <w:sz w:val="21"/>
                      <w:szCs w:val="21"/>
                    </w:rPr>
                  </w:pPr>
                  <w:r>
                    <w:rPr>
                      <w:rFonts w:hint="default" w:ascii="Times New Roman" w:hAnsi="Times New Roman" w:eastAsia="宋体"/>
                      <w:sz w:val="21"/>
                      <w:szCs w:val="21"/>
                    </w:rPr>
                    <w:t>合计</w:t>
                  </w:r>
                </w:p>
              </w:tc>
              <w:tc>
                <w:tcPr>
                  <w:tcW w:w="1356" w:type="dxa"/>
                  <w:noWrap/>
                  <w:vAlign w:val="center"/>
                </w:tcPr>
                <w:p w14:paraId="6FE0A7AB">
                  <w:pPr>
                    <w:pStyle w:val="13"/>
                    <w:ind w:left="-105" w:leftChars="-50" w:right="-105" w:rightChars="-50"/>
                    <w:jc w:val="center"/>
                    <w:rPr>
                      <w:rFonts w:hint="default" w:ascii="Times New Roman" w:hAnsi="Times New Roman" w:eastAsia="宋体"/>
                      <w:sz w:val="21"/>
                      <w:szCs w:val="21"/>
                    </w:rPr>
                  </w:pPr>
                  <w:r>
                    <w:rPr>
                      <w:rFonts w:hint="default" w:ascii="Times New Roman" w:hAnsi="Times New Roman" w:eastAsia="宋体"/>
                      <w:sz w:val="21"/>
                      <w:szCs w:val="21"/>
                    </w:rPr>
                    <w:t>--</w:t>
                  </w:r>
                </w:p>
              </w:tc>
              <w:tc>
                <w:tcPr>
                  <w:tcW w:w="1138" w:type="dxa"/>
                  <w:noWrap/>
                  <w:vAlign w:val="center"/>
                </w:tcPr>
                <w:p w14:paraId="25DD2CA4">
                  <w:pPr>
                    <w:pStyle w:val="13"/>
                    <w:ind w:left="-105" w:leftChars="-50" w:right="-105" w:rightChars="-50"/>
                    <w:jc w:val="center"/>
                    <w:rPr>
                      <w:rFonts w:hint="default" w:ascii="Times New Roman" w:hAnsi="Times New Roman" w:eastAsia="宋体"/>
                      <w:sz w:val="21"/>
                      <w:szCs w:val="21"/>
                    </w:rPr>
                  </w:pPr>
                  <w:r>
                    <w:rPr>
                      <w:rFonts w:hint="default" w:ascii="Times New Roman" w:hAnsi="Times New Roman" w:eastAsia="宋体"/>
                      <w:sz w:val="21"/>
                      <w:szCs w:val="21"/>
                    </w:rPr>
                    <w:t>--</w:t>
                  </w:r>
                </w:p>
              </w:tc>
              <w:tc>
                <w:tcPr>
                  <w:tcW w:w="603" w:type="dxa"/>
                  <w:noWrap/>
                  <w:vAlign w:val="center"/>
                </w:tcPr>
                <w:p w14:paraId="74A5F556">
                  <w:pPr>
                    <w:pStyle w:val="13"/>
                    <w:ind w:left="-105" w:leftChars="-50" w:right="-105" w:rightChars="-50"/>
                    <w:jc w:val="center"/>
                    <w:rPr>
                      <w:rFonts w:hint="default" w:ascii="Times New Roman" w:hAnsi="Times New Roman" w:eastAsia="宋体"/>
                      <w:sz w:val="21"/>
                      <w:szCs w:val="21"/>
                    </w:rPr>
                  </w:pPr>
                  <w:r>
                    <w:rPr>
                      <w:rFonts w:hint="default" w:ascii="Times New Roman" w:hAnsi="Times New Roman" w:eastAsia="宋体"/>
                      <w:sz w:val="21"/>
                      <w:szCs w:val="21"/>
                    </w:rPr>
                    <w:t>--</w:t>
                  </w:r>
                </w:p>
              </w:tc>
              <w:tc>
                <w:tcPr>
                  <w:tcW w:w="973" w:type="dxa"/>
                  <w:noWrap/>
                  <w:vAlign w:val="center"/>
                </w:tcPr>
                <w:p w14:paraId="7D55EECE">
                  <w:pPr>
                    <w:pStyle w:val="13"/>
                    <w:ind w:left="-105" w:leftChars="-50" w:right="-105" w:rightChars="-5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86.5</w:t>
                  </w:r>
                </w:p>
              </w:tc>
              <w:tc>
                <w:tcPr>
                  <w:tcW w:w="962" w:type="dxa"/>
                  <w:noWrap/>
                  <w:vAlign w:val="center"/>
                </w:tcPr>
                <w:p w14:paraId="5093B976">
                  <w:pPr>
                    <w:pStyle w:val="13"/>
                    <w:ind w:left="-105" w:leftChars="-50" w:right="-105" w:rightChars="-5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20652</w:t>
                  </w:r>
                </w:p>
              </w:tc>
              <w:tc>
                <w:tcPr>
                  <w:tcW w:w="974" w:type="dxa"/>
                  <w:noWrap/>
                  <w:vAlign w:val="center"/>
                </w:tcPr>
                <w:p w14:paraId="25E34EDD">
                  <w:pPr>
                    <w:pStyle w:val="13"/>
                    <w:ind w:left="-105" w:leftChars="-50" w:right="-105" w:rightChars="-5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4.24</w:t>
                  </w:r>
                </w:p>
              </w:tc>
              <w:tc>
                <w:tcPr>
                  <w:tcW w:w="956" w:type="dxa"/>
                  <w:noWrap/>
                  <w:vAlign w:val="center"/>
                </w:tcPr>
                <w:p w14:paraId="4A251269">
                  <w:pPr>
                    <w:pStyle w:val="13"/>
                    <w:ind w:left="-105" w:leftChars="-50" w:right="-105" w:rightChars="-50"/>
                    <w:jc w:val="center"/>
                    <w:rPr>
                      <w:rFonts w:hint="default" w:ascii="Times New Roman" w:hAnsi="Times New Roman" w:eastAsia="宋体"/>
                      <w:sz w:val="21"/>
                      <w:szCs w:val="21"/>
                      <w:lang w:val="en-US" w:eastAsia="zh-CN"/>
                    </w:rPr>
                  </w:pPr>
                  <w:r>
                    <w:rPr>
                      <w:rFonts w:ascii="Times New Roman" w:hAnsi="Times New Roman" w:eastAsia="宋体"/>
                      <w:sz w:val="21"/>
                      <w:szCs w:val="21"/>
                    </w:rPr>
                    <w:t>1</w:t>
                  </w:r>
                  <w:r>
                    <w:rPr>
                      <w:rFonts w:hint="eastAsia" w:ascii="Times New Roman" w:hAnsi="Times New Roman" w:eastAsia="宋体"/>
                      <w:sz w:val="21"/>
                      <w:szCs w:val="21"/>
                      <w:lang w:val="en-US" w:eastAsia="zh-CN"/>
                    </w:rPr>
                    <w:t>017.6</w:t>
                  </w:r>
                </w:p>
              </w:tc>
            </w:tr>
          </w:tbl>
          <w:p w14:paraId="6856C1AA">
            <w:pPr>
              <w:pStyle w:val="31"/>
              <w:adjustRightInd/>
              <w:snapToGrid/>
              <w:jc w:val="both"/>
              <w:rPr>
                <w:rFonts w:hint="eastAsia"/>
                <w:sz w:val="21"/>
                <w:lang w:eastAsia="zh-CN"/>
              </w:rPr>
            </w:pPr>
          </w:p>
          <w:p w14:paraId="74C7027D">
            <w:pPr>
              <w:pStyle w:val="31"/>
              <w:adjustRightInd/>
              <w:snapToGrid/>
              <w:jc w:val="both"/>
              <w:rPr>
                <w:rFonts w:hint="eastAsia"/>
                <w:sz w:val="21"/>
                <w:lang w:eastAsia="zh-CN"/>
              </w:rPr>
            </w:pPr>
          </w:p>
          <w:p w14:paraId="4AFE98A1">
            <w:pPr>
              <w:pStyle w:val="31"/>
              <w:adjustRightInd/>
              <w:snapToGrid/>
              <w:jc w:val="both"/>
              <w:rPr>
                <w:rFonts w:hint="eastAsia"/>
                <w:sz w:val="21"/>
                <w:lang w:eastAsia="zh-CN"/>
              </w:rPr>
            </w:pPr>
          </w:p>
          <w:p w14:paraId="6BDF82BE">
            <w:pPr>
              <w:pStyle w:val="31"/>
              <w:adjustRightInd/>
              <w:snapToGrid/>
              <w:jc w:val="center"/>
              <w:rPr>
                <w:szCs w:val="21"/>
              </w:rPr>
            </w:pPr>
            <w:r>
              <w:rPr>
                <w:sz w:val="21"/>
              </w:rPr>
              <w:pict>
                <v:group id="组合 41" o:spid="_x0000_s2806" o:spt="203" style="position:absolute;left:0pt;margin-left:0pt;margin-top:1.6pt;height:211.35pt;width:409.75pt;mso-wrap-distance-bottom:0pt;mso-wrap-distance-top:0pt;z-index:251662336;mso-width-relative:page;mso-height-relative:page;" coordorigin="2723,3601" coordsize="8195,4227" o:gfxdata="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">
                  <o:lock v:ext="edit" aspectratio="f"/>
                  <v:shape id="文本框 3" o:spid="_x0000_s2772" o:spt="202" type="#_x0000_t202" style="position:absolute;left:6893;top:3666;height:419;width:1411;" filled="f" stroked="f" coordsize="21600,21600" o:gfxdata="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sFPO/&#10;AAAA2gAAAA8AAAAAAAAAAQAgAAAAIgAAAGRycy9kb3ducmV2LnhtbFBLAQIUABQAAAAIAIdO4kAz&#10;LwWeOwAAADkAAAAQAAAAAAAAAAEAIAAAAA4BAABkcnMvc2hhcGV4bWwueG1sUEsFBgAAAAAGAAYA&#10;WwEAALgDAAAAAA==&#10;">
                    <v:path/>
                    <v:fill on="f" focussize="0,0"/>
                    <v:stroke on="f" weight="0.5pt"/>
                    <v:imagedata o:title=""/>
                    <o:lock v:ext="edit" aspectratio="f"/>
                    <v:textbox>
                      <w:txbxContent>
                        <w:p w14:paraId="1052D275">
                          <w:pPr>
                            <w:rPr>
                              <w:rFonts w:eastAsiaTheme="minorEastAsia"/>
                            </w:rPr>
                          </w:pPr>
                          <w:r>
                            <w:rPr>
                              <w:rFonts w:hint="eastAsia"/>
                              <w:lang w:val="en-US" w:eastAsia="zh-CN"/>
                            </w:rPr>
                            <w:t>1.92万</w:t>
                          </w:r>
                          <w:r>
                            <w:rPr>
                              <w:rFonts w:hint="eastAsia"/>
                            </w:rPr>
                            <w:t>m</w:t>
                          </w:r>
                          <w:r>
                            <w:rPr>
                              <w:rFonts w:hint="eastAsia"/>
                              <w:vertAlign w:val="superscript"/>
                            </w:rPr>
                            <w:t>3</w:t>
                          </w:r>
                          <w:r>
                            <w:rPr>
                              <w:rFonts w:hint="eastAsia"/>
                            </w:rPr>
                            <w:t>/a</w:t>
                          </w:r>
                        </w:p>
                      </w:txbxContent>
                    </v:textbox>
                  </v:shape>
                  <v:group id="组合 40" o:spid="_x0000_s2805" o:spt="203" style="position:absolute;left:2723;top:3601;height:4227;width:8195;" coordorigin="2723,3601" coordsize="8195,4227" o:gfxdata="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G9vgi7AAAA2wAAAA8AAAAAAAAAAQAgAAAAIgAAAGRycy9kb3ducmV2LnhtbFBL&#10;AQIUABQAAAAIAIdO4kAzLwWeOwAAADkAAAAVAAAAAAAAAAEAIAAAAAoBAABkcnMvZ3JvdXBzaGFw&#10;ZXhtbC54bWxQSwUGAAAAAAYABgBgAQAAxwMAAAAA&#10;">
                    <o:lock v:ext="edit" aspectratio="f"/>
                    <v:group id="组合 38" o:spid="_x0000_s2803" o:spt="203" style="position:absolute;left:2723;top:3879;height:3949;width:8195;" coordorigin="2723,3879" coordsize="8195,3949"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group id="组合 36" o:spid="_x0000_s2801" o:spt="203" style="position:absolute;left:2723;top:3879;height:3949;width:8195;" coordorigin="2723,3879" coordsize="8195,3949"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group id="组合 30" o:spid="_x0000_s2797" o:spt="203" style="position:absolute;left:2723;top:3879;height:3949;width:8195;" coordorigin="2723,3879" coordsize="8195,3949"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group id="组合 26" o:spid="_x0000_s2795" o:spt="203" style="position:absolute;left:2723;top:4123;height:3705;width:8195;" coordorigin="4771,19958" coordsize="8184,3736"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group id="组合 23" o:spid="_x0000_s2792" o:spt="203" style="position:absolute;left:4771;top:19958;height:3736;width:8184;" coordorigin="4641,5983" coordsize="8184,3699"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直接箭头连接符 4" o:spid="_x0000_s2773" o:spt="32" type="#_x0000_t32" style="position:absolute;left:8868;top:9423;height:0;width:1205;" filled="f" stroked="t" coordsize="21600,21600" o:gfxdata="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MzJBLsAAADa&#10;AAAADwAAAAAAAAABACAAAAAiAAAAZHJzL2Rvd25yZXYueG1sUEsBAhQAFAAAAAgAh07iQDMvBZ47&#10;AAAAOQAAABAAAAAAAAAAAQAgAAAACgEAAGRycy9zaGFwZXhtbC54bWxQSwUGAAAAAAYABgBbAQAA&#10;tAMAAAAA&#10;">
                                <v:path arrowok="t"/>
                                <v:fill on="f" focussize="0,0"/>
                                <v:stroke weight="1pt" color="#000000" miterlimit="8" joinstyle="miter" endarrow="open"/>
                                <v:imagedata o:title=""/>
                                <o:lock v:ext="edit" aspectratio="f"/>
                              </v:shape>
                              <v:group id="组合 22" o:spid="_x0000_s2791" o:spt="203" style="position:absolute;left:4641;top:5983;height:3699;width:8184;" coordorigin="4738,5983" coordsize="8184,3699"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group id="组合 15" o:spid="_x0000_s2784" o:spt="203" style="position:absolute;left:4738;top:5983;height:3456;width:7997;" coordorigin="7912,6414" coordsize="7923,3433"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group id="组合 13" o:spid="_x0000_s2782" o:spt="203" style="position:absolute;left:7912;top:6414;height:3433;width:7923;" coordorigin="271,4029" coordsize="8412,3733"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group id="组合 9" o:spid="_x0000_s2778" o:spt="203" style="position:absolute;left:1596;top:4029;height:3733;width:5054;" coordorigin="2845,1482" coordsize="5027,4087"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左大括号 5" o:spid="_x0000_s2774" o:spt="87" type="#_x0000_t87" style="position:absolute;left:2845;top:1482;height:4087;width:449;" filled="f" stroked="t" coordsize="21600,21600" o:gfxdata="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3WM/bsAAADb&#10;AAAADwAAAAAAAAABACAAAAAiAAAAZHJzL2Rvd25yZXYueG1sUEsBAhQAFAAAAAgAh07iQDMvBZ47&#10;AAAAOQAAABAAAAAAAAAAAQAgAAAACgEAAGRycy9zaGFwZXhtbC54bWxQSwUGAAAAAAYABgBbAQAA&#10;tAMAAAAA&#10;" adj="0,10798">
                                        <v:path arrowok="t"/>
                                        <v:fill on="f" focussize="0,0"/>
                                        <v:stroke weight="1pt" color="#000000" miterlimit="8" joinstyle="miter"/>
                                        <v:imagedata o:title=""/>
                                        <o:lock v:ext="edit" aspectratio="f"/>
                                      </v:shape>
                                      <v:shape id="直接箭头连接符 6" o:spid="_x0000_s2775" o:spt="32" type="#_x0000_t32" style="position:absolute;left:3055;top:3504;height:1;width:1464;" filled="f" stroked="t" coordsize="21600,21600" o:gfxdata="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7o/nDtwAAANsAAAAP&#10;AAAAAAAAAAEAIAAAACIAAABkcnMvZG93bnJldi54bWxQSwECFAAUAAAACACHTuJAMy8FnjsAAAA5&#10;AAAAEAAAAAAAAAABACAAAAAGAQAAZHJzL3NoYXBleG1sLnhtbFBLBQYAAAAABgAGAFsBAACwAwAA&#10;AAA=&#10;">
                                        <v:path arrowok="t"/>
                                        <v:fill on="f" focussize="0,0"/>
                                        <v:stroke weight="1pt" color="#000000" miterlimit="8" joinstyle="miter" endarrow="open"/>
                                        <v:imagedata o:title=""/>
                                        <o:lock v:ext="edit" aspectratio="f"/>
                                      </v:shape>
                                      <v:shape id="文本框 7" o:spid="_x0000_s2776" o:spt="202" type="#_x0000_t202" style="position:absolute;left:4509;top:3215;height:580;width:1580;" filled="f" stroked="t" coordsize="21600,21600" o:gfxdata="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7PZ3ugAAANsA&#10;AAAPAAAAAAAAAAEAIAAAACIAAABkcnMvZG93bnJldi54bWxQSwECFAAUAAAACACHTuJAMy8FnjsA&#10;AAA5AAAAEAAAAAAAAAABACAAAAAJAQAAZHJzL3NoYXBleG1sLnhtbFBLBQYAAAAABgAGAFsBAACz&#10;AwAAAAA=&#10;">
                                        <v:path/>
                                        <v:fill on="f" focussize="0,0"/>
                                        <v:stroke weight="1pt" color="#000000" joinstyle="round"/>
                                        <v:imagedata o:title=""/>
                                        <o:lock v:ext="edit" aspectratio="f"/>
                                        <v:textbox>
                                          <w:txbxContent>
                                            <w:p w14:paraId="318CDCBF">
                                              <w:pPr>
                                                <w:jc w:val="center"/>
                                                <w:textAlignment w:val="center"/>
                                                <w:rPr>
                                                  <w:rFonts w:eastAsiaTheme="minorEastAsia"/>
                                                </w:rPr>
                                              </w:pPr>
                                              <w:r>
                                                <w:rPr>
                                                  <w:rFonts w:hint="eastAsia"/>
                                                </w:rPr>
                                                <w:t>生活用水</w:t>
                                              </w:r>
                                            </w:p>
                                          </w:txbxContent>
                                        </v:textbox>
                                      </v:shape>
                                      <v:shape id="直接箭头连接符 8" o:spid="_x0000_s2777" o:spt="32" type="#_x0000_t32" style="position:absolute;left:6089;top:3520;height:0;width:1783;" filled="f" stroked="t" coordsize="21600,21600" o:gfxdata="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dX1xbgAAADbAAAA&#10;DwAAAAAAAAABACAAAAAiAAAAZHJzL2Rvd25yZXYueG1sUEsBAhQAFAAAAAgAh07iQDMvBZ47AAAA&#10;OQAAABAAAAAAAAAAAQAgAAAABwEAAGRycy9zaGFwZXhtbC54bWxQSwUGAAAAAAYABgBbAQAAsQMA&#10;AAAA&#10;">
                                        <v:path arrowok="t"/>
                                        <v:fill on="f" focussize="0,0"/>
                                        <v:stroke weight="1pt" color="#000000" miterlimit="8" joinstyle="miter" endarrow="open"/>
                                        <v:imagedata o:title=""/>
                                        <o:lock v:ext="edit" aspectratio="f"/>
                                      </v:shape>
                                    </v:group>
                                    <v:shape id="文本框 10" o:spid="_x0000_s2779" o:spt="202" type="#_x0000_t202" style="position:absolute;left:271;top:5296;height:517;width:1418;" filled="f" stroked="f" coordsize="21600,21600" o:gfxdata="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SIM9ugAAANsA&#10;AAAPAAAAAAAAAAEAIAAAACIAAABkcnMvZG93bnJldi54bWxQSwECFAAUAAAACACHTuJAMy8FnjsA&#10;AAA5AAAAEAAAAAAAAAABACAAAAAJAQAAZHJzL3NoYXBleG1sLnhtbFBLBQYAAAAABgAGAFsBAACz&#10;AwAAAAA=&#10;">
                                      <v:path/>
                                      <v:fill on="f" focussize="0,0"/>
                                      <v:stroke on="f" weight="0.5pt"/>
                                      <v:imagedata o:title=""/>
                                      <o:lock v:ext="edit" aspectratio="f"/>
                                      <v:textbox>
                                        <w:txbxContent>
                                          <w:p w14:paraId="4AC59C44">
                                            <w:pPr>
                                              <w:rPr>
                                                <w:rFonts w:eastAsiaTheme="minorEastAsia"/>
                                              </w:rPr>
                                            </w:pPr>
                                            <w:r>
                                              <w:rPr>
                                                <w:rFonts w:hint="eastAsia"/>
                                                <w:lang w:val="en-US" w:eastAsia="zh-CN"/>
                                              </w:rPr>
                                              <w:t>20652</w:t>
                                            </w:r>
                                            <w:r>
                                              <w:rPr>
                                                <w:rFonts w:hint="eastAsia"/>
                                              </w:rPr>
                                              <w:t>m</w:t>
                                            </w:r>
                                            <w:r>
                                              <w:rPr>
                                                <w:rFonts w:hint="eastAsia"/>
                                                <w:vertAlign w:val="superscript"/>
                                              </w:rPr>
                                              <w:t>3</w:t>
                                            </w:r>
                                            <w:r>
                                              <w:t>/a</w:t>
                                            </w:r>
                                          </w:p>
                                        </w:txbxContent>
                                      </v:textbox>
                                    </v:shape>
                                    <v:shape id="文本框 11" o:spid="_x0000_s2780" o:spt="202" type="#_x0000_t202" style="position:absolute;left:4764;top:5344;height:516;width:1866;" filled="f" stroked="f" coordsize="21600,21600" o:gfxdata="UEsDBAoAAAAAAIdO4kAAAAAAAAAAAAAAAAAEAAAAZHJzL1BLAwQUAAAACACHTuJAenOFPr4AAADb&#10;AAAADwAAAGRycy9kb3ducmV2LnhtbEWPS4vCQBCE74L/YWjBm04M7i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nOFPr4A&#10;AADbAAAADwAAAAAAAAABACAAAAAiAAAAZHJzL2Rvd25yZXYueG1sUEsBAhQAFAAAAAgAh07iQDMv&#10;BZ47AAAAOQAAABAAAAAAAAAAAQAgAAAADQEAAGRycy9zaGFwZXhtbC54bWxQSwUGAAAAAAYABgBb&#10;AQAAtwMAAAAA&#10;">
                                      <v:path/>
                                      <v:fill on="f" focussize="0,0"/>
                                      <v:stroke on="f" weight="0.5pt"/>
                                      <v:imagedata o:title=""/>
                                      <o:lock v:ext="edit" aspectratio="f"/>
                                      <v:textbox>
                                        <w:txbxContent>
                                          <w:p w14:paraId="12AB3AAB">
                                            <w:pPr>
                                              <w:keepNext w:val="0"/>
                                              <w:keepLines w:val="0"/>
                                              <w:pageBreakBefore w:val="0"/>
                                              <w:widowControl w:val="0"/>
                                              <w:kinsoku/>
                                              <w:wordWrap/>
                                              <w:overflowPunct/>
                                              <w:topLinePunct w:val="0"/>
                                              <w:autoSpaceDE/>
                                              <w:autoSpaceDN/>
                                              <w:bidi w:val="0"/>
                                              <w:adjustRightInd/>
                                              <w:snapToGrid/>
                                              <w:jc w:val="left"/>
                                              <w:textAlignment w:val="auto"/>
                                              <w:rPr>
                                                <w:rFonts w:eastAsiaTheme="minorEastAsia"/>
                                              </w:rPr>
                                            </w:pPr>
                                            <w:r>
                                              <w:rPr>
                                                <w:rFonts w:hint="eastAsia"/>
                                                <w:lang w:val="en-US" w:eastAsia="zh-CN"/>
                                              </w:rPr>
                                              <w:t>排放1017.6</w:t>
                                            </w:r>
                                            <w:r>
                                              <w:rPr>
                                                <w:rFonts w:hint="eastAsia"/>
                                              </w:rPr>
                                              <w:t>m</w:t>
                                            </w:r>
                                            <w:r>
                                              <w:rPr>
                                                <w:rFonts w:hint="eastAsia"/>
                                                <w:vertAlign w:val="superscript"/>
                                              </w:rPr>
                                              <w:t>3</w:t>
                                            </w:r>
                                            <w:r>
                                              <w:rPr>
                                                <w:rFonts w:hint="eastAsia"/>
                                              </w:rPr>
                                              <w:t>/a</w:t>
                                            </w:r>
                                          </w:p>
                                        </w:txbxContent>
                                      </v:textbox>
                                    </v:shape>
                                    <v:shape id="文本框 12" o:spid="_x0000_s2781" o:spt="202" type="#_x0000_t202" style="position:absolute;left:6641;top:5584;height:519;width:2042;" filled="f" stroked="t" coordsize="21600,21600" o:gfxdata="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UqK9vQAA&#10;ANsAAAAPAAAAAAAAAAEAIAAAACIAAABkcnMvZG93bnJldi54bWxQSwECFAAUAAAACACHTuJAMy8F&#10;njsAAAA5AAAAEAAAAAAAAAABACAAAAAMAQAAZHJzL3NoYXBleG1sLnhtbFBLBQYAAAAABgAGAFsB&#10;AAC2AwAAAAA=&#10;">
                                      <v:path/>
                                      <v:fill on="f" focussize="0,0"/>
                                      <v:stroke weight="1pt" color="#000000" joinstyle="round"/>
                                      <v:imagedata o:title=""/>
                                      <o:lock v:ext="edit" aspectratio="f"/>
                                      <v:textbox>
                                        <w:txbxContent>
                                          <w:p w14:paraId="23CE43C9">
                                            <w:pPr>
                                              <w:jc w:val="center"/>
                                              <w:rPr>
                                                <w:rFonts w:hint="default" w:ascii="宋体" w:hAnsi="宋体" w:eastAsia="宋体" w:cs="宋体"/>
                                                <w:lang w:val="en-US" w:eastAsia="zh-CN"/>
                                              </w:rPr>
                                            </w:pPr>
                                            <w:r>
                                              <w:rPr>
                                                <w:rFonts w:hint="eastAsia" w:ascii="宋体" w:hAnsi="宋体" w:eastAsia="宋体" w:cs="宋体"/>
                                                <w:lang w:val="en-US" w:eastAsia="zh-CN"/>
                                              </w:rPr>
                                              <w:t>污水处理厂</w:t>
                                            </w:r>
                                          </w:p>
                                        </w:txbxContent>
                                      </v:textbox>
                                    </v:shape>
                                  </v:group>
                                  <v:shape id="文本框 14" o:spid="_x0000_s2783" o:spt="202" type="#_x0000_t202" style="position:absolute;left:9332;top:7653;height:475;width:1264;" filled="f" stroked="f" coordsize="21600,21600" o:gfxdata="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qEbSb4A&#10;AADbAAAADwAAAAAAAAABACAAAAAiAAAAZHJzL2Rvd25yZXYueG1sUEsBAhQAFAAAAAgAh07iQDMv&#10;BZ47AAAAOQAAABAAAAAAAAAAAQAgAAAADQEAAGRycy9zaGFwZXhtbC54bWxQSwUGAAAAAAYABgBb&#10;AQAAtwMAAAAA&#10;">
                                    <v:path/>
                                    <v:fill on="f" focussize="0,0"/>
                                    <v:stroke on="f" weight="0.5pt"/>
                                    <v:imagedata o:title=""/>
                                    <o:lock v:ext="edit" aspectratio="f"/>
                                    <v:textbox>
                                      <w:txbxContent>
                                        <w:p w14:paraId="3CD1DEF1">
                                          <w:pPr>
                                            <w:rPr>
                                              <w:rFonts w:eastAsiaTheme="minorEastAsia"/>
                                            </w:rPr>
                                          </w:pPr>
                                          <w:r>
                                            <w:rPr>
                                              <w:rFonts w:hint="eastAsia"/>
                                              <w:lang w:val="en-US" w:eastAsia="zh-CN"/>
                                            </w:rPr>
                                            <w:t>1272</w:t>
                                          </w:r>
                                          <w:r>
                                            <w:rPr>
                                              <w:rFonts w:hint="eastAsia"/>
                                            </w:rPr>
                                            <w:t>m</w:t>
                                          </w:r>
                                          <w:r>
                                            <w:rPr>
                                              <w:rFonts w:hint="eastAsia"/>
                                              <w:vertAlign w:val="superscript"/>
                                            </w:rPr>
                                            <w:t>3</w:t>
                                          </w:r>
                                          <w:r>
                                            <w:rPr>
                                              <w:rFonts w:hint="eastAsia"/>
                                            </w:rPr>
                                            <w:t>/a</w:t>
                                          </w:r>
                                        </w:p>
                                      </w:txbxContent>
                                    </v:textbox>
                                  </v:shape>
                                </v:group>
                                <v:group id="组合 21" o:spid="_x0000_s2790" o:spt="203" style="position:absolute;left:6185;top:8944;height:738;width:6737;" coordorigin="6196,8955" coordsize="6737,738"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shape id="文本框 16" o:spid="_x0000_s2785" o:spt="202" type="#_x0000_t202" style="position:absolute;left:7626;top:9189;height:490;width:1350;" filled="f" stroked="t" coordsize="21600,21600" o:gfxdata="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H6i4vQAA&#10;ANsAAAAPAAAAAAAAAAEAIAAAACIAAABkcnMvZG93bnJldi54bWxQSwECFAAUAAAACACHTuJAMy8F&#10;njsAAAA5AAAAEAAAAAAAAAABACAAAAAMAQAAZHJzL3NoYXBleG1sLnhtbFBLBQYAAAAABgAGAFsB&#10;AAC2AwAAAAA=&#10;">
                                    <v:path/>
                                    <v:fill on="f" focussize="0,0"/>
                                    <v:stroke weight="1pt" color="#000000" joinstyle="round"/>
                                    <v:imagedata o:title=""/>
                                    <o:lock v:ext="edit" aspectratio="f"/>
                                    <v:textbox>
                                      <w:txbxContent>
                                        <w:p w14:paraId="45004AE0">
                                          <w:pPr>
                                            <w:jc w:val="center"/>
                                            <w:textAlignment w:val="center"/>
                                            <w:rPr>
                                              <w:rFonts w:eastAsiaTheme="minorEastAsia"/>
                                            </w:rPr>
                                          </w:pPr>
                                          <w:r>
                                            <w:rPr>
                                              <w:rFonts w:hint="eastAsia"/>
                                              <w:lang w:val="en-US" w:eastAsia="zh-CN"/>
                                            </w:rPr>
                                            <w:t>绿化用</w:t>
                                          </w:r>
                                          <w:r>
                                            <w:rPr>
                                              <w:rFonts w:hint="eastAsia"/>
                                            </w:rPr>
                                            <w:t>水</w:t>
                                          </w:r>
                                        </w:p>
                                      </w:txbxContent>
                                    </v:textbox>
                                  </v:shape>
                                  <v:shape id="文本框 17" o:spid="_x0000_s2786" o:spt="202" type="#_x0000_t202" style="position:absolute;left:10181;top:9203;height:490;width:2752;" filled="f" stroked="t" coordsize="21600,21600" o:gfxdata="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sDJjvQAA&#10;ANsAAAAPAAAAAAAAAAEAIAAAACIAAABkcnMvZG93bnJldi54bWxQSwECFAAUAAAACACHTuJAMy8F&#10;njsAAAA5AAAAEAAAAAAAAAABACAAAAAMAQAAZHJzL3NoYXBleG1sLnhtbFBLBQYAAAAABgAGAFsB&#10;AAC2AwAAAAA=&#10;">
                                    <v:path/>
                                    <v:fill on="f" focussize="0,0"/>
                                    <v:stroke weight="1pt" color="#000000" joinstyle="round"/>
                                    <v:imagedata o:title=""/>
                                    <o:lock v:ext="edit" aspectratio="f"/>
                                    <v:textbox>
                                      <w:txbxContent>
                                        <w:p w14:paraId="1448373C">
                                          <w:r>
                                            <w:rPr>
                                              <w:rFonts w:hint="eastAsia"/>
                                            </w:rPr>
                                            <w:t>植物吸收、渗入土壤或挥发</w:t>
                                          </w:r>
                                        </w:p>
                                        <w:p w14:paraId="0071FF7E"/>
                                      </w:txbxContent>
                                    </v:textbox>
                                  </v:shape>
                                  <v:shape id="文本框 18" o:spid="_x0000_s2787" o:spt="202" type="#_x0000_t202" style="position:absolute;left:6237;top:8985;height:479;width:1277;" filled="f" stroked="f" coordsize="21600,21600" o:gfxdata="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w8uDL4A&#10;AADbAAAADwAAAAAAAAABACAAAAAiAAAAZHJzL2Rvd25yZXYueG1sUEsBAhQAFAAAAAgAh07iQDMv&#10;BZ47AAAAOQAAABAAAAAAAAAAAQAgAAAADQEAAGRycy9zaGFwZXhtbC54bWxQSwUGAAAAAAYABgBb&#10;AQAAtwMAAAAA&#10;">
                                    <v:path/>
                                    <v:fill on="f" focussize="0,0"/>
                                    <v:stroke on="f" weight="0.5pt"/>
                                    <v:imagedata o:title=""/>
                                    <o:lock v:ext="edit" aspectratio="f"/>
                                    <v:textbox>
                                      <w:txbxContent>
                                        <w:p w14:paraId="7D2F5D57">
                                          <w:pPr>
                                            <w:rPr>
                                              <w:rFonts w:eastAsiaTheme="minorEastAsia"/>
                                            </w:rPr>
                                          </w:pPr>
                                          <w:r>
                                            <w:rPr>
                                              <w:rFonts w:hint="eastAsia"/>
                                              <w:lang w:val="en-US" w:eastAsia="zh-CN"/>
                                            </w:rPr>
                                            <w:t>180</w:t>
                                          </w:r>
                                          <w:r>
                                            <w:rPr>
                                              <w:rFonts w:hint="eastAsia"/>
                                            </w:rPr>
                                            <w:t>m</w:t>
                                          </w:r>
                                          <w:r>
                                            <w:rPr>
                                              <w:rFonts w:hint="eastAsia"/>
                                              <w:vertAlign w:val="superscript"/>
                                            </w:rPr>
                                            <w:t>3</w:t>
                                          </w:r>
                                          <w:r>
                                            <w:rPr>
                                              <w:rFonts w:hint="eastAsia"/>
                                            </w:rPr>
                                            <w:t>/a</w:t>
                                          </w:r>
                                        </w:p>
                                      </w:txbxContent>
                                    </v:textbox>
                                  </v:shape>
                                  <v:shape id="直接箭头连接符 19" o:spid="_x0000_s2788" o:spt="32" type="#_x0000_t32" style="position:absolute;left:6196;top:9431;height:21;width:1455;" filled="f" stroked="t" coordsize="21600,21600" o:gfxdata="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ieT7sAAADb&#10;AAAADwAAAAAAAAABACAAAAAiAAAAZHJzL2Rvd25yZXYueG1sUEsBAhQAFAAAAAgAh07iQDMvBZ47&#10;AAAAOQAAABAAAAAAAAAAAQAgAAAACgEAAGRycy9zaGFwZXhtbC54bWxQSwUGAAAAAAYABgBbAQAA&#10;tAMAAAAA&#10;">
                                    <v:path arrowok="t"/>
                                    <v:fill on="f" focussize="0,0"/>
                                    <v:stroke weight="1pt" color="#000000" miterlimit="8" joinstyle="miter" endarrow="open"/>
                                    <v:imagedata o:title=""/>
                                    <o:lock v:ext="edit" aspectratio="f"/>
                                  </v:shape>
                                  <v:shape id="文本框 20" o:spid="_x0000_s2789" o:spt="202" type="#_x0000_t202" style="position:absolute;left:8901;top:8955;height:435;width:1290;" filled="f" stroked="f" coordsize="21600,21600" o:gfxdata="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mKB4vQAA&#10;ANsAAAAPAAAAAAAAAAEAIAAAACIAAABkcnMvZG93bnJldi54bWxQSwECFAAUAAAACACHTuJAMy8F&#10;njsAAAA5AAAAEAAAAAAAAAABACAAAAAMAQAAZHJzL3NoYXBleG1sLnhtbFBLBQYAAAAABgAGAFsB&#10;AAC2AwAAAAA=&#10;">
                                    <v:path/>
                                    <v:fill on="f" focussize="0,0"/>
                                    <v:stroke on="f" weight="1pt"/>
                                    <v:imagedata o:title=""/>
                                    <o:lock v:ext="edit" aspectratio="f"/>
                                    <v:textbox>
                                      <w:txbxContent>
                                        <w:p w14:paraId="223A29C6">
                                          <w:pPr>
                                            <w:jc w:val="center"/>
                                            <w:textAlignment w:val="center"/>
                                            <w:rPr>
                                              <w:rFonts w:hint="default" w:eastAsiaTheme="minorEastAsia"/>
                                              <w:lang w:val="en-US" w:eastAsia="zh-CN"/>
                                            </w:rPr>
                                          </w:pPr>
                                          <w:r>
                                            <w:rPr>
                                              <w:rFonts w:hint="eastAsia"/>
                                              <w:lang w:val="en-US" w:eastAsia="zh-CN"/>
                                            </w:rPr>
                                            <w:t>180</w:t>
                                          </w:r>
                                          <w:r>
                                            <w:rPr>
                                              <w:rFonts w:hint="eastAsia"/>
                                            </w:rPr>
                                            <w:t>m</w:t>
                                          </w:r>
                                          <w:r>
                                            <w:rPr>
                                              <w:rFonts w:hint="eastAsia"/>
                                              <w:vertAlign w:val="superscript"/>
                                            </w:rPr>
                                            <w:t>3</w:t>
                                          </w:r>
                                          <w:r>
                                            <w:rPr>
                                              <w:rFonts w:hint="eastAsia"/>
                                            </w:rPr>
                                            <w:t>/a</w:t>
                                          </w:r>
                                        </w:p>
                                      </w:txbxContent>
                                    </v:textbox>
                                  </v:shape>
                                </v:group>
                              </v:group>
                            </v:group>
                            <v:shape id="文本框 24" o:spid="_x0000_s2793" o:spt="202" type="#_x0000_t202" style="position:absolute;left:8006;top:22308;height:480;width:1787;" filled="f" stroked="t" coordsize="21600,21600" o:gfxdata="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1rPn7sAAADb&#10;AAAADwAAAAAAAAABACAAAAAiAAAAZHJzL2Rvd25yZXYueG1sUEsBAhQAFAAAAAgAh07iQDMvBZ47&#10;AAAAOQAAABAAAAAAAAAAAQAgAAAACgEAAGRycy9zaGFwZXhtbC54bWxQSwUGAAAAAAYABgBbAQAA&#10;tAMAAAAA&#10;">
                              <v:path/>
                              <v:fill on="f" focussize="0,0"/>
                              <v:stroke weight="0.5pt" color="#000000" joinstyle="round" dashstyle="3 1"/>
                              <v:imagedata o:title=""/>
                              <o:lock v:ext="edit" aspectratio="f"/>
                              <v:textbox>
                                <w:txbxContent>
                                  <w:p w14:paraId="73DA13CF">
                                    <w:r>
                                      <w:rPr>
                                        <w:rFonts w:hint="eastAsia" w:ascii="宋体" w:hAnsi="宋体" w:eastAsia="宋体" w:cs="宋体"/>
                                      </w:rPr>
                                      <w:t>消耗</w:t>
                                    </w:r>
                                    <w:r>
                                      <w:rPr>
                                        <w:rFonts w:hint="eastAsia" w:cs="Times New Roman"/>
                                        <w:lang w:val="en-US" w:eastAsia="zh-CN"/>
                                      </w:rPr>
                                      <w:t>254.4</w:t>
                                    </w:r>
                                    <w:r>
                                      <w:rPr>
                                        <w:rFonts w:hint="default" w:ascii="Times New Roman" w:hAnsi="Times New Roman" w:cs="Times New Roman"/>
                                      </w:rPr>
                                      <w:t>m</w:t>
                                    </w:r>
                                    <w:r>
                                      <w:rPr>
                                        <w:rFonts w:hint="default" w:ascii="Times New Roman" w:hAnsi="Times New Roman" w:cs="Times New Roman"/>
                                        <w:vertAlign w:val="superscript"/>
                                      </w:rPr>
                                      <w:t>3</w:t>
                                    </w:r>
                                    <w:r>
                                      <w:rPr>
                                        <w:rFonts w:hint="default" w:ascii="Times New Roman" w:hAnsi="Times New Roman" w:cs="Times New Roman"/>
                                      </w:rPr>
                                      <w:t>/a</w:t>
                                    </w:r>
                                  </w:p>
                                  <w:p w14:paraId="61E524AB"/>
                                </w:txbxContent>
                              </v:textbox>
                            </v:shape>
                            <v:shape id="曲线连接符 25" o:spid="_x0000_s2794" o:spt="37" type="#_x0000_t37" style="position:absolute;left:8328;top:21944;height:364;width:571;" filled="f" stroked="t" coordsize="21600,21600" o:gfxdata="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C/Fii5AAAA2wAA&#10;AA8AAAAAAAAAAQAgAAAAIgAAAGRycy9kb3ducmV2LnhtbFBLAQIUABQAAAAIAIdO4kAzLwWeOwAA&#10;ADkAAAAQAAAAAAAAAAEAIAAAAAgBAABkcnMvc2hhcGV4bWwueG1sUEsFBgAAAAAGAAYAWwEAALID&#10;AAAAAA==&#10;">
                              <v:path arrowok="t"/>
                              <v:fill on="f" focussize="0,0"/>
                              <v:stroke weight="0.5pt" color="#000000" miterlimit="8" joinstyle="miter" endarrow="open"/>
                              <v:imagedata o:title=""/>
                              <o:lock v:ext="edit" aspectratio="f"/>
                            </v:shape>
                          </v:group>
                          <v:shape id="文本框 27" o:spid="_x0000_s2796" o:spt="202" type="#_x0000_t202" style="position:absolute;left:5517;top:3879;height:491;width:1513;" filled="f" stroked="t" coordsize="21600,21600" o:gfxdata="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xj5lvQAA&#10;ANsAAAAPAAAAAAAAAAEAIAAAACIAAABkcnMvZG93bnJldi54bWxQSwECFAAUAAAACACHTuJAMy8F&#10;njsAAAA5AAAAEAAAAAAAAAABACAAAAAMAQAAZHJzL3NoYXBleG1sLnhtbFBLBQYAAAAABgAGAFsB&#10;AAC2AwAAAAA=&#10;">
                            <v:path/>
                            <v:fill on="f" focussize="0,0"/>
                            <v:stroke weight="1pt" color="#000000" joinstyle="round"/>
                            <v:imagedata o:title=""/>
                            <o:lock v:ext="edit" aspectratio="f"/>
                            <v:textbox>
                              <w:txbxContent>
                                <w:p w14:paraId="33EA43C0">
                                  <w:pPr>
                                    <w:jc w:val="center"/>
                                    <w:textAlignment w:val="center"/>
                                    <w:rPr>
                                      <w:rFonts w:eastAsiaTheme="minorEastAsia"/>
                                    </w:rPr>
                                  </w:pPr>
                                  <w:r>
                                    <w:rPr>
                                      <w:rFonts w:hint="eastAsia"/>
                                    </w:rPr>
                                    <w:t>生</w:t>
                                  </w:r>
                                  <w:r>
                                    <w:rPr>
                                      <w:rFonts w:hint="eastAsia"/>
                                      <w:lang w:val="en-US" w:eastAsia="zh-CN"/>
                                    </w:rPr>
                                    <w:t>产</w:t>
                                  </w:r>
                                  <w:r>
                                    <w:rPr>
                                      <w:rFonts w:hint="eastAsia"/>
                                    </w:rPr>
                                    <w:t>用水</w:t>
                                  </w:r>
                                </w:p>
                              </w:txbxContent>
                            </v:textbox>
                          </v:shape>
                        </v:group>
                        <v:group id="组合 34" o:spid="_x0000_s2800" o:spt="203" style="position:absolute;left:7056;top:3943;height:481;width:2533;" coordorigin="7056,3943" coordsize="2533,481"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shape id="直接箭头连接符 32" o:spid="_x0000_s2798" o:spt="32" type="#_x0000_t32" style="position:absolute;left:7056;top:4153;flip:y;height:10;width:1037;" filled="f" stroked="t" coordsize="21600,21600" o:gfxdata="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bt+t2/&#10;AAAA2wAAAA8AAAAAAAAAAQAgAAAAIgAAAGRycy9kb3ducmV2LnhtbFBLAQIUABQAAAAIAIdO4kAz&#10;LwWeOwAAADkAAAAQAAAAAAAAAAEAIAAAAA4BAABkcnMvc2hhcGV4bWwueG1sUEsFBgAAAAAGAAYA&#10;WwEAALgDAAAAAA==&#10;">
                            <v:path arrowok="t"/>
                            <v:fill on="f" focussize="0,0"/>
                            <v:stroke weight="1pt" color="#000000" miterlimit="8" joinstyle="miter" endarrow="open"/>
                            <v:imagedata o:title=""/>
                            <o:lock v:ext="edit" aspectratio="f"/>
                          </v:shape>
                          <v:shape id="文本框 33" o:spid="_x0000_s2799" o:spt="202" type="#_x0000_t202" style="position:absolute;left:8087;top:3943;height:481;width:1502;" filled="f" stroked="t" coordsize="21600,21600" o:gfxdata="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weKGvQAA&#10;ANsAAAAPAAAAAAAAAAEAIAAAACIAAABkcnMvZG93bnJldi54bWxQSwECFAAUAAAACACHTuJAMy8F&#10;njsAAAA5AAAAEAAAAAAAAAABACAAAAAMAQAAZHJzL3NoYXBleG1sLnhtbFBLBQYAAAAABgAGAFsB&#10;AAC2AwAAAAA=&#10;">
                            <v:path/>
                            <v:fill on="f" focussize="0,0"/>
                            <v:stroke weight="1pt" color="#000000" joinstyle="round"/>
                            <v:imagedata o:title=""/>
                            <o:lock v:ext="edit" aspectratio="f"/>
                            <v:textbox>
                              <w:txbxContent>
                                <w:p w14:paraId="0A340A3B">
                                  <w:pPr>
                                    <w:jc w:val="center"/>
                                    <w:rPr>
                                      <w:rFonts w:hint="default" w:ascii="宋体" w:hAnsi="宋体" w:eastAsia="宋体" w:cs="宋体"/>
                                      <w:lang w:val="en-US" w:eastAsia="zh-CN"/>
                                    </w:rPr>
                                  </w:pPr>
                                  <w:r>
                                    <w:rPr>
                                      <w:rFonts w:hint="eastAsia" w:ascii="宋体" w:hAnsi="宋体" w:cs="宋体"/>
                                      <w:lang w:val="en-US" w:eastAsia="zh-CN"/>
                                    </w:rPr>
                                    <w:t>产品</w:t>
                                  </w:r>
                                </w:p>
                              </w:txbxContent>
                            </v:textbox>
                          </v:shape>
                        </v:group>
                      </v:group>
                      <v:shape id="直接箭头连接符 37" o:spid="_x0000_s2802" o:spt="32" type="#_x0000_t32" style="position:absolute;left:4258;top:4120;flip:y;height:0;width:1281;" filled="f" stroked="t" coordsize="21600,21600" o:gfxdata="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ZIxzK/&#10;AAAA2wAAAA8AAAAAAAAAAQAgAAAAIgAAAGRycy9kb3ducmV2LnhtbFBLAQIUABQAAAAIAIdO4kAz&#10;LwWeOwAAADkAAAAQAAAAAAAAAAEAIAAAAA4BAABkcnMvc2hhcGV4bWwueG1sUEsFBgAAAAAGAAYA&#10;WwEAALgDAAAAAA==&#10;">
                        <v:path arrowok="t"/>
                        <v:fill on="f" focussize="0,0"/>
                        <v:stroke weight="1pt" color="#000000" miterlimit="8" joinstyle="miter" endarrow="open"/>
                        <v:imagedata o:title=""/>
                        <o:lock v:ext="edit" aspectratio="f"/>
                      </v:shape>
                    </v:group>
                    <v:shape id="文本框 39" o:spid="_x0000_s2804" o:spt="202" type="#_x0000_t202" style="position:absolute;left:3980;top:3601;height:479;width:1517;" filled="f" stroked="f" coordsize="21600,21600" o:gfxdata="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gyW3K/&#10;AAAA2wAAAA8AAAAAAAAAAQAgAAAAIgAAAGRycy9kb3ducmV2LnhtbFBLAQIUABQAAAAIAIdO4kAz&#10;LwWeOwAAADkAAAAQAAAAAAAAAAEAIAAAAA4BAABkcnMvc2hhcGV4bWwueG1sUEsFBgAAAAAGAAYA&#10;WwEAALgDAAAAAA==&#10;">
                      <v:path/>
                      <v:fill on="f" focussize="0,0"/>
                      <v:stroke on="f" weight="0.5pt"/>
                      <v:imagedata o:title=""/>
                      <o:lock v:ext="edit" aspectratio="f"/>
                      <v:textbox>
                        <w:txbxContent>
                          <w:p w14:paraId="0E8E2052">
                            <w:pPr>
                              <w:rPr>
                                <w:rFonts w:eastAsiaTheme="minorEastAsia"/>
                              </w:rPr>
                            </w:pPr>
                            <w:r>
                              <w:rPr>
                                <w:rFonts w:hint="eastAsia"/>
                                <w:lang w:val="en-US" w:eastAsia="zh-CN"/>
                              </w:rPr>
                              <w:t>1.92万</w:t>
                            </w:r>
                            <w:r>
                              <w:rPr>
                                <w:rFonts w:hint="eastAsia"/>
                              </w:rPr>
                              <w:t>m</w:t>
                            </w:r>
                            <w:r>
                              <w:rPr>
                                <w:rFonts w:hint="eastAsia"/>
                                <w:vertAlign w:val="superscript"/>
                              </w:rPr>
                              <w:t>3</w:t>
                            </w:r>
                            <w:r>
                              <w:rPr>
                                <w:rFonts w:hint="eastAsia"/>
                              </w:rPr>
                              <w:t>/a</w:t>
                            </w:r>
                          </w:p>
                        </w:txbxContent>
                      </v:textbox>
                    </v:shape>
                  </v:group>
                  <w10:wrap type="topAndBottom"/>
                </v:group>
              </w:pict>
            </w:r>
            <w:r>
              <w:rPr>
                <w:b/>
                <w:snapToGrid w:val="0"/>
                <w:kern w:val="0"/>
                <w:szCs w:val="21"/>
              </w:rPr>
              <w:t>图</w:t>
            </w:r>
            <w:r>
              <w:rPr>
                <w:rFonts w:hint="eastAsia"/>
                <w:b/>
                <w:snapToGrid w:val="0"/>
                <w:kern w:val="0"/>
                <w:szCs w:val="21"/>
              </w:rPr>
              <w:t>1-1</w:t>
            </w:r>
            <w:r>
              <w:rPr>
                <w:b/>
                <w:snapToGrid w:val="0"/>
                <w:kern w:val="0"/>
                <w:szCs w:val="21"/>
              </w:rPr>
              <w:t xml:space="preserve">  项目水平衡图</w:t>
            </w:r>
          </w:p>
          <w:p w14:paraId="3F5F1906">
            <w:pPr>
              <w:pStyle w:val="5"/>
              <w:ind w:firstLine="422"/>
              <w:rPr>
                <w:sz w:val="24"/>
                <w:szCs w:val="24"/>
              </w:rPr>
            </w:pPr>
            <w:r>
              <w:rPr>
                <w:rFonts w:hint="eastAsia"/>
                <w:sz w:val="24"/>
                <w:szCs w:val="24"/>
              </w:rPr>
              <w:t>5.4</w:t>
            </w:r>
            <w:r>
              <w:rPr>
                <w:sz w:val="24"/>
                <w:szCs w:val="24"/>
              </w:rPr>
              <w:t>供热</w:t>
            </w:r>
          </w:p>
          <w:p w14:paraId="4D9AD056">
            <w:pPr>
              <w:topLinePunct/>
              <w:spacing w:line="360" w:lineRule="auto"/>
              <w:ind w:firstLine="480" w:firstLineChars="200"/>
              <w:rPr>
                <w:snapToGrid w:val="0"/>
                <w:kern w:val="0"/>
                <w:sz w:val="24"/>
                <w:szCs w:val="24"/>
              </w:rPr>
            </w:pPr>
            <w:r>
              <w:rPr>
                <w:rFonts w:hint="eastAsia"/>
                <w:sz w:val="24"/>
                <w:szCs w:val="24"/>
              </w:rPr>
              <w:t>本项目</w:t>
            </w:r>
            <w:r>
              <w:rPr>
                <w:rFonts w:hint="eastAsia"/>
                <w:sz w:val="24"/>
                <w:szCs w:val="24"/>
                <w:lang w:val="en-US" w:eastAsia="zh-CN"/>
              </w:rPr>
              <w:t>冬季不生产，无需供暖</w:t>
            </w:r>
            <w:r>
              <w:rPr>
                <w:rFonts w:hint="eastAsia"/>
                <w:sz w:val="24"/>
                <w:szCs w:val="24"/>
              </w:rPr>
              <w:t>。</w:t>
            </w:r>
          </w:p>
          <w:p w14:paraId="14F7F7D5">
            <w:pPr>
              <w:pStyle w:val="4"/>
              <w:rPr>
                <w:sz w:val="24"/>
                <w:szCs w:val="24"/>
              </w:rPr>
            </w:pPr>
            <w:r>
              <w:rPr>
                <w:rFonts w:hint="eastAsia"/>
                <w:sz w:val="24"/>
                <w:szCs w:val="24"/>
              </w:rPr>
              <w:t>6.</w:t>
            </w:r>
            <w:r>
              <w:rPr>
                <w:sz w:val="24"/>
                <w:szCs w:val="24"/>
              </w:rPr>
              <w:t>劳动定员及工作制度</w:t>
            </w:r>
          </w:p>
          <w:p w14:paraId="417867C4">
            <w:pPr>
              <w:pStyle w:val="38"/>
              <w:overflowPunct w:val="0"/>
              <w:spacing w:line="360" w:lineRule="auto"/>
              <w:ind w:firstLine="480" w:firstLineChars="200"/>
              <w:jc w:val="both"/>
              <w:rPr>
                <w:snapToGrid w:val="0"/>
                <w:sz w:val="24"/>
                <w:szCs w:val="24"/>
              </w:rPr>
            </w:pPr>
            <w:r>
              <w:rPr>
                <w:snapToGrid w:val="0"/>
                <w:sz w:val="24"/>
                <w:szCs w:val="24"/>
              </w:rPr>
              <w:t>劳动定员：劳动定员</w:t>
            </w:r>
            <w:r>
              <w:rPr>
                <w:rFonts w:hint="eastAsia"/>
                <w:snapToGrid w:val="0"/>
                <w:sz w:val="24"/>
                <w:szCs w:val="24"/>
                <w:lang w:val="en-US" w:eastAsia="zh-CN"/>
              </w:rPr>
              <w:t>53</w:t>
            </w:r>
            <w:r>
              <w:rPr>
                <w:snapToGrid w:val="0"/>
                <w:sz w:val="24"/>
                <w:szCs w:val="24"/>
              </w:rPr>
              <w:t>人，均在厂区</w:t>
            </w:r>
            <w:r>
              <w:rPr>
                <w:rFonts w:hint="eastAsia"/>
                <w:snapToGrid w:val="0"/>
                <w:sz w:val="24"/>
                <w:szCs w:val="24"/>
              </w:rPr>
              <w:t>食</w:t>
            </w:r>
            <w:r>
              <w:rPr>
                <w:snapToGrid w:val="0"/>
                <w:sz w:val="24"/>
                <w:szCs w:val="24"/>
              </w:rPr>
              <w:t>宿。</w:t>
            </w:r>
          </w:p>
          <w:p w14:paraId="490C991F">
            <w:pPr>
              <w:pStyle w:val="38"/>
              <w:overflowPunct w:val="0"/>
              <w:spacing w:line="360" w:lineRule="auto"/>
              <w:ind w:firstLine="480" w:firstLineChars="200"/>
              <w:jc w:val="both"/>
              <w:rPr>
                <w:snapToGrid w:val="0"/>
                <w:sz w:val="24"/>
                <w:szCs w:val="24"/>
              </w:rPr>
            </w:pPr>
            <w:r>
              <w:rPr>
                <w:snapToGrid w:val="0"/>
                <w:sz w:val="24"/>
                <w:szCs w:val="24"/>
              </w:rPr>
              <w:t>工作制度：年工作</w:t>
            </w:r>
            <w:r>
              <w:rPr>
                <w:rFonts w:hint="eastAsia"/>
                <w:snapToGrid w:val="0"/>
                <w:sz w:val="24"/>
                <w:szCs w:val="24"/>
                <w:lang w:val="en-US" w:eastAsia="zh-CN"/>
              </w:rPr>
              <w:t>240</w:t>
            </w:r>
            <w:r>
              <w:rPr>
                <w:snapToGrid w:val="0"/>
                <w:sz w:val="24"/>
                <w:szCs w:val="24"/>
              </w:rPr>
              <w:t>d，每</w:t>
            </w:r>
            <w:r>
              <w:rPr>
                <w:rFonts w:hint="eastAsia"/>
                <w:snapToGrid w:val="0"/>
                <w:sz w:val="24"/>
                <w:szCs w:val="24"/>
              </w:rPr>
              <w:t>班</w:t>
            </w:r>
            <w:r>
              <w:rPr>
                <w:snapToGrid w:val="0"/>
                <w:sz w:val="24"/>
                <w:szCs w:val="24"/>
              </w:rPr>
              <w:t>工作</w:t>
            </w:r>
            <w:r>
              <w:rPr>
                <w:rFonts w:hint="eastAsia"/>
                <w:snapToGrid w:val="0"/>
                <w:sz w:val="24"/>
                <w:szCs w:val="24"/>
                <w:lang w:val="en-US" w:eastAsia="zh-CN"/>
              </w:rPr>
              <w:t>8</w:t>
            </w:r>
            <w:r>
              <w:rPr>
                <w:snapToGrid w:val="0"/>
                <w:sz w:val="24"/>
                <w:szCs w:val="24"/>
              </w:rPr>
              <w:t>小时</w:t>
            </w:r>
            <w:r>
              <w:rPr>
                <w:rFonts w:hint="eastAsia"/>
                <w:snapToGrid w:val="0"/>
                <w:sz w:val="24"/>
                <w:szCs w:val="24"/>
              </w:rPr>
              <w:t>，</w:t>
            </w:r>
            <w:r>
              <w:rPr>
                <w:rFonts w:hint="eastAsia"/>
                <w:snapToGrid w:val="0"/>
                <w:sz w:val="24"/>
                <w:szCs w:val="24"/>
                <w:lang w:val="en-US" w:eastAsia="zh-CN"/>
              </w:rPr>
              <w:t>一</w:t>
            </w:r>
            <w:r>
              <w:rPr>
                <w:rFonts w:hint="eastAsia"/>
                <w:snapToGrid w:val="0"/>
                <w:sz w:val="24"/>
                <w:szCs w:val="24"/>
              </w:rPr>
              <w:t>班制</w:t>
            </w:r>
            <w:r>
              <w:rPr>
                <w:rFonts w:hint="eastAsia"/>
                <w:snapToGrid w:val="0"/>
                <w:sz w:val="24"/>
                <w:szCs w:val="24"/>
                <w:lang w:eastAsia="zh-CN"/>
              </w:rPr>
              <w:t>，</w:t>
            </w:r>
            <w:r>
              <w:rPr>
                <w:rFonts w:hint="eastAsia"/>
                <w:snapToGrid w:val="0"/>
                <w:sz w:val="24"/>
                <w:szCs w:val="24"/>
                <w:lang w:val="en-US" w:eastAsia="zh-CN"/>
              </w:rPr>
              <w:t>全年工作1920小时</w:t>
            </w:r>
            <w:r>
              <w:rPr>
                <w:rFonts w:hint="eastAsia"/>
                <w:snapToGrid w:val="0"/>
                <w:sz w:val="24"/>
                <w:szCs w:val="24"/>
              </w:rPr>
              <w:t>。</w:t>
            </w:r>
          </w:p>
          <w:p w14:paraId="5D79BD97">
            <w:pPr>
              <w:pStyle w:val="4"/>
              <w:rPr>
                <w:sz w:val="24"/>
                <w:szCs w:val="24"/>
              </w:rPr>
            </w:pPr>
            <w:r>
              <w:rPr>
                <w:rFonts w:hint="eastAsia"/>
                <w:sz w:val="24"/>
                <w:szCs w:val="24"/>
              </w:rPr>
              <w:t>7.</w:t>
            </w:r>
            <w:r>
              <w:rPr>
                <w:sz w:val="24"/>
                <w:szCs w:val="24"/>
              </w:rPr>
              <w:t>总平面布置</w:t>
            </w:r>
          </w:p>
          <w:p w14:paraId="76361461">
            <w:pPr>
              <w:overflowPunct w:val="0"/>
              <w:spacing w:line="360" w:lineRule="auto"/>
              <w:ind w:firstLine="480" w:firstLineChars="200"/>
              <w:rPr>
                <w:snapToGrid w:val="0"/>
                <w:kern w:val="0"/>
                <w:sz w:val="24"/>
                <w:szCs w:val="24"/>
              </w:rPr>
            </w:pPr>
            <w:bookmarkStart w:id="2" w:name="_Toc272092351"/>
            <w:r>
              <w:rPr>
                <w:snapToGrid w:val="0"/>
                <w:kern w:val="0"/>
                <w:sz w:val="24"/>
                <w:szCs w:val="24"/>
              </w:rPr>
              <w:t>（1）功能区布置</w:t>
            </w:r>
            <w:bookmarkEnd w:id="2"/>
          </w:p>
          <w:p w14:paraId="53D00FDC">
            <w:pPr>
              <w:overflowPunct w:val="0"/>
              <w:spacing w:line="360" w:lineRule="auto"/>
              <w:ind w:firstLine="480" w:firstLineChars="200"/>
              <w:rPr>
                <w:snapToGrid w:val="0"/>
                <w:kern w:val="0"/>
                <w:sz w:val="24"/>
                <w:szCs w:val="24"/>
              </w:rPr>
            </w:pPr>
            <w:r>
              <w:rPr>
                <w:snapToGrid w:val="0"/>
                <w:kern w:val="0"/>
                <w:sz w:val="24"/>
                <w:szCs w:val="24"/>
              </w:rPr>
              <w:t>本项目布置有</w:t>
            </w:r>
            <w:r>
              <w:rPr>
                <w:sz w:val="24"/>
                <w:szCs w:val="24"/>
              </w:rPr>
              <w:t>生产</w:t>
            </w:r>
            <w:r>
              <w:rPr>
                <w:rFonts w:hint="eastAsia"/>
                <w:sz w:val="24"/>
                <w:szCs w:val="24"/>
                <w:lang w:val="en-US" w:eastAsia="zh-CN"/>
              </w:rPr>
              <w:t>车间</w:t>
            </w:r>
            <w:r>
              <w:rPr>
                <w:snapToGrid w:val="0"/>
                <w:kern w:val="0"/>
                <w:sz w:val="24"/>
                <w:szCs w:val="24"/>
              </w:rPr>
              <w:t>、</w:t>
            </w:r>
            <w:r>
              <w:rPr>
                <w:rFonts w:hint="eastAsia"/>
                <w:snapToGrid w:val="0"/>
                <w:kern w:val="0"/>
                <w:sz w:val="24"/>
                <w:szCs w:val="24"/>
                <w:lang w:val="en-US" w:eastAsia="zh-CN"/>
              </w:rPr>
              <w:t>办公生活区</w:t>
            </w:r>
            <w:r>
              <w:rPr>
                <w:snapToGrid w:val="0"/>
                <w:kern w:val="0"/>
                <w:sz w:val="24"/>
                <w:szCs w:val="24"/>
              </w:rPr>
              <w:t>等。</w:t>
            </w:r>
            <w:r>
              <w:rPr>
                <w:rFonts w:hint="default" w:ascii="Times New Roman" w:hAnsi="Times New Roman" w:cs="Times New Roman"/>
                <w:sz w:val="24"/>
                <w:szCs w:val="24"/>
                <w:lang w:val="en-US" w:eastAsia="zh-CN"/>
              </w:rPr>
              <w:t>项目厂区整体呈矩形，厂区大门位于厂区</w:t>
            </w:r>
            <w:r>
              <w:rPr>
                <w:rFonts w:hint="eastAsia" w:ascii="Times New Roman" w:hAnsi="Times New Roman" w:cs="Times New Roman"/>
                <w:sz w:val="24"/>
                <w:szCs w:val="24"/>
                <w:lang w:val="en-US" w:eastAsia="zh-CN"/>
              </w:rPr>
              <w:t>南</w:t>
            </w:r>
            <w:r>
              <w:rPr>
                <w:rFonts w:hint="default" w:ascii="Times New Roman" w:hAnsi="Times New Roman" w:cs="Times New Roman"/>
                <w:sz w:val="24"/>
                <w:szCs w:val="24"/>
                <w:lang w:val="en-US" w:eastAsia="zh-CN"/>
              </w:rPr>
              <w:t>侧面向园区道路，</w:t>
            </w:r>
            <w:r>
              <w:rPr>
                <w:rFonts w:hint="eastAsia"/>
                <w:snapToGrid w:val="0"/>
                <w:kern w:val="0"/>
                <w:sz w:val="24"/>
                <w:szCs w:val="24"/>
                <w:lang w:val="en-US" w:eastAsia="zh-CN"/>
              </w:rPr>
              <w:t>根据</w:t>
            </w:r>
            <w:r>
              <w:rPr>
                <w:snapToGrid w:val="0"/>
                <w:kern w:val="0"/>
                <w:sz w:val="24"/>
                <w:szCs w:val="24"/>
              </w:rPr>
              <w:t>厂区人流、物流</w:t>
            </w:r>
            <w:r>
              <w:rPr>
                <w:rFonts w:hint="eastAsia"/>
                <w:snapToGrid w:val="0"/>
                <w:kern w:val="0"/>
                <w:sz w:val="24"/>
                <w:szCs w:val="24"/>
                <w:lang w:val="en-US" w:eastAsia="zh-CN"/>
              </w:rPr>
              <w:t>量</w:t>
            </w:r>
            <w:r>
              <w:rPr>
                <w:snapToGrid w:val="0"/>
                <w:kern w:val="0"/>
                <w:sz w:val="24"/>
                <w:szCs w:val="24"/>
              </w:rPr>
              <w:t>，项目设置</w:t>
            </w:r>
            <w:r>
              <w:rPr>
                <w:rFonts w:hint="eastAsia"/>
                <w:snapToGrid w:val="0"/>
                <w:kern w:val="0"/>
                <w:sz w:val="24"/>
                <w:szCs w:val="24"/>
                <w:lang w:val="en-US" w:eastAsia="zh-CN"/>
              </w:rPr>
              <w:t>三</w:t>
            </w:r>
            <w:r>
              <w:rPr>
                <w:snapToGrid w:val="0"/>
                <w:kern w:val="0"/>
                <w:sz w:val="24"/>
                <w:szCs w:val="24"/>
              </w:rPr>
              <w:t>个出入口，能满足人流、物流出入要求；</w:t>
            </w:r>
            <w:r>
              <w:rPr>
                <w:rFonts w:hint="eastAsia"/>
                <w:snapToGrid w:val="0"/>
                <w:kern w:val="0"/>
                <w:sz w:val="24"/>
                <w:szCs w:val="24"/>
                <w:lang w:val="en-US" w:eastAsia="zh-CN"/>
              </w:rPr>
              <w:t>生产车间</w:t>
            </w:r>
            <w:r>
              <w:rPr>
                <w:rFonts w:hint="eastAsia"/>
                <w:snapToGrid w:val="0"/>
                <w:kern w:val="0"/>
                <w:sz w:val="24"/>
                <w:szCs w:val="24"/>
              </w:rPr>
              <w:t>布置</w:t>
            </w:r>
            <w:r>
              <w:rPr>
                <w:snapToGrid w:val="0"/>
                <w:kern w:val="0"/>
                <w:sz w:val="24"/>
                <w:szCs w:val="24"/>
              </w:rPr>
              <w:t>在</w:t>
            </w:r>
            <w:r>
              <w:rPr>
                <w:rFonts w:hint="eastAsia"/>
                <w:snapToGrid w:val="0"/>
                <w:kern w:val="0"/>
                <w:sz w:val="24"/>
                <w:szCs w:val="24"/>
                <w:lang w:val="en-US" w:eastAsia="zh-CN"/>
              </w:rPr>
              <w:t>项目区东北</w:t>
            </w:r>
            <w:r>
              <w:rPr>
                <w:snapToGrid w:val="0"/>
                <w:kern w:val="0"/>
                <w:sz w:val="24"/>
                <w:szCs w:val="24"/>
              </w:rPr>
              <w:t>侧，</w:t>
            </w:r>
            <w:r>
              <w:rPr>
                <w:rFonts w:hint="eastAsia"/>
                <w:snapToGrid w:val="0"/>
                <w:kern w:val="0"/>
                <w:sz w:val="24"/>
                <w:szCs w:val="24"/>
                <w:lang w:val="en-US" w:eastAsia="zh-CN"/>
              </w:rPr>
              <w:t>用于</w:t>
            </w:r>
            <w:r>
              <w:rPr>
                <w:rFonts w:hint="eastAsia"/>
                <w:bCs/>
                <w:sz w:val="24"/>
                <w:szCs w:val="24"/>
              </w:rPr>
              <w:t>蒸压加气混凝土砌块和蒸压加气混凝土ALC配筋板材</w:t>
            </w:r>
            <w:r>
              <w:rPr>
                <w:rFonts w:hint="eastAsia"/>
                <w:bCs/>
                <w:sz w:val="24"/>
                <w:szCs w:val="24"/>
                <w:lang w:val="en-US" w:eastAsia="zh-CN"/>
              </w:rPr>
              <w:t>的生产</w:t>
            </w:r>
            <w:r>
              <w:rPr>
                <w:rFonts w:hint="eastAsia"/>
                <w:snapToGrid w:val="0"/>
                <w:kern w:val="0"/>
                <w:sz w:val="24"/>
                <w:szCs w:val="24"/>
              </w:rPr>
              <w:t>，</w:t>
            </w:r>
            <w:r>
              <w:rPr>
                <w:rFonts w:hint="eastAsia"/>
                <w:sz w:val="24"/>
                <w:szCs w:val="24"/>
                <w:lang w:val="en-US" w:eastAsia="zh-CN"/>
              </w:rPr>
              <w:t>生活区位于厂区西南靠近大门</w:t>
            </w:r>
            <w:r>
              <w:rPr>
                <w:rFonts w:hint="eastAsia"/>
                <w:snapToGrid w:val="0"/>
                <w:kern w:val="0"/>
                <w:sz w:val="24"/>
                <w:szCs w:val="24"/>
                <w:lang w:val="en-US" w:eastAsia="zh-CN"/>
              </w:rPr>
              <w:t>，</w:t>
            </w:r>
            <w:r>
              <w:rPr>
                <w:snapToGrid w:val="0"/>
                <w:kern w:val="0"/>
                <w:sz w:val="24"/>
                <w:szCs w:val="24"/>
              </w:rPr>
              <w:t>各</w:t>
            </w:r>
            <w:r>
              <w:rPr>
                <w:rFonts w:hint="eastAsia"/>
                <w:snapToGrid w:val="0"/>
                <w:kern w:val="0"/>
                <w:sz w:val="24"/>
                <w:szCs w:val="24"/>
                <w:lang w:val="en-US" w:eastAsia="zh-CN"/>
              </w:rPr>
              <w:t>建筑物</w:t>
            </w:r>
            <w:r>
              <w:rPr>
                <w:snapToGrid w:val="0"/>
                <w:kern w:val="0"/>
                <w:sz w:val="24"/>
                <w:szCs w:val="24"/>
              </w:rPr>
              <w:t>用防火墙分隔</w:t>
            </w:r>
            <w:r>
              <w:rPr>
                <w:rFonts w:hint="eastAsia"/>
                <w:snapToGrid w:val="0"/>
                <w:kern w:val="0"/>
                <w:sz w:val="24"/>
                <w:szCs w:val="24"/>
              </w:rPr>
              <w:t>，</w:t>
            </w:r>
            <w:r>
              <w:rPr>
                <w:snapToGrid w:val="0"/>
                <w:kern w:val="0"/>
                <w:sz w:val="24"/>
                <w:szCs w:val="24"/>
              </w:rPr>
              <w:t>厂区各建筑与其设置应距围墙留有足够距离，项目建成后将进行绿化。</w:t>
            </w:r>
          </w:p>
          <w:p w14:paraId="42E56439">
            <w:pPr>
              <w:pStyle w:val="7"/>
              <w:ind w:firstLine="480" w:firstLineChars="200"/>
              <w:rPr>
                <w:snapToGrid w:val="0"/>
                <w:kern w:val="0"/>
                <w:sz w:val="24"/>
                <w:szCs w:val="24"/>
              </w:rPr>
            </w:pPr>
            <w:r>
              <w:rPr>
                <w:rFonts w:hint="eastAsia"/>
                <w:snapToGrid w:val="0"/>
                <w:kern w:val="0"/>
                <w:sz w:val="24"/>
                <w:szCs w:val="24"/>
              </w:rPr>
              <w:t>（2）</w:t>
            </w:r>
            <w:r>
              <w:rPr>
                <w:snapToGrid w:val="0"/>
                <w:kern w:val="0"/>
                <w:sz w:val="24"/>
                <w:szCs w:val="24"/>
              </w:rPr>
              <w:t>厂区绿化</w:t>
            </w:r>
          </w:p>
          <w:p w14:paraId="03EF3B0E">
            <w:pPr>
              <w:overflowPunct w:val="0"/>
              <w:spacing w:line="360" w:lineRule="auto"/>
              <w:ind w:firstLine="480" w:firstLineChars="200"/>
              <w:rPr>
                <w:snapToGrid w:val="0"/>
                <w:kern w:val="0"/>
                <w:sz w:val="24"/>
                <w:szCs w:val="24"/>
              </w:rPr>
            </w:pPr>
            <w:r>
              <w:rPr>
                <w:snapToGrid w:val="0"/>
                <w:kern w:val="0"/>
                <w:sz w:val="24"/>
                <w:szCs w:val="24"/>
              </w:rPr>
              <w:t>厂区绿化系统应全面规划，逐步完善，厂区绿化为生产区绿化、厂区前区绿化。为达到一定的绿化效果，建成后建设方对厂区进行绿化，设计绿化面积</w:t>
            </w:r>
            <w:r>
              <w:rPr>
                <w:rFonts w:hint="eastAsia"/>
                <w:snapToGrid w:val="0"/>
                <w:kern w:val="0"/>
                <w:sz w:val="24"/>
                <w:szCs w:val="24"/>
              </w:rPr>
              <w:t>为</w:t>
            </w:r>
            <w:r>
              <w:rPr>
                <w:rFonts w:hint="eastAsia"/>
                <w:snapToGrid w:val="0"/>
                <w:kern w:val="0"/>
                <w:sz w:val="24"/>
                <w:szCs w:val="24"/>
                <w:lang w:val="en-US" w:eastAsia="zh-CN"/>
              </w:rPr>
              <w:t>600</w:t>
            </w:r>
            <w:r>
              <w:rPr>
                <w:sz w:val="24"/>
                <w:szCs w:val="24"/>
              </w:rPr>
              <w:t>m</w:t>
            </w:r>
            <w:r>
              <w:rPr>
                <w:sz w:val="24"/>
                <w:szCs w:val="24"/>
                <w:vertAlign w:val="superscript"/>
              </w:rPr>
              <w:t>2</w:t>
            </w:r>
            <w:r>
              <w:rPr>
                <w:snapToGrid w:val="0"/>
                <w:kern w:val="0"/>
                <w:sz w:val="24"/>
                <w:szCs w:val="24"/>
              </w:rPr>
              <w:t>。</w:t>
            </w:r>
          </w:p>
          <w:p w14:paraId="78D84845">
            <w:pPr>
              <w:overflowPunct w:val="0"/>
              <w:spacing w:line="360" w:lineRule="auto"/>
              <w:ind w:firstLine="480" w:firstLineChars="200"/>
              <w:rPr>
                <w:snapToGrid w:val="0"/>
                <w:kern w:val="0"/>
                <w:sz w:val="24"/>
                <w:szCs w:val="24"/>
              </w:rPr>
            </w:pPr>
            <w:bookmarkStart w:id="3" w:name="_Toc272092354"/>
            <w:r>
              <w:rPr>
                <w:snapToGrid w:val="0"/>
                <w:kern w:val="0"/>
                <w:sz w:val="24"/>
                <w:szCs w:val="24"/>
              </w:rPr>
              <w:t>（</w:t>
            </w:r>
            <w:r>
              <w:rPr>
                <w:rFonts w:hint="eastAsia"/>
                <w:snapToGrid w:val="0"/>
                <w:kern w:val="0"/>
                <w:sz w:val="24"/>
                <w:szCs w:val="24"/>
              </w:rPr>
              <w:t>3</w:t>
            </w:r>
            <w:r>
              <w:rPr>
                <w:snapToGrid w:val="0"/>
                <w:kern w:val="0"/>
                <w:sz w:val="24"/>
                <w:szCs w:val="24"/>
              </w:rPr>
              <w:t>）</w:t>
            </w:r>
            <w:bookmarkEnd w:id="3"/>
            <w:r>
              <w:rPr>
                <w:snapToGrid w:val="0"/>
                <w:kern w:val="0"/>
                <w:sz w:val="24"/>
                <w:szCs w:val="24"/>
              </w:rPr>
              <w:t>厂内外运输</w:t>
            </w:r>
          </w:p>
          <w:p w14:paraId="1B3423DD">
            <w:pPr>
              <w:pStyle w:val="2"/>
              <w:keepNext w:val="0"/>
              <w:keepLines w:val="0"/>
              <w:pageBreakBefore w:val="0"/>
              <w:kinsoku/>
              <w:wordWrap/>
              <w:overflowPunct/>
              <w:autoSpaceDE/>
              <w:autoSpaceDN/>
              <w:bidi w:val="0"/>
              <w:spacing w:before="0" w:after="0" w:line="480" w:lineRule="exact"/>
              <w:ind w:right="0" w:firstLine="480" w:firstLineChars="200"/>
              <w:textAlignment w:val="auto"/>
              <w:rPr>
                <w:rFonts w:hint="eastAsia"/>
                <w:color w:val="auto"/>
                <w:spacing w:val="0"/>
                <w:position w:val="0"/>
                <w:sz w:val="24"/>
                <w:szCs w:val="24"/>
                <w:highlight w:val="none"/>
                <w:lang w:val="en-US" w:eastAsia="zh-CN"/>
              </w:rPr>
            </w:pPr>
            <w:r>
              <w:rPr>
                <w:rFonts w:hint="eastAsia"/>
                <w:color w:val="auto"/>
                <w:spacing w:val="0"/>
                <w:position w:val="0"/>
                <w:sz w:val="24"/>
                <w:szCs w:val="24"/>
                <w:highlight w:val="none"/>
                <w:lang w:val="en-US" w:eastAsia="zh-CN"/>
              </w:rPr>
              <w:t>本项目根据厂区“分区合理、工艺流畅、物流短捷、突出环保与安全”的原则，结合场地的用地条件及生产工艺，综合考虑环保、消防、绿化、劳动卫生等要求，对选址进行了统筹安排。厂区入口设置在场地南面，有园区道路相连，便于物料和产品运输。</w:t>
            </w:r>
          </w:p>
          <w:p w14:paraId="794B0AC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bCs/>
              </w:rPr>
            </w:pPr>
            <w:r>
              <w:rPr>
                <w:sz w:val="24"/>
                <w:szCs w:val="24"/>
              </w:rPr>
              <w:t>项目区各功能区明确、间距合理，生产厂房布局满足工艺流程，也满足功能分区要求及运输作业要求。</w:t>
            </w:r>
            <w:r>
              <w:rPr>
                <w:rFonts w:hint="eastAsia"/>
                <w:color w:val="auto"/>
                <w:sz w:val="24"/>
                <w:szCs w:val="24"/>
                <w:lang w:val="en-US" w:eastAsia="zh-CN" w:bidi="ar"/>
              </w:rPr>
              <w:t>项目区周围无环境保护目标</w:t>
            </w:r>
            <w:r>
              <w:rPr>
                <w:rFonts w:hint="eastAsia" w:ascii="Times New Roman" w:hAnsi="Times New Roman" w:eastAsia="宋体" w:cs="Times New Roman"/>
                <w:sz w:val="24"/>
                <w:szCs w:val="24"/>
                <w:lang w:val="en-US" w:eastAsia="zh-CN"/>
              </w:rPr>
              <w:t>，</w:t>
            </w:r>
            <w:r>
              <w:rPr>
                <w:rFonts w:ascii="Times New Roman" w:hAnsi="Times New Roman" w:eastAsia="宋体" w:cs="Times New Roman"/>
                <w:sz w:val="24"/>
                <w:szCs w:val="24"/>
              </w:rPr>
              <w:t>本项目</w:t>
            </w:r>
            <w:r>
              <w:rPr>
                <w:rFonts w:hint="eastAsia" w:ascii="Times New Roman" w:hAnsi="Times New Roman" w:eastAsia="宋体" w:cs="Times New Roman"/>
                <w:sz w:val="24"/>
                <w:szCs w:val="24"/>
                <w:lang w:eastAsia="zh-CN"/>
              </w:rPr>
              <w:t>所在</w:t>
            </w:r>
            <w:r>
              <w:rPr>
                <w:rFonts w:hint="eastAsia" w:ascii="Times New Roman" w:hAnsi="Times New Roman" w:eastAsia="宋体" w:cs="Times New Roman"/>
                <w:sz w:val="24"/>
                <w:szCs w:val="24"/>
              </w:rPr>
              <w:t>地区年主导风向为西南风，根据现有项目平面布置，项目办公楼、食堂、宿舍等位于本项目的西南方向，处于本项目的上风向</w:t>
            </w:r>
            <w:r>
              <w:rPr>
                <w:rFonts w:hint="eastAsia" w:ascii="Times New Roman" w:hAnsi="Times New Roman" w:eastAsia="宋体" w:cs="Times New Roman"/>
                <w:sz w:val="24"/>
                <w:szCs w:val="24"/>
                <w:lang w:val="en-US" w:eastAsia="zh-CN"/>
              </w:rPr>
              <w:t>。因此，</w:t>
            </w:r>
            <w:r>
              <w:rPr>
                <w:rFonts w:hint="default" w:ascii="Times New Roman" w:hAnsi="Times New Roman" w:eastAsia="宋体" w:cs="Times New Roman"/>
                <w:sz w:val="24"/>
                <w:szCs w:val="24"/>
              </w:rPr>
              <w:t>本项目总</w:t>
            </w:r>
            <w:r>
              <w:rPr>
                <w:rFonts w:hint="default" w:ascii="Times New Roman" w:hAnsi="Times New Roman" w:eastAsia="宋体" w:cs="Times New Roman"/>
                <w:color w:val="auto"/>
                <w:sz w:val="24"/>
                <w:szCs w:val="24"/>
                <w:lang w:bidi="ar"/>
              </w:rPr>
              <w:t>平面布置合理</w:t>
            </w:r>
            <w:r>
              <w:rPr>
                <w:rFonts w:hint="eastAsia" w:ascii="Times New Roman" w:hAnsi="Times New Roman" w:eastAsia="宋体" w:cs="Times New Roman"/>
                <w:color w:val="auto"/>
                <w:sz w:val="24"/>
                <w:szCs w:val="24"/>
                <w:lang w:eastAsia="zh-CN" w:bidi="ar"/>
              </w:rPr>
              <w:t>。</w:t>
            </w:r>
            <w:r>
              <w:rPr>
                <w:rFonts w:hint="eastAsia" w:ascii="宋体" w:hAnsi="宋体" w:cs="宋体"/>
                <w:sz w:val="24"/>
                <w:szCs w:val="24"/>
              </w:rPr>
              <w:t>项目区具体平面布置见附图</w:t>
            </w:r>
            <w:r>
              <w:rPr>
                <w:sz w:val="24"/>
                <w:szCs w:val="24"/>
              </w:rPr>
              <w:t>3</w:t>
            </w:r>
            <w:r>
              <w:rPr>
                <w:rFonts w:hint="eastAsia" w:ascii="宋体" w:hAnsi="宋体" w:cs="宋体"/>
                <w:sz w:val="24"/>
                <w:szCs w:val="24"/>
              </w:rPr>
              <w:t>。</w:t>
            </w:r>
          </w:p>
        </w:tc>
      </w:tr>
      <w:tr w14:paraId="33CDB8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4" w:type="dxa"/>
            <w:vAlign w:val="center"/>
          </w:tcPr>
          <w:p w14:paraId="138E28DF">
            <w:pPr>
              <w:pStyle w:val="21"/>
              <w:overflowPunct w:val="0"/>
              <w:spacing w:before="0" w:beforeAutospacing="0" w:after="0" w:afterAutospacing="0"/>
              <w:jc w:val="center"/>
              <w:rPr>
                <w:rFonts w:ascii="Times New Roman" w:hAnsi="Times New Roman"/>
                <w:sz w:val="21"/>
                <w:szCs w:val="21"/>
              </w:rPr>
            </w:pPr>
            <w:r>
              <w:rPr>
                <w:rFonts w:ascii="Times New Roman" w:hAnsi="Times New Roman"/>
                <w:sz w:val="24"/>
                <w:szCs w:val="24"/>
              </w:rPr>
              <w:t>工艺流程和产排污环节</w:t>
            </w:r>
          </w:p>
        </w:tc>
        <w:tc>
          <w:tcPr>
            <w:tcW w:w="8550" w:type="dxa"/>
          </w:tcPr>
          <w:p w14:paraId="7FFB0866">
            <w:pPr>
              <w:pStyle w:val="4"/>
              <w:rPr>
                <w:sz w:val="24"/>
                <w:szCs w:val="24"/>
              </w:rPr>
            </w:pPr>
            <w:r>
              <w:rPr>
                <w:sz w:val="24"/>
                <w:szCs w:val="24"/>
              </w:rPr>
              <w:t>1</w:t>
            </w:r>
            <w:r>
              <w:rPr>
                <w:rFonts w:hint="eastAsia"/>
                <w:sz w:val="24"/>
                <w:szCs w:val="24"/>
              </w:rPr>
              <w:t>.</w:t>
            </w:r>
            <w:r>
              <w:rPr>
                <w:sz w:val="24"/>
                <w:szCs w:val="24"/>
              </w:rPr>
              <w:t>施工期</w:t>
            </w:r>
          </w:p>
          <w:p w14:paraId="72BBECB2">
            <w:pPr>
              <w:pStyle w:val="44"/>
              <w:spacing w:line="360" w:lineRule="auto"/>
              <w:ind w:firstLine="420"/>
              <w:rPr>
                <w:sz w:val="24"/>
                <w:szCs w:val="24"/>
                <w:lang w:val="en-US"/>
              </w:rPr>
            </w:pPr>
            <w:r>
              <w:rPr>
                <w:rFonts w:hint="eastAsia"/>
                <w:sz w:val="24"/>
                <w:szCs w:val="24"/>
                <w:lang w:val="en-US"/>
              </w:rPr>
              <w:t>施工流程及各阶段主要污染物产生情况见下图。</w:t>
            </w:r>
          </w:p>
          <w:p w14:paraId="2DB3BF0B">
            <w:pPr>
              <w:pStyle w:val="44"/>
              <w:spacing w:line="360" w:lineRule="auto"/>
              <w:ind w:firstLine="0" w:firstLineChars="0"/>
              <w:rPr>
                <w:b/>
                <w:bCs/>
                <w:lang w:val="en-US"/>
              </w:rPr>
            </w:pPr>
            <w:r>
              <w:rPr>
                <w:rFonts w:hint="default" w:ascii="Times New Roman" w:hAnsi="Times New Roman" w:eastAsia="宋体" w:cs="Times New Roman"/>
                <w:color w:val="auto"/>
                <w:sz w:val="24"/>
                <w:szCs w:val="24"/>
              </w:rPr>
              <w:pict>
                <v:group id="组合 150" o:spid="_x0000_s2200" o:spt="203" style="height:117pt;width:414pt;" coordsize="8280,2340" o:gfxdata="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">
                  <o:lock v:ext="edit" aspectratio="f"/>
                  <v:rect id="矩形 63" o:spid="_x0000_s2174" o:spt="1" style="position:absolute;left:0;top:0;height:2340;width:828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path/>
                    <v:fill on="f" focussize="0,0"/>
                    <v:stroke on="f"/>
                    <v:imagedata o:title=""/>
                    <o:lock v:ext="edit" text="t" aspectratio="t"/>
                  </v:rect>
                  <v:rect id="矩形 74" o:spid="_x0000_s2175" o:spt="1" style="position:absolute;left:4605;top:258;height:432;width:749;" filled="f" stroked="t" coordsize="21600,21600" o:gfxdata="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8yF28AAAA&#10;2gAAAA8AAAAAAAAAAQAgAAAAIgAAAGRycy9kb3ducmV2LnhtbFBLAQIUABQAAAAIAIdO4kAzLwWe&#10;OwAAADkAAAAQAAAAAAAAAAEAIAAAAAsBAABkcnMvc2hhcGV4bWwueG1sUEsFBgAAAAAGAAYAWwEA&#10;ALUDAAAAAA==&#10;">
                    <v:path/>
                    <v:fill on="f" focussize="0,0"/>
                    <v:stroke color="#000000" joinstyle="miter" dashstyle="dashDot"/>
                    <v:imagedata o:title=""/>
                    <o:lock v:ext="edit" aspectratio="f"/>
                    <v:textbox>
                      <w:txbxContent>
                        <w:p w14:paraId="76BA3486">
                          <w:pPr>
                            <w:jc w:val="center"/>
                            <w:rPr>
                              <w:rFonts w:hint="eastAsia"/>
                              <w:sz w:val="18"/>
                              <w:szCs w:val="18"/>
                            </w:rPr>
                          </w:pPr>
                          <w:r>
                            <w:rPr>
                              <w:rFonts w:hint="eastAsia"/>
                              <w:sz w:val="18"/>
                              <w:szCs w:val="18"/>
                            </w:rPr>
                            <w:t>噪声</w:t>
                          </w:r>
                        </w:p>
                      </w:txbxContent>
                    </v:textbox>
                  </v:rect>
                  <v:rect id="矩形 98" o:spid="_x0000_s2176" o:spt="1" style="position:absolute;left:1380;top:135;height:432;width:1275;" filled="f" stroked="t" coordsize="21600,21600" o:gfxdata="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Pwbca8AAAA&#10;2gAAAA8AAAAAAAAAAQAgAAAAIgAAAGRycy9kb3ducmV2LnhtbFBLAQIUABQAAAAIAIdO4kAzLwWe&#10;OwAAADkAAAAQAAAAAAAAAAEAIAAAAAsBAABkcnMvc2hhcGV4bWwueG1sUEsFBgAAAAAGAAYAWwEA&#10;ALUDAAAAAA==&#10;">
                    <v:path/>
                    <v:fill on="f" focussize="0,0"/>
                    <v:stroke color="#000000" joinstyle="miter" dashstyle="dashDot"/>
                    <v:imagedata o:title=""/>
                    <o:lock v:ext="edit" aspectratio="f"/>
                    <v:textbox>
                      <w:txbxContent>
                        <w:p w14:paraId="4899CC08">
                          <w:pPr>
                            <w:jc w:val="center"/>
                            <w:rPr>
                              <w:rFonts w:hint="eastAsia"/>
                              <w:sz w:val="18"/>
                              <w:szCs w:val="18"/>
                            </w:rPr>
                          </w:pPr>
                          <w:r>
                            <w:rPr>
                              <w:rFonts w:hint="eastAsia"/>
                              <w:sz w:val="18"/>
                              <w:szCs w:val="18"/>
                            </w:rPr>
                            <w:t>废气、噪声</w:t>
                          </w:r>
                        </w:p>
                      </w:txbxContent>
                    </v:textbox>
                  </v:rect>
                  <v:rect id="矩形 99" o:spid="_x0000_s2177" o:spt="1" style="position:absolute;left:0;top:966;height:468;width:1259;" filled="f" stroked="t" coordsize="21600,21600" o:gfxdata="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qmEugAAANoA&#10;AAAPAAAAAAAAAAEAIAAAACIAAABkcnMvZG93bnJldi54bWxQSwECFAAUAAAACACHTuJAMy8FnjsA&#10;AAA5AAAAEAAAAAAAAAABACAAAAAJAQAAZHJzL3NoYXBleG1sLnhtbFBLBQYAAAAABgAGAFsBAACz&#10;AwAAAAA=&#10;">
                    <v:path/>
                    <v:fill on="f" focussize="0,0"/>
                    <v:stroke color="#000000" joinstyle="miter"/>
                    <v:imagedata o:title=""/>
                    <o:lock v:ext="edit" aspectratio="f"/>
                    <v:textbox>
                      <w:txbxContent>
                        <w:p w14:paraId="7A83E6C6">
                          <w:pPr>
                            <w:jc w:val="center"/>
                            <w:rPr>
                              <w:rFonts w:hint="eastAsia"/>
                            </w:rPr>
                          </w:pPr>
                          <w:r>
                            <w:rPr>
                              <w:rFonts w:hint="eastAsia"/>
                            </w:rPr>
                            <w:t>基础工程</w:t>
                          </w:r>
                        </w:p>
                      </w:txbxContent>
                    </v:textbox>
                  </v:rect>
                  <v:rect id="矩形 101" o:spid="_x0000_s2178" o:spt="1" style="position:absolute;left:1424;top:975;height:468;width:1260;" filled="f" stroked="t" coordsize="21600,21600" o:gfxdata="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TgwfugAAANoA&#10;AAAPAAAAAAAAAAEAIAAAACIAAABkcnMvZG93bnJldi54bWxQSwECFAAUAAAACACHTuJAMy8FnjsA&#10;AAA5AAAAEAAAAAAAAAABACAAAAAJAQAAZHJzL3NoYXBleG1sLnhtbFBLBQYAAAAABgAGAFsBAACz&#10;AwAAAAA=&#10;">
                    <v:path/>
                    <v:fill on="f" focussize="0,0"/>
                    <v:stroke color="#000000" joinstyle="miter"/>
                    <v:imagedata o:title=""/>
                    <o:lock v:ext="edit" aspectratio="f"/>
                    <v:textbox>
                      <w:txbxContent>
                        <w:p w14:paraId="2B97F900">
                          <w:pPr>
                            <w:jc w:val="center"/>
                            <w:rPr>
                              <w:rFonts w:hint="eastAsia"/>
                            </w:rPr>
                          </w:pPr>
                          <w:r>
                            <w:rPr>
                              <w:rFonts w:hint="eastAsia"/>
                            </w:rPr>
                            <w:t>主体工程</w:t>
                          </w:r>
                        </w:p>
                      </w:txbxContent>
                    </v:textbox>
                  </v:rect>
                  <v:rect id="矩形 102" o:spid="_x0000_s2179" o:spt="1" style="position:absolute;left:2864;top:936;height:468;width:1276;" filled="f" stroked="t" coordsize="21600,21600" o:gfxdata="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nJJougAAANoA&#10;AAAPAAAAAAAAAAEAIAAAACIAAABkcnMvZG93bnJldi54bWxQSwECFAAUAAAACACHTuJAMy8FnjsA&#10;AAA5AAAAEAAAAAAAAAABACAAAAAJAQAAZHJzL3NoYXBleG1sLnhtbFBLBQYAAAAABgAGAFsBAACz&#10;AwAAAAA=&#10;">
                    <v:path/>
                    <v:fill on="f" focussize="0,0"/>
                    <v:stroke color="#000000" joinstyle="miter"/>
                    <v:imagedata o:title=""/>
                    <o:lock v:ext="edit" aspectratio="f"/>
                    <v:textbox>
                      <w:txbxContent>
                        <w:p w14:paraId="64882C69">
                          <w:pPr>
                            <w:jc w:val="center"/>
                            <w:rPr>
                              <w:rFonts w:hint="eastAsia"/>
                            </w:rPr>
                          </w:pPr>
                          <w:r>
                            <w:rPr>
                              <w:rFonts w:hint="eastAsia"/>
                            </w:rPr>
                            <w:t>装饰工程</w:t>
                          </w:r>
                        </w:p>
                      </w:txbxContent>
                    </v:textbox>
                  </v:rect>
                  <v:rect id="矩形 103" o:spid="_x0000_s2180" o:spt="1" style="position:absolute;left:4306;top:936;height:468;width:1259;" filled="f" stroked="t" coordsize="21600,21600" o:gfxdata="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0DfzugAAANoA&#10;AAAPAAAAAAAAAAEAIAAAACIAAABkcnMvZG93bnJldi54bWxQSwECFAAUAAAACACHTuJAMy8FnjsA&#10;AAA5AAAAEAAAAAAAAAABACAAAAAJAQAAZHJzL3NoYXBleG1sLnhtbFBLBQYAAAAABgAGAFsBAACz&#10;AwAAAAA=&#10;">
                    <v:path/>
                    <v:fill on="f" focussize="0,0"/>
                    <v:stroke color="#000000" joinstyle="miter"/>
                    <v:imagedata o:title=""/>
                    <o:lock v:ext="edit" aspectratio="f"/>
                    <v:textbox>
                      <w:txbxContent>
                        <w:p w14:paraId="1139C194">
                          <w:pPr>
                            <w:jc w:val="center"/>
                            <w:rPr>
                              <w:rFonts w:hint="eastAsia"/>
                            </w:rPr>
                          </w:pPr>
                          <w:r>
                            <w:rPr>
                              <w:rFonts w:hint="eastAsia"/>
                            </w:rPr>
                            <w:t>设备安装</w:t>
                          </w:r>
                        </w:p>
                      </w:txbxContent>
                    </v:textbox>
                  </v:rect>
                  <v:rect id="矩形 104" o:spid="_x0000_s2181" o:spt="1" style="position:absolute;left:5760;top:915;height:468;width:1274;" filled="f" stroked="t" coordsize="21600,21600" o:gfxdata="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5Po4G2AAAA2gAAAA8A&#10;AAAAAAAAAQAgAAAAIgAAAGRycy9kb3ducmV2LnhtbFBLAQIUABQAAAAIAIdO4kAzLwWeOwAAADkA&#10;AAAQAAAAAAAAAAEAIAAAAAUBAABkcnMvc2hhcGV4bWwueG1sUEsFBgAAAAAGAAYAWwEAAK8DAAAA&#10;AA==&#10;">
                    <v:path/>
                    <v:fill on="f" focussize="0,0"/>
                    <v:stroke color="#000000" joinstyle="miter"/>
                    <v:imagedata o:title=""/>
                    <o:lock v:ext="edit" aspectratio="f"/>
                    <v:textbox>
                      <w:txbxContent>
                        <w:p w14:paraId="3627F879">
                          <w:pPr>
                            <w:jc w:val="center"/>
                            <w:rPr>
                              <w:rFonts w:hint="eastAsia"/>
                            </w:rPr>
                          </w:pPr>
                          <w:r>
                            <w:rPr>
                              <w:rFonts w:hint="eastAsia"/>
                            </w:rPr>
                            <w:t>工程验收</w:t>
                          </w:r>
                        </w:p>
                      </w:txbxContent>
                    </v:textbox>
                  </v:rect>
                  <v:rect id="矩形 107" o:spid="_x0000_s2182" o:spt="1" style="position:absolute;left:7215;top:885;height:453;width:1004;" filled="f" stroked="t" coordsize="21600,21600" o:gfxdata="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AwYaugAAANoA&#10;AAAPAAAAAAAAAAEAIAAAACIAAABkcnMvZG93bnJldi54bWxQSwECFAAUAAAACACHTuJAMy8FnjsA&#10;AAA5AAAAEAAAAAAAAAABACAAAAAJAQAAZHJzL3NoYXBleG1sLnhtbFBLBQYAAAAABgAGAFsBAACz&#10;AwAAAAA=&#10;">
                    <v:path/>
                    <v:fill on="f" focussize="0,0"/>
                    <v:stroke color="#000000" joinstyle="miter"/>
                    <v:imagedata o:title=""/>
                    <o:lock v:ext="edit" aspectratio="f"/>
                    <v:textbox>
                      <w:txbxContent>
                        <w:p w14:paraId="3B5BDBB9">
                          <w:pPr>
                            <w:jc w:val="center"/>
                            <w:rPr>
                              <w:rFonts w:hint="eastAsia"/>
                            </w:rPr>
                          </w:pPr>
                          <w:r>
                            <w:rPr>
                              <w:rFonts w:hint="eastAsia"/>
                            </w:rPr>
                            <w:t>运行</w:t>
                          </w:r>
                        </w:p>
                      </w:txbxContent>
                    </v:textbox>
                  </v:rect>
                  <v:line id="直接连接符 112" o:spid="_x0000_s2183" o:spt="20" style="position:absolute;left:1260;top:1182;height:1;width:180;" filled="f" stroked="t" coordsize="21600,21600" o:gfxdata="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mp/Ku/&#10;AAAA2wAAAA8AAAAAAAAAAQAgAAAAIgAAAGRycy9kb3ducmV2LnhtbFBLAQIUABQAAAAIAIdO4kAz&#10;LwWeOwAAADkAAAAQAAAAAAAAAAEAIAAAAA4BAABkcnMvc2hhcGV4bWwueG1sUEsFBgAAAAAGAAYA&#10;WwEAALgDAAAAAA==&#10;">
                    <v:path arrowok="t"/>
                    <v:fill on="f" focussize="0,0"/>
                    <v:stroke color="#000000" joinstyle="round" endarrow="block"/>
                    <v:imagedata o:title=""/>
                    <o:lock v:ext="edit" aspectratio="f"/>
                  </v:line>
                  <v:line id="直接连接符 113" o:spid="_x0000_s2184" o:spt="20" style="position:absolute;left:5580;top:1152;height:1;width:180;"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path arrowok="t"/>
                    <v:fill on="f" focussize="0,0"/>
                    <v:stroke color="#000000" joinstyle="round" endarrow="block"/>
                    <v:imagedata o:title=""/>
                    <o:lock v:ext="edit" aspectratio="f"/>
                  </v:line>
                  <v:line id="直接连接符 114" o:spid="_x0000_s2185" o:spt="20" style="position:absolute;left:7035;top:1137;height:1;width:180;"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path arrowok="t"/>
                    <v:fill on="f" focussize="0,0"/>
                    <v:stroke color="#000000" joinstyle="round" endarrow="block"/>
                    <v:imagedata o:title=""/>
                    <o:lock v:ext="edit" aspectratio="f"/>
                  </v:line>
                  <v:line id="直接连接符 115" o:spid="_x0000_s2186" o:spt="20" style="position:absolute;left:4140;top:1167;height:1;width:180;" filled="f" stroked="t" coordsize="21600,21600" o:gfxdata="UEsDBAoAAAAAAIdO4kAAAAAAAAAAAAAAAAAEAAAAZHJzL1BLAwQUAAAACACHTuJAFpL6qLwAAADb&#10;AAAADwAAAGRycy9kb3ducmV2LnhtbEVPS2vCQBC+F/oflil4q5uI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S+qi8AAAA&#10;2wAAAA8AAAAAAAAAAQAgAAAAIgAAAGRycy9kb3ducmV2LnhtbFBLAQIUABQAAAAIAIdO4kAzLwWe&#10;OwAAADkAAAAQAAAAAAAAAAEAIAAAAAsBAABkcnMvc2hhcGV4bWwueG1sUEsFBgAAAAAGAAYAWwEA&#10;ALUDAAAAAA==&#10;">
                    <v:path arrowok="t"/>
                    <v:fill on="f" focussize="0,0"/>
                    <v:stroke color="#000000" joinstyle="round" endarrow="block"/>
                    <v:imagedata o:title=""/>
                    <o:lock v:ext="edit" aspectratio="f"/>
                  </v:line>
                  <v:line id="直接连接符 116" o:spid="_x0000_s2187" o:spt="20" style="position:absolute;left:2700;top:1173;height:1;width:180;"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path arrowok="t"/>
                    <v:fill on="f" focussize="0,0"/>
                    <v:stroke color="#000000" joinstyle="round" endarrow="block"/>
                    <v:imagedata o:title=""/>
                    <o:lock v:ext="edit" aspectratio="f"/>
                  </v:line>
                  <v:line id="直接连接符 117" o:spid="_x0000_s2188" o:spt="20" style="position:absolute;left:540;top:639;flip:y;height:312;width:1;" filled="f" stroked="t" coordsize="21600,21600" o:gfxdata="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VRCvu8AAAA&#10;2wAAAA8AAAAAAAAAAQAgAAAAIgAAAGRycy9kb3ducmV2LnhtbFBLAQIUABQAAAAIAIdO4kAzLwWe&#10;OwAAADkAAAAQAAAAAAAAAAEAIAAAAAsBAABkcnMvc2hhcGV4bWwueG1sUEsFBgAAAAAGAAYAWwEA&#10;ALUDAAAAAA==&#10;">
                    <v:path arrowok="t"/>
                    <v:fill on="f" focussize="0,0"/>
                    <v:stroke color="#000000" joinstyle="round" dashstyle="dashDot" endarrow="block"/>
                    <v:imagedata o:title=""/>
                    <o:lock v:ext="edit" aspectratio="f"/>
                  </v:line>
                  <v:line id="直接连接符 118" o:spid="_x0000_s2189" o:spt="20" style="position:absolute;left:4965;top:624;flip:y;height:312;width:1;" filled="f" stroked="t" coordsize="21600,21600" o:gfxdata="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oHadu8AAAA&#10;2wAAAA8AAAAAAAAAAQAgAAAAIgAAAGRycy9kb3ducmV2LnhtbFBLAQIUABQAAAAIAIdO4kAzLwWe&#10;OwAAADkAAAAQAAAAAAAAAAEAIAAAAAsBAABkcnMvc2hhcGV4bWwueG1sUEsFBgAAAAAGAAYAWwEA&#10;ALUDAAAAAA==&#10;">
                    <v:path arrowok="t"/>
                    <v:fill on="f" focussize="0,0"/>
                    <v:stroke color="#000000" joinstyle="round" dashstyle="dashDot" endarrow="block"/>
                    <v:imagedata o:title=""/>
                    <o:lock v:ext="edit" aspectratio="f"/>
                  </v:line>
                  <v:line id="直接连接符 119" o:spid="_x0000_s2190" o:spt="20" style="position:absolute;left:3495;top:624;flip:y;height:312;width:1;" filled="f" stroked="t" coordsize="21600,21600" o:gfxdata="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Txv2LsAAADb&#10;AAAADwAAAAAAAAABACAAAAAiAAAAZHJzL2Rvd25yZXYueG1sUEsBAhQAFAAAAAgAh07iQDMvBZ47&#10;AAAAOQAAABAAAAAAAAAAAQAgAAAACgEAAGRycy9zaGFwZXhtbC54bWxQSwUGAAAAAAYABgBbAQAA&#10;tAMAAAAA&#10;">
                    <v:path arrowok="t"/>
                    <v:fill on="f" focussize="0,0"/>
                    <v:stroke color="#000000" joinstyle="round" dashstyle="dashDot" endarrow="block"/>
                    <v:imagedata o:title=""/>
                    <o:lock v:ext="edit" aspectratio="f"/>
                  </v:line>
                  <v:line id="直接连接符 120" o:spid="_x0000_s2191" o:spt="20" style="position:absolute;left:553;top:633;height:7;width:2927;" filled="f" stroked="t" coordsize="21600,21600" o:gfxdata="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QK9Km/&#10;AAAA2wAAAA8AAAAAAAAAAQAgAAAAIgAAAGRycy9kb3ducmV2LnhtbFBLAQIUABQAAAAIAIdO4kAz&#10;LwWeOwAAADkAAAAQAAAAAAAAAAEAIAAAAA4BAABkcnMvc2hhcGV4bWwueG1sUEsFBgAAAAAGAAYA&#10;WwEAALgDAAAAAA==&#10;">
                    <v:path arrowok="t"/>
                    <v:fill on="f" focussize="0,0"/>
                    <v:stroke color="#000000" joinstyle="round" dashstyle="1 1" endcap="square"/>
                    <v:imagedata o:title=""/>
                    <o:lock v:ext="edit" aspectratio="f"/>
                  </v:line>
                  <v:line id="直接连接符 121" o:spid="_x0000_s2192" o:spt="20" style="position:absolute;left:2040;top:483;flip:y;height:468;width:1;" filled="f" stroked="t" coordsize="21600,21600" o:gfxdata="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Xu8a+8AAAA&#10;2wAAAA8AAAAAAAAAAQAgAAAAIgAAAGRycy9kb3ducmV2LnhtbFBLAQIUABQAAAAIAIdO4kAzLwWe&#10;OwAAADkAAAAQAAAAAAAAAAEAIAAAAAsBAABkcnMvc2hhcGV4bWwueG1sUEsFBgAAAAAGAAYAWwEA&#10;ALUDAAAAAA==&#10;">
                    <v:path arrowok="t"/>
                    <v:fill on="f" focussize="0,0"/>
                    <v:stroke color="#000000" joinstyle="round" dashstyle="dashDot" endarrow="block"/>
                    <v:imagedata o:title=""/>
                    <o:lock v:ext="edit" aspectratio="f"/>
                  </v:line>
                  <v:line id="直接连接符 143" o:spid="_x0000_s2193" o:spt="20" style="position:absolute;left:540;top:1434;height:312;width:1;" filled="f" stroked="t" coordsize="21600,21600" o:gfxdata="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ap82ugAAANsA&#10;AAAPAAAAAAAAAAEAIAAAACIAAABkcnMvZG93bnJldi54bWxQSwECFAAUAAAACACHTuJAMy8FnjsA&#10;AAA5AAAAEAAAAAAAAAABACAAAAAJAQAAZHJzL3NoYXBleG1sLnhtbFBLBQYAAAAABgAGAFsBAACz&#10;AwAAAAA=&#10;">
                    <v:path arrowok="t"/>
                    <v:fill on="f" focussize="0,0"/>
                    <v:stroke color="#000000" joinstyle="round" dashstyle="dashDot" endarrow="block"/>
                    <v:imagedata o:title=""/>
                    <o:lock v:ext="edit" aspectratio="f"/>
                  </v:line>
                  <v:line id="直接连接符 144" o:spid="_x0000_s2194" o:spt="20" style="position:absolute;left:4965;top:1404;height:312;width:1;" filled="f" stroked="t" coordsize="21600,21600" o:gfxdata="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JjqtvQAA&#10;ANsAAAAPAAAAAAAAAAEAIAAAACIAAABkcnMvZG93bnJldi54bWxQSwECFAAUAAAACACHTuJAMy8F&#10;njsAAAA5AAAAEAAAAAAAAAABACAAAAAMAQAAZHJzL3NoYXBleG1sLnhtbFBLBQYAAAAABgAGAFsB&#10;AAC2AwAAAAA=&#10;">
                    <v:path arrowok="t"/>
                    <v:fill on="f" focussize="0,0"/>
                    <v:stroke color="#000000" joinstyle="round" dashstyle="dashDot" endarrow="block"/>
                    <v:imagedata o:title=""/>
                    <o:lock v:ext="edit" aspectratio="f"/>
                  </v:line>
                  <v:line id="直接连接符 145" o:spid="_x0000_s2195" o:spt="20" style="position:absolute;left:6420;top:1389;height:312;width:1;" filled="f" stroked="t" coordsize="21600,21600" o:gfxdata="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sUF7bsAAADb&#10;AAAADwAAAAAAAAABACAAAAAiAAAAZHJzL2Rvd25yZXYueG1sUEsBAhQAFAAAAAgAh07iQDMvBZ47&#10;AAAAOQAAABAAAAAAAAAAAQAgAAAACgEAAGRycy9zaGFwZXhtbC54bWxQSwUGAAAAAAYABgBbAQAA&#10;tAMAAAAA&#10;">
                    <v:path arrowok="t"/>
                    <v:fill on="f" focussize="0,0"/>
                    <v:stroke color="#000000" joinstyle="round" dashstyle="dashDot" endarrow="block"/>
                    <v:imagedata o:title=""/>
                    <o:lock v:ext="edit" aspectratio="f"/>
                  </v:line>
                  <v:line id="直接连接符 146" o:spid="_x0000_s2196" o:spt="20" style="position:absolute;left:2040;top:1404;height:312;width:1;" filled="f" stroked="t" coordsize="21600,21600" o:gfxdata="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iaB2vQAA&#10;ANsAAAAPAAAAAAAAAAEAIAAAACIAAABkcnMvZG93bnJldi54bWxQSwECFAAUAAAACACHTuJAMy8F&#10;njsAAAA5AAAAEAAAAAAAAAABACAAAAAMAQAAZHJzL3NoYXBleG1sLnhtbFBLBQYAAAAABgAGAFsB&#10;AAC2AwAAAAA=&#10;">
                    <v:path arrowok="t"/>
                    <v:fill on="f" focussize="0,0"/>
                    <v:stroke color="#000000" joinstyle="round" dashstyle="dashDot" endarrow="block"/>
                    <v:imagedata o:title=""/>
                    <o:lock v:ext="edit" aspectratio="f"/>
                  </v:line>
                  <v:line id="直接连接符 147" o:spid="_x0000_s2197" o:spt="20" style="position:absolute;left:510;top:1716;height:1;width:5940;" filled="f" stroked="t" coordsize="21600,21600" o:gfxdata="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46+gC/&#10;AAAA2wAAAA8AAAAAAAAAAQAgAAAAIgAAAGRycy9kb3ducmV2LnhtbFBLAQIUABQAAAAIAIdO4kAz&#10;LwWeOwAAADkAAAAQAAAAAAAAAAEAIAAAAA4BAABkcnMvc2hhcGV4bWwueG1sUEsFBgAAAAAGAAYA&#10;WwEAALgDAAAAAA==&#10;">
                    <v:path arrowok="t"/>
                    <v:fill on="f" focussize="0,0"/>
                    <v:stroke color="#000000" joinstyle="round" dashstyle="1 1" endcap="square"/>
                    <v:imagedata o:title=""/>
                    <o:lock v:ext="edit" aspectratio="f"/>
                  </v:line>
                  <v:line id="直接连接符 148" o:spid="_x0000_s2198" o:spt="20" style="position:absolute;left:3495;top:1404;height:468;width:1;" filled="f" stroked="t" coordsize="21600,21600" o:gfxdata="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F5uavQAA&#10;ANsAAAAPAAAAAAAAAAEAIAAAACIAAABkcnMvZG93bnJldi54bWxQSwECFAAUAAAACACHTuJAMy8F&#10;njsAAAA5AAAAEAAAAAAAAAABACAAAAAMAQAAZHJzL3NoYXBleG1sLnhtbFBLBQYAAAAABgAGAFsB&#10;AAC2AwAAAAA=&#10;">
                    <v:path arrowok="t"/>
                    <v:fill on="f" focussize="0,0"/>
                    <v:stroke color="#000000" joinstyle="round" dashstyle="dashDot" endarrow="block"/>
                    <v:imagedata o:title=""/>
                    <o:lock v:ext="edit" aspectratio="f"/>
                  </v:line>
                  <v:rect id="矩形 149" o:spid="_x0000_s2199" o:spt="1" style="position:absolute;left:2880;top:1872;height:432;width:1275;" filled="f" stroked="t" coordsize="21600,21600" o:gfxdata="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rys+vQAA&#10;ANsAAAAPAAAAAAAAAAEAIAAAACIAAABkcnMvZG93bnJldi54bWxQSwECFAAUAAAACACHTuJAMy8F&#10;njsAAAA5AAAAEAAAAAAAAAABACAAAAAMAQAAZHJzL3NoYXBleG1sLnhtbFBLBQYAAAAABgAGAFsB&#10;AAC2AwAAAAA=&#10;">
                    <v:path/>
                    <v:fill on="f" focussize="0,0"/>
                    <v:stroke color="#000000" joinstyle="miter" dashstyle="dashDot"/>
                    <v:imagedata o:title=""/>
                    <o:lock v:ext="edit" aspectratio="f"/>
                    <v:textbox>
                      <w:txbxContent>
                        <w:p w14:paraId="0746FC17">
                          <w:pPr>
                            <w:jc w:val="center"/>
                            <w:rPr>
                              <w:rFonts w:hint="eastAsia"/>
                              <w:sz w:val="18"/>
                              <w:szCs w:val="18"/>
                            </w:rPr>
                          </w:pPr>
                          <w:r>
                            <w:rPr>
                              <w:rFonts w:hint="eastAsia"/>
                              <w:sz w:val="18"/>
                              <w:szCs w:val="18"/>
                            </w:rPr>
                            <w:t>废水、固废</w:t>
                          </w:r>
                        </w:p>
                      </w:txbxContent>
                    </v:textbox>
                  </v:rect>
                  <w10:wrap type="none"/>
                  <w10:anchorlock/>
                </v:group>
              </w:pict>
            </w:r>
          </w:p>
          <w:p w14:paraId="05775E75">
            <w:pPr>
              <w:pStyle w:val="44"/>
              <w:ind w:firstLine="0" w:firstLineChars="0"/>
              <w:jc w:val="center"/>
              <w:rPr>
                <w:lang w:val="en-US"/>
              </w:rPr>
            </w:pPr>
            <w:r>
              <w:rPr>
                <w:rFonts w:hint="eastAsia"/>
                <w:b/>
                <w:bCs/>
                <w:lang w:val="en-US"/>
              </w:rPr>
              <w:t>图1-2  施工流程及产污环节图</w:t>
            </w:r>
          </w:p>
          <w:p w14:paraId="10E0564C">
            <w:pPr>
              <w:pStyle w:val="44"/>
              <w:spacing w:line="360" w:lineRule="auto"/>
              <w:ind w:firstLine="420"/>
              <w:rPr>
                <w:bCs/>
                <w:lang w:val="en-US"/>
              </w:rPr>
            </w:pPr>
            <w:r>
              <w:rPr>
                <w:rFonts w:hint="eastAsia"/>
                <w:sz w:val="24"/>
                <w:szCs w:val="24"/>
                <w:lang w:val="en-US"/>
              </w:rPr>
              <w:t>施工期工艺流程简述：项目施工工序主要为场地平整、土方开挖、房屋建筑及设备安装等，其污染物为基础施工、主体工程施工过程中产生的施工扬尘；基础施工、主体工程、设备安装等过程中产生的施工期噪声；房屋建筑施工过程中产生的建筑垃圾；以及施工人员活动过程中产生的生活垃圾及生活废水。各污染物排放量施工期和施工强度不同有所变化，且施工期结束这部分影响也随之消失。</w:t>
            </w:r>
            <w:r>
              <w:rPr>
                <w:rFonts w:hint="eastAsia"/>
                <w:bCs/>
                <w:sz w:val="24"/>
                <w:szCs w:val="24"/>
                <w:lang w:val="en-US"/>
              </w:rPr>
              <w:t>施工期主要污染工序及污染因子见下表。</w:t>
            </w:r>
          </w:p>
          <w:p w14:paraId="02568128">
            <w:pPr>
              <w:pStyle w:val="44"/>
              <w:ind w:firstLine="0" w:firstLineChars="0"/>
              <w:jc w:val="center"/>
              <w:rPr>
                <w:lang w:val="en-US"/>
              </w:rPr>
            </w:pPr>
            <w:r>
              <w:rPr>
                <w:rFonts w:hint="eastAsia"/>
                <w:b/>
                <w:bCs/>
                <w:lang w:val="en-US"/>
              </w:rPr>
              <w:t>表2-</w:t>
            </w:r>
            <w:r>
              <w:rPr>
                <w:rFonts w:hint="eastAsia"/>
                <w:b/>
                <w:bCs/>
                <w:lang w:val="en-US" w:eastAsia="zh-CN"/>
              </w:rPr>
              <w:t>6</w:t>
            </w:r>
            <w:r>
              <w:rPr>
                <w:rFonts w:hint="eastAsia"/>
                <w:b/>
                <w:bCs/>
                <w:lang w:val="en-US"/>
              </w:rPr>
              <w:t xml:space="preserve">  施工期主要污染工序及污染因子一览表</w:t>
            </w:r>
          </w:p>
          <w:tbl>
            <w:tblPr>
              <w:tblStyle w:val="24"/>
              <w:tblW w:w="8331"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234"/>
              <w:gridCol w:w="1850"/>
              <w:gridCol w:w="1850"/>
              <w:gridCol w:w="3397"/>
            </w:tblGrid>
            <w:tr w14:paraId="7C11C3D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34" w:type="dxa"/>
                  <w:vAlign w:val="center"/>
                </w:tcPr>
                <w:p w14:paraId="557DFB34">
                  <w:pPr>
                    <w:jc w:val="center"/>
                    <w:rPr>
                      <w:b/>
                      <w:bCs/>
                    </w:rPr>
                  </w:pPr>
                  <w:r>
                    <w:rPr>
                      <w:b/>
                      <w:bCs/>
                    </w:rPr>
                    <w:t>污染类别</w:t>
                  </w:r>
                </w:p>
              </w:tc>
              <w:tc>
                <w:tcPr>
                  <w:tcW w:w="1850" w:type="dxa"/>
                  <w:vAlign w:val="center"/>
                </w:tcPr>
                <w:p w14:paraId="71F9A69D">
                  <w:pPr>
                    <w:jc w:val="center"/>
                    <w:rPr>
                      <w:b/>
                      <w:bCs/>
                    </w:rPr>
                  </w:pPr>
                  <w:r>
                    <w:rPr>
                      <w:b/>
                      <w:bCs/>
                    </w:rPr>
                    <w:t>污染源名称</w:t>
                  </w:r>
                </w:p>
              </w:tc>
              <w:tc>
                <w:tcPr>
                  <w:tcW w:w="1850" w:type="dxa"/>
                  <w:vAlign w:val="center"/>
                </w:tcPr>
                <w:p w14:paraId="4272D06D">
                  <w:pPr>
                    <w:jc w:val="center"/>
                    <w:rPr>
                      <w:b/>
                      <w:bCs/>
                    </w:rPr>
                  </w:pPr>
                  <w:r>
                    <w:rPr>
                      <w:b/>
                      <w:bCs/>
                    </w:rPr>
                    <w:t>产生工序</w:t>
                  </w:r>
                </w:p>
              </w:tc>
              <w:tc>
                <w:tcPr>
                  <w:tcW w:w="3397" w:type="dxa"/>
                  <w:vAlign w:val="center"/>
                </w:tcPr>
                <w:p w14:paraId="1EAA561D">
                  <w:pPr>
                    <w:jc w:val="center"/>
                    <w:rPr>
                      <w:b/>
                      <w:bCs/>
                    </w:rPr>
                  </w:pPr>
                  <w:r>
                    <w:rPr>
                      <w:b/>
                      <w:bCs/>
                    </w:rPr>
                    <w:t>主要污染因子</w:t>
                  </w:r>
                </w:p>
              </w:tc>
            </w:tr>
            <w:tr w14:paraId="3A96DBC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34" w:type="dxa"/>
                  <w:vAlign w:val="center"/>
                </w:tcPr>
                <w:p w14:paraId="30C7656E">
                  <w:pPr>
                    <w:jc w:val="center"/>
                  </w:pPr>
                  <w:r>
                    <w:t>废气</w:t>
                  </w:r>
                </w:p>
              </w:tc>
              <w:tc>
                <w:tcPr>
                  <w:tcW w:w="1850" w:type="dxa"/>
                  <w:vAlign w:val="center"/>
                </w:tcPr>
                <w:p w14:paraId="0C73B8D7">
                  <w:pPr>
                    <w:jc w:val="center"/>
                  </w:pPr>
                  <w:r>
                    <w:t>堆场、施工场地</w:t>
                  </w:r>
                </w:p>
              </w:tc>
              <w:tc>
                <w:tcPr>
                  <w:tcW w:w="1850" w:type="dxa"/>
                  <w:vAlign w:val="center"/>
                </w:tcPr>
                <w:p w14:paraId="17256A95">
                  <w:pPr>
                    <w:jc w:val="center"/>
                  </w:pPr>
                  <w:r>
                    <w:t>施工过程</w:t>
                  </w:r>
                </w:p>
              </w:tc>
              <w:tc>
                <w:tcPr>
                  <w:tcW w:w="3397" w:type="dxa"/>
                  <w:vAlign w:val="center"/>
                </w:tcPr>
                <w:p w14:paraId="7CEE30DA">
                  <w:pPr>
                    <w:jc w:val="center"/>
                  </w:pPr>
                  <w:r>
                    <w:t>粉尘</w:t>
                  </w:r>
                </w:p>
              </w:tc>
            </w:tr>
            <w:tr w14:paraId="15FFD14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34" w:type="dxa"/>
                  <w:vMerge w:val="restart"/>
                  <w:vAlign w:val="center"/>
                </w:tcPr>
                <w:p w14:paraId="5822AE7B">
                  <w:pPr>
                    <w:jc w:val="center"/>
                  </w:pPr>
                  <w:r>
                    <w:t>废水</w:t>
                  </w:r>
                </w:p>
              </w:tc>
              <w:tc>
                <w:tcPr>
                  <w:tcW w:w="1850" w:type="dxa"/>
                  <w:vAlign w:val="center"/>
                </w:tcPr>
                <w:p w14:paraId="79082389">
                  <w:pPr>
                    <w:jc w:val="center"/>
                  </w:pPr>
                  <w:r>
                    <w:t>施工废水</w:t>
                  </w:r>
                </w:p>
              </w:tc>
              <w:tc>
                <w:tcPr>
                  <w:tcW w:w="1850" w:type="dxa"/>
                  <w:vAlign w:val="center"/>
                </w:tcPr>
                <w:p w14:paraId="632ABD87">
                  <w:pPr>
                    <w:jc w:val="center"/>
                  </w:pPr>
                  <w:r>
                    <w:t>施工作业过程</w:t>
                  </w:r>
                </w:p>
              </w:tc>
              <w:tc>
                <w:tcPr>
                  <w:tcW w:w="3397" w:type="dxa"/>
                  <w:vAlign w:val="center"/>
                </w:tcPr>
                <w:p w14:paraId="4FBE7C22">
                  <w:pPr>
                    <w:jc w:val="center"/>
                  </w:pPr>
                  <w:r>
                    <w:t>SS</w:t>
                  </w:r>
                </w:p>
              </w:tc>
            </w:tr>
            <w:tr w14:paraId="1E0F522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34" w:type="dxa"/>
                  <w:vMerge w:val="continue"/>
                  <w:vAlign w:val="center"/>
                </w:tcPr>
                <w:p w14:paraId="6D6398CB">
                  <w:pPr>
                    <w:jc w:val="center"/>
                  </w:pPr>
                </w:p>
              </w:tc>
              <w:tc>
                <w:tcPr>
                  <w:tcW w:w="1850" w:type="dxa"/>
                  <w:vAlign w:val="center"/>
                </w:tcPr>
                <w:p w14:paraId="63704BFF">
                  <w:pPr>
                    <w:jc w:val="center"/>
                  </w:pPr>
                  <w:r>
                    <w:t>生活污水</w:t>
                  </w:r>
                </w:p>
              </w:tc>
              <w:tc>
                <w:tcPr>
                  <w:tcW w:w="1850" w:type="dxa"/>
                  <w:vAlign w:val="center"/>
                </w:tcPr>
                <w:p w14:paraId="56155528">
                  <w:pPr>
                    <w:jc w:val="center"/>
                  </w:pPr>
                  <w:r>
                    <w:t>施工人员生活</w:t>
                  </w:r>
                </w:p>
              </w:tc>
              <w:tc>
                <w:tcPr>
                  <w:tcW w:w="3397" w:type="dxa"/>
                  <w:vAlign w:val="center"/>
                </w:tcPr>
                <w:p w14:paraId="60CFB716">
                  <w:pPr>
                    <w:jc w:val="center"/>
                  </w:pPr>
                  <w:r>
                    <w:t>SS、COD</w:t>
                  </w:r>
                  <w:r>
                    <w:rPr>
                      <w:vertAlign w:val="subscript"/>
                    </w:rPr>
                    <w:t>Cr</w:t>
                  </w:r>
                  <w:r>
                    <w:t>、BOD</w:t>
                  </w:r>
                  <w:r>
                    <w:rPr>
                      <w:vertAlign w:val="subscript"/>
                    </w:rPr>
                    <w:t>5</w:t>
                  </w:r>
                  <w:r>
                    <w:t>、NH</w:t>
                  </w:r>
                  <w:r>
                    <w:rPr>
                      <w:vertAlign w:val="subscript"/>
                    </w:rPr>
                    <w:t>3</w:t>
                  </w:r>
                  <w:r>
                    <w:t>-N</w:t>
                  </w:r>
                  <w:r>
                    <w:rPr>
                      <w:rFonts w:hint="eastAsia"/>
                    </w:rPr>
                    <w:t>、动植物油</w:t>
                  </w:r>
                </w:p>
              </w:tc>
            </w:tr>
            <w:tr w14:paraId="61E0834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34" w:type="dxa"/>
                  <w:vMerge w:val="restart"/>
                  <w:vAlign w:val="center"/>
                </w:tcPr>
                <w:p w14:paraId="0015540D">
                  <w:pPr>
                    <w:jc w:val="center"/>
                  </w:pPr>
                  <w:r>
                    <w:t>噪声</w:t>
                  </w:r>
                </w:p>
              </w:tc>
              <w:tc>
                <w:tcPr>
                  <w:tcW w:w="1850" w:type="dxa"/>
                  <w:vAlign w:val="center"/>
                </w:tcPr>
                <w:p w14:paraId="55B52B98">
                  <w:pPr>
                    <w:jc w:val="center"/>
                  </w:pPr>
                  <w:r>
                    <w:t>施工设备</w:t>
                  </w:r>
                </w:p>
              </w:tc>
              <w:tc>
                <w:tcPr>
                  <w:tcW w:w="1850" w:type="dxa"/>
                  <w:vAlign w:val="center"/>
                </w:tcPr>
                <w:p w14:paraId="707BE5AB">
                  <w:pPr>
                    <w:jc w:val="center"/>
                  </w:pPr>
                  <w:r>
                    <w:t>施工设备运行</w:t>
                  </w:r>
                </w:p>
              </w:tc>
              <w:tc>
                <w:tcPr>
                  <w:tcW w:w="3397" w:type="dxa"/>
                  <w:vAlign w:val="center"/>
                </w:tcPr>
                <w:p w14:paraId="0C6D027E">
                  <w:pPr>
                    <w:jc w:val="center"/>
                  </w:pPr>
                  <w:r>
                    <w:t>机械噪声</w:t>
                  </w:r>
                </w:p>
              </w:tc>
            </w:tr>
            <w:tr w14:paraId="3960F70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34" w:type="dxa"/>
                  <w:vMerge w:val="continue"/>
                  <w:vAlign w:val="center"/>
                </w:tcPr>
                <w:p w14:paraId="252D9E49">
                  <w:pPr>
                    <w:jc w:val="center"/>
                  </w:pPr>
                </w:p>
              </w:tc>
              <w:tc>
                <w:tcPr>
                  <w:tcW w:w="1850" w:type="dxa"/>
                  <w:vAlign w:val="center"/>
                </w:tcPr>
                <w:p w14:paraId="04C58EE9">
                  <w:pPr>
                    <w:jc w:val="center"/>
                  </w:pPr>
                  <w:r>
                    <w:t>运输车辆</w:t>
                  </w:r>
                </w:p>
              </w:tc>
              <w:tc>
                <w:tcPr>
                  <w:tcW w:w="1850" w:type="dxa"/>
                  <w:vAlign w:val="center"/>
                </w:tcPr>
                <w:p w14:paraId="5346EA6F">
                  <w:pPr>
                    <w:jc w:val="center"/>
                  </w:pPr>
                  <w:r>
                    <w:t>运输车辆行驶</w:t>
                  </w:r>
                </w:p>
              </w:tc>
              <w:tc>
                <w:tcPr>
                  <w:tcW w:w="3397" w:type="dxa"/>
                  <w:vAlign w:val="center"/>
                </w:tcPr>
                <w:p w14:paraId="179AB3E3">
                  <w:pPr>
                    <w:jc w:val="center"/>
                  </w:pPr>
                  <w:r>
                    <w:t>交通噪声</w:t>
                  </w:r>
                </w:p>
              </w:tc>
            </w:tr>
            <w:tr w14:paraId="39DEE3C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34" w:type="dxa"/>
                  <w:vMerge w:val="continue"/>
                  <w:vAlign w:val="center"/>
                </w:tcPr>
                <w:p w14:paraId="71EC3E28">
                  <w:pPr>
                    <w:jc w:val="center"/>
                  </w:pPr>
                </w:p>
              </w:tc>
              <w:tc>
                <w:tcPr>
                  <w:tcW w:w="1850" w:type="dxa"/>
                  <w:vAlign w:val="center"/>
                </w:tcPr>
                <w:p w14:paraId="7970AB8C">
                  <w:pPr>
                    <w:jc w:val="center"/>
                  </w:pPr>
                  <w:r>
                    <w:t>施工人员</w:t>
                  </w:r>
                </w:p>
              </w:tc>
              <w:tc>
                <w:tcPr>
                  <w:tcW w:w="1850" w:type="dxa"/>
                  <w:vAlign w:val="center"/>
                </w:tcPr>
                <w:p w14:paraId="7EEBD1AE">
                  <w:pPr>
                    <w:jc w:val="center"/>
                  </w:pPr>
                  <w:r>
                    <w:t>人员施工、生活</w:t>
                  </w:r>
                </w:p>
              </w:tc>
              <w:tc>
                <w:tcPr>
                  <w:tcW w:w="3397" w:type="dxa"/>
                  <w:vAlign w:val="center"/>
                </w:tcPr>
                <w:p w14:paraId="7B762133">
                  <w:pPr>
                    <w:jc w:val="center"/>
                  </w:pPr>
                  <w:r>
                    <w:t>生活噪声</w:t>
                  </w:r>
                </w:p>
              </w:tc>
            </w:tr>
            <w:tr w14:paraId="693F14B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34" w:type="dxa"/>
                  <w:vMerge w:val="restart"/>
                  <w:vAlign w:val="center"/>
                </w:tcPr>
                <w:p w14:paraId="3BFF5A20">
                  <w:pPr>
                    <w:jc w:val="center"/>
                  </w:pPr>
                  <w:r>
                    <w:t>固废</w:t>
                  </w:r>
                </w:p>
              </w:tc>
              <w:tc>
                <w:tcPr>
                  <w:tcW w:w="1850" w:type="dxa"/>
                  <w:vAlign w:val="center"/>
                </w:tcPr>
                <w:p w14:paraId="68D5344F">
                  <w:pPr>
                    <w:jc w:val="center"/>
                  </w:pPr>
                  <w:r>
                    <w:t>施工固废</w:t>
                  </w:r>
                </w:p>
              </w:tc>
              <w:tc>
                <w:tcPr>
                  <w:tcW w:w="1850" w:type="dxa"/>
                  <w:vAlign w:val="center"/>
                </w:tcPr>
                <w:p w14:paraId="45C95E72">
                  <w:pPr>
                    <w:jc w:val="center"/>
                  </w:pPr>
                  <w:r>
                    <w:t>施工过程</w:t>
                  </w:r>
                </w:p>
              </w:tc>
              <w:tc>
                <w:tcPr>
                  <w:tcW w:w="3397" w:type="dxa"/>
                  <w:vAlign w:val="center"/>
                </w:tcPr>
                <w:p w14:paraId="35C4CE19">
                  <w:pPr>
                    <w:jc w:val="center"/>
                  </w:pPr>
                  <w:r>
                    <w:t>土石方、建材等建筑垃圾</w:t>
                  </w:r>
                </w:p>
              </w:tc>
            </w:tr>
            <w:tr w14:paraId="19CECC2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34" w:type="dxa"/>
                  <w:vMerge w:val="continue"/>
                  <w:vAlign w:val="center"/>
                </w:tcPr>
                <w:p w14:paraId="57C600D4">
                  <w:pPr>
                    <w:jc w:val="center"/>
                  </w:pPr>
                </w:p>
              </w:tc>
              <w:tc>
                <w:tcPr>
                  <w:tcW w:w="1850" w:type="dxa"/>
                  <w:vAlign w:val="center"/>
                </w:tcPr>
                <w:p w14:paraId="665350B8">
                  <w:pPr>
                    <w:jc w:val="center"/>
                  </w:pPr>
                  <w:r>
                    <w:t>生活固废</w:t>
                  </w:r>
                </w:p>
              </w:tc>
              <w:tc>
                <w:tcPr>
                  <w:tcW w:w="1850" w:type="dxa"/>
                  <w:vAlign w:val="center"/>
                </w:tcPr>
                <w:p w14:paraId="4C522861">
                  <w:pPr>
                    <w:jc w:val="center"/>
                  </w:pPr>
                  <w:r>
                    <w:t>施工人员生活</w:t>
                  </w:r>
                </w:p>
              </w:tc>
              <w:tc>
                <w:tcPr>
                  <w:tcW w:w="3397" w:type="dxa"/>
                  <w:vAlign w:val="center"/>
                </w:tcPr>
                <w:p w14:paraId="0A4FE941">
                  <w:pPr>
                    <w:jc w:val="center"/>
                  </w:pPr>
                  <w:r>
                    <w:t>生活垃圾</w:t>
                  </w:r>
                </w:p>
              </w:tc>
            </w:tr>
            <w:tr w14:paraId="32F1AC5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34" w:type="dxa"/>
                  <w:vAlign w:val="center"/>
                </w:tcPr>
                <w:p w14:paraId="4A09182D">
                  <w:pPr>
                    <w:jc w:val="center"/>
                  </w:pPr>
                  <w:r>
                    <w:t>生态</w:t>
                  </w:r>
                </w:p>
              </w:tc>
              <w:tc>
                <w:tcPr>
                  <w:tcW w:w="7097" w:type="dxa"/>
                  <w:gridSpan w:val="3"/>
                  <w:vAlign w:val="center"/>
                </w:tcPr>
                <w:p w14:paraId="68DA8FDF">
                  <w:pPr>
                    <w:jc w:val="center"/>
                  </w:pPr>
                  <w:r>
                    <w:t>施工期主要生态影响为水土流失和绿色植被占用，但随着施工期的结束，生态破坏状况将会得到大大改善</w:t>
                  </w:r>
                </w:p>
              </w:tc>
            </w:tr>
          </w:tbl>
          <w:p w14:paraId="17C42C40">
            <w:pPr>
              <w:pStyle w:val="4"/>
              <w:rPr>
                <w:sz w:val="24"/>
                <w:szCs w:val="24"/>
              </w:rPr>
            </w:pPr>
            <w:r>
              <w:rPr>
                <w:sz w:val="24"/>
                <w:szCs w:val="24"/>
              </w:rPr>
              <w:t>2</w:t>
            </w:r>
            <w:r>
              <w:rPr>
                <w:rFonts w:hint="eastAsia"/>
                <w:sz w:val="24"/>
                <w:szCs w:val="24"/>
              </w:rPr>
              <w:t>.</w:t>
            </w:r>
            <w:r>
              <w:rPr>
                <w:sz w:val="24"/>
                <w:szCs w:val="24"/>
              </w:rPr>
              <w:t>运营期</w:t>
            </w:r>
          </w:p>
          <w:p w14:paraId="1C9A68B3">
            <w:pPr>
              <w:pStyle w:val="5"/>
              <w:ind w:firstLine="422"/>
              <w:rPr>
                <w:bCs/>
                <w:sz w:val="24"/>
                <w:szCs w:val="24"/>
              </w:rPr>
            </w:pPr>
            <w:r>
              <w:rPr>
                <w:rFonts w:hint="eastAsia"/>
                <w:sz w:val="24"/>
                <w:szCs w:val="24"/>
              </w:rPr>
              <w:t>2.1</w:t>
            </w:r>
            <w:r>
              <w:rPr>
                <w:bCs/>
                <w:sz w:val="24"/>
                <w:szCs w:val="24"/>
              </w:rPr>
              <w:t>生产工艺</w:t>
            </w:r>
          </w:p>
          <w:p w14:paraId="52C9A736">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r>
              <w:rPr>
                <w:rFonts w:hint="default" w:ascii="Times New Roman" w:hAnsi="Times New Roman" w:cs="Times New Roman"/>
                <w:sz w:val="24"/>
                <w:szCs w:val="24"/>
                <w:lang w:eastAsia="zh-CN"/>
              </w:rPr>
              <w:t>）</w:t>
            </w:r>
            <w:r>
              <w:rPr>
                <w:rFonts w:hint="default" w:ascii="Times New Roman" w:hAnsi="Times New Roman" w:cs="Times New Roman"/>
                <w:sz w:val="24"/>
                <w:szCs w:val="24"/>
              </w:rPr>
              <w:t>项目</w:t>
            </w:r>
            <w:r>
              <w:rPr>
                <w:rFonts w:hint="eastAsia"/>
                <w:bCs/>
                <w:sz w:val="24"/>
                <w:szCs w:val="24"/>
              </w:rPr>
              <w:t>蒸压加气混凝土砌块</w:t>
            </w:r>
            <w:r>
              <w:rPr>
                <w:rFonts w:hint="default" w:ascii="Times New Roman" w:hAnsi="Times New Roman" w:cs="Times New Roman"/>
                <w:snapToGrid w:val="0"/>
                <w:kern w:val="0"/>
                <w:sz w:val="24"/>
                <w:szCs w:val="24"/>
              </w:rPr>
              <w:t>生产线</w:t>
            </w:r>
            <w:r>
              <w:rPr>
                <w:rFonts w:hint="default" w:ascii="Times New Roman" w:hAnsi="Times New Roman" w:cs="Times New Roman"/>
                <w:bCs/>
                <w:sz w:val="24"/>
                <w:szCs w:val="24"/>
              </w:rPr>
              <w:t>生产工艺简述如下：</w:t>
            </w:r>
          </w:p>
          <w:p w14:paraId="34B05536">
            <w:pPr>
              <w:spacing w:line="360" w:lineRule="auto"/>
              <w:ind w:firstLine="480" w:firstLineChars="200"/>
              <w:jc w:val="both"/>
              <w:rPr>
                <w:rFonts w:ascii="Times New Roman" w:hAnsi="Times New Roman" w:eastAsia="宋体"/>
                <w:sz w:val="24"/>
                <w:szCs w:val="24"/>
              </w:rPr>
            </w:pPr>
            <w:r>
              <w:rPr>
                <w:rFonts w:hint="eastAsia" w:ascii="Times New Roman" w:hAnsi="Times New Roman" w:eastAsia="宋体"/>
                <w:sz w:val="24"/>
                <w:szCs w:val="24"/>
              </w:rPr>
              <w:t>（</w:t>
            </w:r>
            <w:r>
              <w:rPr>
                <w:rFonts w:ascii="Times New Roman" w:hAnsi="Times New Roman" w:eastAsia="宋体"/>
                <w:sz w:val="24"/>
                <w:szCs w:val="24"/>
              </w:rPr>
              <w:t>1</w:t>
            </w:r>
            <w:r>
              <w:rPr>
                <w:rFonts w:hint="eastAsia" w:ascii="Times New Roman" w:hAnsi="Times New Roman" w:eastAsia="宋体"/>
                <w:sz w:val="24"/>
                <w:szCs w:val="24"/>
              </w:rPr>
              <w:t>）原料加工</w:t>
            </w:r>
          </w:p>
          <w:p w14:paraId="0F2CFB8A">
            <w:pPr>
              <w:spacing w:line="360" w:lineRule="auto"/>
              <w:ind w:firstLine="480" w:firstLineChars="200"/>
              <w:jc w:val="both"/>
              <w:rPr>
                <w:rFonts w:ascii="Times New Roman" w:hAnsi="Times New Roman" w:eastAsia="宋体"/>
                <w:sz w:val="24"/>
                <w:szCs w:val="24"/>
              </w:rPr>
            </w:pPr>
            <w:r>
              <w:rPr>
                <w:rFonts w:hint="eastAsia" w:ascii="Times New Roman" w:hAnsi="Times New Roman" w:eastAsia="宋体"/>
                <w:sz w:val="24"/>
                <w:szCs w:val="24"/>
              </w:rPr>
              <w:t>①水泥</w:t>
            </w:r>
          </w:p>
          <w:p w14:paraId="1AA89DBF">
            <w:pPr>
              <w:spacing w:line="360" w:lineRule="auto"/>
              <w:ind w:firstLine="480" w:firstLineChars="200"/>
              <w:jc w:val="both"/>
              <w:rPr>
                <w:rFonts w:ascii="Times New Roman" w:hAnsi="Times New Roman" w:eastAsia="宋体"/>
                <w:sz w:val="24"/>
                <w:szCs w:val="24"/>
              </w:rPr>
            </w:pPr>
            <w:bookmarkStart w:id="4" w:name="_Hlk200049735"/>
            <w:r>
              <w:rPr>
                <w:rFonts w:hint="eastAsia" w:ascii="Times New Roman" w:hAnsi="Times New Roman" w:eastAsia="宋体"/>
                <w:sz w:val="24"/>
                <w:szCs w:val="24"/>
              </w:rPr>
              <w:t>水泥由粉料散装车运入厂，由散装车上自带气力输送泵送至水泥粉料筒仓贮存。再由贮仓下的调速单管螺旋输送机直接送入配料楼的水泥计量秤进行配料。</w:t>
            </w:r>
            <w:bookmarkEnd w:id="4"/>
          </w:p>
          <w:p w14:paraId="1FB31D29">
            <w:pPr>
              <w:spacing w:line="360" w:lineRule="auto"/>
              <w:ind w:firstLine="480" w:firstLineChars="200"/>
              <w:jc w:val="both"/>
              <w:rPr>
                <w:rFonts w:ascii="Times New Roman" w:hAnsi="Times New Roman" w:eastAsia="宋体"/>
                <w:sz w:val="24"/>
                <w:szCs w:val="24"/>
              </w:rPr>
            </w:pPr>
            <w:r>
              <w:rPr>
                <w:rFonts w:hint="eastAsia" w:ascii="Times New Roman" w:hAnsi="Times New Roman" w:eastAsia="宋体"/>
                <w:sz w:val="24"/>
                <w:szCs w:val="24"/>
              </w:rPr>
              <w:t>②石灰</w:t>
            </w:r>
          </w:p>
          <w:p w14:paraId="37F26B75">
            <w:pPr>
              <w:spacing w:line="360" w:lineRule="auto"/>
              <w:ind w:firstLine="480" w:firstLineChars="200"/>
              <w:jc w:val="both"/>
              <w:rPr>
                <w:rFonts w:ascii="Times New Roman" w:hAnsi="Times New Roman" w:eastAsia="宋体"/>
                <w:sz w:val="24"/>
                <w:szCs w:val="24"/>
              </w:rPr>
            </w:pPr>
            <w:r>
              <w:rPr>
                <w:rFonts w:hint="eastAsia" w:ascii="Times New Roman" w:hAnsi="Times New Roman" w:eastAsia="宋体"/>
                <w:sz w:val="24"/>
                <w:szCs w:val="24"/>
              </w:rPr>
              <w:t>石灰由粉料散装车运入厂，</w:t>
            </w:r>
            <w:bookmarkStart w:id="5" w:name="_Hlk200049850"/>
            <w:r>
              <w:rPr>
                <w:rFonts w:hint="eastAsia" w:ascii="Times New Roman" w:hAnsi="Times New Roman" w:eastAsia="宋体"/>
                <w:sz w:val="24"/>
                <w:szCs w:val="24"/>
              </w:rPr>
              <w:t>由散装车上自带气力输送泵送至石灰粉料筒仓</w:t>
            </w:r>
            <w:bookmarkEnd w:id="5"/>
            <w:r>
              <w:rPr>
                <w:rFonts w:hint="eastAsia" w:ascii="Times New Roman" w:hAnsi="Times New Roman" w:eastAsia="宋体"/>
                <w:sz w:val="24"/>
                <w:szCs w:val="24"/>
              </w:rPr>
              <w:t>贮存。再由贮仓下的调速单管螺旋输送机直接送入配料楼的石灰计量秤进行配料。</w:t>
            </w:r>
          </w:p>
          <w:p w14:paraId="5020F8EB">
            <w:pPr>
              <w:spacing w:line="360" w:lineRule="auto"/>
              <w:ind w:firstLine="480" w:firstLineChars="200"/>
              <w:jc w:val="both"/>
              <w:rPr>
                <w:rFonts w:ascii="Times New Roman" w:hAnsi="Times New Roman" w:eastAsia="宋体"/>
                <w:sz w:val="24"/>
                <w:szCs w:val="24"/>
              </w:rPr>
            </w:pPr>
            <w:r>
              <w:rPr>
                <w:rFonts w:hint="eastAsia" w:ascii="Times New Roman" w:hAnsi="Times New Roman" w:eastAsia="宋体"/>
                <w:sz w:val="24"/>
                <w:szCs w:val="24"/>
              </w:rPr>
              <w:t>③粉煤灰</w:t>
            </w:r>
          </w:p>
          <w:p w14:paraId="37E3BBD2">
            <w:pPr>
              <w:spacing w:line="360" w:lineRule="auto"/>
              <w:ind w:firstLine="480" w:firstLineChars="200"/>
              <w:jc w:val="both"/>
              <w:rPr>
                <w:rFonts w:ascii="Times New Roman" w:hAnsi="Times New Roman" w:eastAsia="宋体"/>
                <w:sz w:val="24"/>
                <w:szCs w:val="24"/>
              </w:rPr>
            </w:pPr>
            <w:r>
              <w:rPr>
                <w:rFonts w:hint="eastAsia" w:ascii="Times New Roman" w:hAnsi="Times New Roman" w:eastAsia="宋体"/>
                <w:sz w:val="24"/>
                <w:szCs w:val="24"/>
              </w:rPr>
              <w:t>粉煤灰由粉料散装车运入厂，由散装车上自带气力输送泵送至粉煤灰粉料筒仓储存，再由贮仓下的调速单管螺旋输送机和计量螺旋输送机直接送入加过水的制浆池内制成粉煤灰料浆，最后本送至粉煤灰储浆罐储存，等待配料使用。</w:t>
            </w:r>
          </w:p>
          <w:p w14:paraId="69931B96">
            <w:pPr>
              <w:spacing w:line="360" w:lineRule="auto"/>
              <w:ind w:firstLine="480" w:firstLineChars="200"/>
              <w:jc w:val="both"/>
              <w:rPr>
                <w:rFonts w:ascii="Times New Roman" w:hAnsi="Times New Roman" w:eastAsia="宋体"/>
                <w:sz w:val="24"/>
                <w:szCs w:val="24"/>
              </w:rPr>
            </w:pPr>
            <w:r>
              <w:rPr>
                <w:rFonts w:hint="eastAsia" w:ascii="Times New Roman" w:hAnsi="Times New Roman" w:eastAsia="宋体"/>
                <w:sz w:val="24"/>
                <w:szCs w:val="24"/>
              </w:rPr>
              <w:t>④铝粉膏</w:t>
            </w:r>
          </w:p>
          <w:p w14:paraId="1E992DFD">
            <w:pPr>
              <w:spacing w:line="360" w:lineRule="auto"/>
              <w:ind w:firstLine="480" w:firstLineChars="200"/>
              <w:jc w:val="both"/>
              <w:rPr>
                <w:rFonts w:ascii="Times New Roman" w:hAnsi="Times New Roman" w:eastAsia="宋体"/>
                <w:sz w:val="24"/>
                <w:szCs w:val="24"/>
              </w:rPr>
            </w:pPr>
            <w:r>
              <w:rPr>
                <w:rFonts w:hint="eastAsia" w:ascii="Times New Roman" w:hAnsi="Times New Roman" w:eastAsia="宋体"/>
                <w:sz w:val="24"/>
                <w:szCs w:val="24"/>
              </w:rPr>
              <w:t>吨包铝粉膏经上料吊葫芦吊装至配料楼，经铝粉机自动计量后，加入到搅拌机中加水搅拌成铝粉液，待需要时直接加入到浇注搅拌机。</w:t>
            </w:r>
          </w:p>
          <w:p w14:paraId="1D8C3BB9">
            <w:pPr>
              <w:spacing w:line="360" w:lineRule="auto"/>
              <w:ind w:firstLine="480" w:firstLineChars="200"/>
              <w:jc w:val="both"/>
              <w:rPr>
                <w:rFonts w:ascii="Times New Roman" w:hAnsi="Times New Roman" w:eastAsia="宋体"/>
                <w:sz w:val="24"/>
                <w:szCs w:val="24"/>
              </w:rPr>
            </w:pPr>
            <w:r>
              <w:rPr>
                <w:rFonts w:hint="eastAsia" w:ascii="Times New Roman" w:hAnsi="Times New Roman" w:eastAsia="宋体"/>
                <w:sz w:val="24"/>
                <w:szCs w:val="24"/>
              </w:rPr>
              <w:t>⑤脱硫石膏</w:t>
            </w:r>
          </w:p>
          <w:p w14:paraId="27DBE580">
            <w:pPr>
              <w:spacing w:line="360" w:lineRule="auto"/>
              <w:ind w:firstLine="480" w:firstLineChars="200"/>
              <w:jc w:val="both"/>
              <w:rPr>
                <w:rFonts w:ascii="Times New Roman" w:hAnsi="Times New Roman" w:eastAsia="宋体"/>
                <w:sz w:val="24"/>
                <w:szCs w:val="24"/>
              </w:rPr>
            </w:pPr>
            <w:r>
              <w:rPr>
                <w:rFonts w:hint="eastAsia" w:ascii="Times New Roman" w:hAnsi="Times New Roman" w:eastAsia="宋体"/>
                <w:sz w:val="24"/>
                <w:szCs w:val="24"/>
              </w:rPr>
              <w:t>脱硫石膏由翻斗式运输车运入厂内堆放在原料堆棚内，用铲车直接在磨机出料口的搅拌地坑加水制成石膏浆，</w:t>
            </w:r>
            <w:bookmarkStart w:id="6" w:name="_Hlk201747353"/>
            <w:r>
              <w:rPr>
                <w:rFonts w:hint="eastAsia" w:ascii="Times New Roman" w:hAnsi="Times New Roman" w:eastAsia="宋体"/>
                <w:sz w:val="24"/>
                <w:szCs w:val="24"/>
              </w:rPr>
              <w:t>经检测石膏浆比重或扩散度，调整好浓度，按体积计量，直接泵送到料浆储罐内与粉煤灰料浆混合储存，等待配料使用。</w:t>
            </w:r>
            <w:bookmarkEnd w:id="6"/>
          </w:p>
          <w:p w14:paraId="72491DF4">
            <w:pPr>
              <w:spacing w:line="360" w:lineRule="auto"/>
              <w:ind w:firstLine="480" w:firstLineChars="200"/>
              <w:jc w:val="both"/>
              <w:rPr>
                <w:rFonts w:hint="eastAsia" w:ascii="Times New Roman" w:hAnsi="Times New Roman" w:eastAsia="宋体"/>
                <w:sz w:val="24"/>
                <w:szCs w:val="24"/>
                <w:lang w:val="en-US" w:eastAsia="zh-CN"/>
              </w:rPr>
            </w:pPr>
            <w:r>
              <w:rPr>
                <w:rFonts w:hint="eastAsia" w:ascii="Times New Roman" w:hAnsi="Times New Roman" w:eastAsia="宋体"/>
                <w:sz w:val="24"/>
                <w:szCs w:val="24"/>
              </w:rPr>
              <w:t>⑥</w:t>
            </w:r>
            <w:r>
              <w:rPr>
                <w:rFonts w:hint="eastAsia" w:ascii="Times New Roman" w:hAnsi="Times New Roman" w:eastAsia="宋体"/>
                <w:sz w:val="24"/>
                <w:szCs w:val="24"/>
                <w:lang w:val="en-US" w:eastAsia="zh-CN"/>
              </w:rPr>
              <w:t>不合格品、边角料</w:t>
            </w:r>
          </w:p>
          <w:p w14:paraId="7B01EE88">
            <w:pPr>
              <w:spacing w:line="360" w:lineRule="auto"/>
              <w:ind w:firstLine="480" w:firstLineChars="200"/>
              <w:jc w:val="both"/>
              <w:rPr>
                <w:rFonts w:ascii="Times New Roman" w:hAnsi="Times New Roman" w:eastAsia="宋体"/>
                <w:sz w:val="24"/>
                <w:szCs w:val="24"/>
              </w:rPr>
            </w:pPr>
            <w:r>
              <w:rPr>
                <w:rFonts w:hint="eastAsia" w:ascii="Times New Roman" w:hAnsi="Times New Roman" w:eastAsia="宋体"/>
                <w:sz w:val="24"/>
                <w:szCs w:val="24"/>
              </w:rPr>
              <w:t>若生产过程中有不合格</w:t>
            </w:r>
            <w:r>
              <w:rPr>
                <w:rFonts w:hint="eastAsia" w:ascii="Times New Roman" w:hAnsi="Times New Roman" w:eastAsia="宋体"/>
                <w:sz w:val="24"/>
                <w:szCs w:val="24"/>
                <w:lang w:val="en-US" w:eastAsia="zh-CN"/>
              </w:rPr>
              <w:t>品、边角料</w:t>
            </w:r>
            <w:r>
              <w:rPr>
                <w:rFonts w:hint="eastAsia" w:ascii="Times New Roman" w:hAnsi="Times New Roman" w:eastAsia="宋体"/>
                <w:sz w:val="24"/>
                <w:szCs w:val="24"/>
              </w:rPr>
              <w:t>产生，则运回原料大棚用铲车进行碾压后，装入上料料斗，经皮带计量称按一定比例计量后，由皮带输送机送入球磨机进料口，再按比例和水、废浆、脱硫石膏一起被送入球磨机入料口内进行</w:t>
            </w:r>
            <w:r>
              <w:rPr>
                <w:rFonts w:hint="eastAsia" w:ascii="Times New Roman" w:hAnsi="Times New Roman" w:eastAsia="宋体"/>
                <w:sz w:val="24"/>
                <w:szCs w:val="24"/>
                <w:lang w:val="en-US" w:eastAsia="zh-CN"/>
              </w:rPr>
              <w:t>破碎</w:t>
            </w:r>
            <w:r>
              <w:rPr>
                <w:rFonts w:hint="eastAsia" w:ascii="Times New Roman" w:hAnsi="Times New Roman" w:eastAsia="宋体"/>
                <w:sz w:val="24"/>
                <w:szCs w:val="24"/>
              </w:rPr>
              <w:t>制成混合料浆。经检测比重或扩散度，调整好浓度，按体积计量，直接泵送到料浆储罐内与粉煤灰料浆混合储存，等待配料使用。</w:t>
            </w:r>
          </w:p>
          <w:p w14:paraId="7174067F">
            <w:pPr>
              <w:spacing w:line="360" w:lineRule="auto"/>
              <w:ind w:firstLine="480" w:firstLineChars="200"/>
              <w:jc w:val="both"/>
              <w:rPr>
                <w:rFonts w:ascii="Times New Roman" w:hAnsi="Times New Roman" w:eastAsia="宋体"/>
                <w:sz w:val="24"/>
                <w:szCs w:val="24"/>
              </w:rPr>
            </w:pPr>
            <w:r>
              <w:rPr>
                <w:rFonts w:hint="eastAsia" w:ascii="Times New Roman" w:hAnsi="Times New Roman" w:eastAsia="宋体"/>
                <w:sz w:val="24"/>
                <w:szCs w:val="24"/>
              </w:rPr>
              <w:t>（</w:t>
            </w:r>
            <w:r>
              <w:rPr>
                <w:rFonts w:ascii="Times New Roman" w:hAnsi="Times New Roman" w:eastAsia="宋体"/>
                <w:sz w:val="24"/>
                <w:szCs w:val="24"/>
              </w:rPr>
              <w:t>2</w:t>
            </w:r>
            <w:r>
              <w:rPr>
                <w:rFonts w:hint="eastAsia" w:ascii="Times New Roman" w:hAnsi="Times New Roman" w:eastAsia="宋体"/>
                <w:sz w:val="24"/>
                <w:szCs w:val="24"/>
              </w:rPr>
              <w:t>）浇注配料</w:t>
            </w:r>
          </w:p>
          <w:p w14:paraId="3D490222">
            <w:pPr>
              <w:spacing w:line="360" w:lineRule="auto"/>
              <w:ind w:firstLine="480" w:firstLineChars="200"/>
              <w:jc w:val="both"/>
              <w:rPr>
                <w:rFonts w:ascii="Times New Roman" w:hAnsi="Times New Roman" w:eastAsia="宋体"/>
                <w:sz w:val="24"/>
                <w:szCs w:val="24"/>
              </w:rPr>
            </w:pPr>
            <w:r>
              <w:rPr>
                <w:rFonts w:hint="eastAsia" w:ascii="Times New Roman" w:hAnsi="Times New Roman" w:eastAsia="宋体"/>
                <w:sz w:val="24"/>
                <w:szCs w:val="24"/>
              </w:rPr>
              <w:t>各种物料计量完成后按配料顺序依次加入浇注搅拌机。整个计量、放料、搅拌均由微机控制，搅拌后把浆状混合物料浇入模具，浇注温度</w:t>
            </w:r>
            <w:r>
              <w:rPr>
                <w:rFonts w:ascii="Times New Roman" w:hAnsi="Times New Roman" w:eastAsia="宋体"/>
                <w:sz w:val="24"/>
                <w:szCs w:val="24"/>
              </w:rPr>
              <w:t>4</w:t>
            </w:r>
            <w:r>
              <w:rPr>
                <w:rFonts w:hint="eastAsia" w:ascii="Times New Roman" w:hAnsi="Times New Roman" w:eastAsia="宋体"/>
                <w:sz w:val="24"/>
                <w:szCs w:val="24"/>
              </w:rPr>
              <w:t>5±</w:t>
            </w:r>
            <w:r>
              <w:rPr>
                <w:rFonts w:ascii="Times New Roman" w:hAnsi="Times New Roman" w:eastAsia="宋体"/>
                <w:sz w:val="24"/>
                <w:szCs w:val="24"/>
              </w:rPr>
              <w:t>2</w:t>
            </w:r>
            <w:r>
              <w:rPr>
                <w:rFonts w:hint="eastAsia" w:ascii="Times New Roman" w:hAnsi="Times New Roman" w:eastAsia="宋体"/>
                <w:sz w:val="24"/>
                <w:szCs w:val="24"/>
              </w:rPr>
              <w:t>℃。坯体净切割尺寸为加气混凝土板材</w:t>
            </w:r>
            <w:r>
              <w:rPr>
                <w:rFonts w:ascii="Times New Roman" w:hAnsi="Times New Roman" w:eastAsia="宋体"/>
                <w:sz w:val="24"/>
                <w:szCs w:val="24"/>
              </w:rPr>
              <w:t>6m</w:t>
            </w:r>
            <w:r>
              <w:rPr>
                <w:rFonts w:hint="eastAsia" w:ascii="Times New Roman" w:hAnsi="Times New Roman" w:eastAsia="宋体"/>
                <w:sz w:val="24"/>
                <w:szCs w:val="24"/>
              </w:rPr>
              <w:t>×</w:t>
            </w:r>
            <w:r>
              <w:rPr>
                <w:rFonts w:ascii="Times New Roman" w:hAnsi="Times New Roman" w:eastAsia="宋体"/>
                <w:sz w:val="24"/>
                <w:szCs w:val="24"/>
              </w:rPr>
              <w:t>0.6m</w:t>
            </w:r>
            <w:r>
              <w:rPr>
                <w:rFonts w:hint="eastAsia" w:ascii="Times New Roman" w:hAnsi="Times New Roman" w:eastAsia="宋体"/>
                <w:sz w:val="24"/>
                <w:szCs w:val="24"/>
              </w:rPr>
              <w:t>×（</w:t>
            </w:r>
            <w:r>
              <w:rPr>
                <w:rFonts w:ascii="Times New Roman" w:hAnsi="Times New Roman" w:eastAsia="宋体"/>
                <w:sz w:val="24"/>
                <w:szCs w:val="24"/>
              </w:rPr>
              <w:t>50mm~</w:t>
            </w:r>
            <w:r>
              <w:rPr>
                <w:rFonts w:hint="eastAsia" w:ascii="Times New Roman" w:hAnsi="Times New Roman" w:eastAsia="宋体"/>
                <w:sz w:val="24"/>
                <w:szCs w:val="24"/>
              </w:rPr>
              <w:t>3</w:t>
            </w:r>
            <w:r>
              <w:rPr>
                <w:rFonts w:ascii="Times New Roman" w:hAnsi="Times New Roman" w:eastAsia="宋体"/>
                <w:sz w:val="24"/>
                <w:szCs w:val="24"/>
              </w:rPr>
              <w:t>00mm</w:t>
            </w:r>
            <w:r>
              <w:rPr>
                <w:rFonts w:hint="eastAsia" w:ascii="Times New Roman" w:hAnsi="Times New Roman" w:eastAsia="宋体"/>
                <w:sz w:val="24"/>
                <w:szCs w:val="24"/>
              </w:rPr>
              <w:t>）、加气混凝土砌块</w:t>
            </w:r>
            <w:r>
              <w:rPr>
                <w:rFonts w:ascii="Times New Roman" w:hAnsi="Times New Roman" w:eastAsia="宋体"/>
                <w:sz w:val="24"/>
                <w:szCs w:val="24"/>
              </w:rPr>
              <w:t>600mm</w:t>
            </w:r>
            <w:r>
              <w:rPr>
                <w:rFonts w:hint="eastAsia" w:ascii="Times New Roman" w:hAnsi="Times New Roman" w:eastAsia="宋体"/>
                <w:sz w:val="24"/>
                <w:szCs w:val="24"/>
              </w:rPr>
              <w:t>×（200</w:t>
            </w:r>
            <w:r>
              <w:rPr>
                <w:rFonts w:ascii="Times New Roman" w:hAnsi="Times New Roman" w:eastAsia="宋体"/>
                <w:sz w:val="24"/>
                <w:szCs w:val="24"/>
              </w:rPr>
              <w:t>mm~300mm</w:t>
            </w:r>
            <w:r>
              <w:rPr>
                <w:rFonts w:hint="eastAsia" w:ascii="Times New Roman" w:hAnsi="Times New Roman" w:eastAsia="宋体"/>
                <w:sz w:val="24"/>
                <w:szCs w:val="24"/>
              </w:rPr>
              <w:t>）×（50</w:t>
            </w:r>
            <w:r>
              <w:rPr>
                <w:rFonts w:ascii="Times New Roman" w:hAnsi="Times New Roman" w:eastAsia="宋体"/>
                <w:sz w:val="24"/>
                <w:szCs w:val="24"/>
              </w:rPr>
              <w:t>mm~300mm</w:t>
            </w:r>
            <w:r>
              <w:rPr>
                <w:rFonts w:hint="eastAsia" w:ascii="Times New Roman" w:hAnsi="Times New Roman" w:eastAsia="宋体"/>
                <w:sz w:val="24"/>
                <w:szCs w:val="24"/>
              </w:rPr>
              <w:t>）。</w:t>
            </w:r>
          </w:p>
          <w:p w14:paraId="265D36E2">
            <w:pPr>
              <w:spacing w:line="360" w:lineRule="auto"/>
              <w:ind w:firstLine="480" w:firstLineChars="200"/>
              <w:jc w:val="both"/>
              <w:rPr>
                <w:rFonts w:ascii="Times New Roman" w:hAnsi="Times New Roman" w:eastAsia="宋体"/>
                <w:sz w:val="24"/>
                <w:szCs w:val="24"/>
              </w:rPr>
            </w:pPr>
            <w:r>
              <w:rPr>
                <w:rFonts w:hint="eastAsia" w:ascii="Times New Roman" w:hAnsi="Times New Roman" w:eastAsia="宋体"/>
                <w:sz w:val="24"/>
                <w:szCs w:val="24"/>
              </w:rPr>
              <w:t>（</w:t>
            </w:r>
            <w:r>
              <w:rPr>
                <w:rFonts w:ascii="Times New Roman" w:hAnsi="Times New Roman" w:eastAsia="宋体"/>
                <w:sz w:val="24"/>
                <w:szCs w:val="24"/>
              </w:rPr>
              <w:t>3</w:t>
            </w:r>
            <w:r>
              <w:rPr>
                <w:rFonts w:hint="eastAsia" w:ascii="Times New Roman" w:hAnsi="Times New Roman" w:eastAsia="宋体"/>
                <w:sz w:val="24"/>
                <w:szCs w:val="24"/>
              </w:rPr>
              <w:t>）静养</w:t>
            </w:r>
          </w:p>
          <w:p w14:paraId="55D05C2C">
            <w:pPr>
              <w:spacing w:line="360" w:lineRule="auto"/>
              <w:ind w:firstLine="480" w:firstLineChars="200"/>
              <w:jc w:val="both"/>
              <w:rPr>
                <w:rFonts w:ascii="Times New Roman" w:hAnsi="Times New Roman" w:eastAsia="宋体"/>
                <w:sz w:val="24"/>
                <w:szCs w:val="24"/>
              </w:rPr>
            </w:pPr>
            <w:r>
              <w:rPr>
                <w:rFonts w:hint="eastAsia" w:ascii="Times New Roman" w:hAnsi="Times New Roman" w:eastAsia="宋体"/>
                <w:sz w:val="24"/>
                <w:szCs w:val="24"/>
              </w:rPr>
              <w:t>料浆浇入模具后，由摆渡车送入预养室内发气，如生产加气板材需要在此插入钢筋网片。从浇注到完成，模具运行采用摩擦轮方式驱动。混合料浆经初步稠化、硬化后，在预养室静停养护</w:t>
            </w:r>
            <w:r>
              <w:rPr>
                <w:rFonts w:ascii="Times New Roman" w:hAnsi="Times New Roman" w:eastAsia="宋体"/>
                <w:sz w:val="24"/>
                <w:szCs w:val="24"/>
              </w:rPr>
              <w:t>2</w:t>
            </w:r>
            <w:r>
              <w:rPr>
                <w:rFonts w:hint="eastAsia" w:ascii="Times New Roman" w:hAnsi="Times New Roman" w:eastAsia="宋体"/>
                <w:sz w:val="24"/>
                <w:szCs w:val="24"/>
              </w:rPr>
              <w:t>～</w:t>
            </w:r>
            <w:r>
              <w:rPr>
                <w:rFonts w:ascii="Times New Roman" w:hAnsi="Times New Roman" w:eastAsia="宋体"/>
                <w:sz w:val="24"/>
                <w:szCs w:val="24"/>
              </w:rPr>
              <w:t>3</w:t>
            </w:r>
            <w:r>
              <w:rPr>
                <w:rFonts w:hint="eastAsia" w:ascii="Times New Roman" w:hAnsi="Times New Roman" w:eastAsia="宋体"/>
                <w:sz w:val="24"/>
                <w:szCs w:val="24"/>
              </w:rPr>
              <w:t>小时形成加气混凝土坯体。预养室控制温度为</w:t>
            </w:r>
            <w:r>
              <w:rPr>
                <w:rFonts w:ascii="Times New Roman" w:hAnsi="Times New Roman" w:eastAsia="宋体"/>
                <w:sz w:val="24"/>
                <w:szCs w:val="24"/>
              </w:rPr>
              <w:t>4</w:t>
            </w:r>
            <w:r>
              <w:rPr>
                <w:rFonts w:hint="eastAsia" w:ascii="Times New Roman" w:hAnsi="Times New Roman" w:eastAsia="宋体"/>
                <w:sz w:val="24"/>
                <w:szCs w:val="24"/>
              </w:rPr>
              <w:t>5～60℃，以利发气顺畅和提高坯体强度。</w:t>
            </w:r>
          </w:p>
          <w:p w14:paraId="1304D63F">
            <w:pPr>
              <w:spacing w:line="360" w:lineRule="auto"/>
              <w:ind w:firstLine="480" w:firstLineChars="200"/>
              <w:jc w:val="both"/>
              <w:rPr>
                <w:rFonts w:ascii="Times New Roman" w:hAnsi="Times New Roman" w:eastAsia="宋体"/>
                <w:sz w:val="24"/>
                <w:szCs w:val="24"/>
              </w:rPr>
            </w:pPr>
            <w:r>
              <w:rPr>
                <w:rFonts w:hint="eastAsia" w:ascii="Times New Roman" w:hAnsi="Times New Roman" w:eastAsia="宋体"/>
                <w:sz w:val="24"/>
                <w:szCs w:val="24"/>
              </w:rPr>
              <w:t>（</w:t>
            </w:r>
            <w:r>
              <w:rPr>
                <w:rFonts w:ascii="Times New Roman" w:hAnsi="Times New Roman" w:eastAsia="宋体"/>
                <w:sz w:val="24"/>
                <w:szCs w:val="24"/>
              </w:rPr>
              <w:t>4</w:t>
            </w:r>
            <w:r>
              <w:rPr>
                <w:rFonts w:hint="eastAsia" w:ascii="Times New Roman" w:hAnsi="Times New Roman" w:eastAsia="宋体"/>
                <w:sz w:val="24"/>
                <w:szCs w:val="24"/>
              </w:rPr>
              <w:t>）切割</w:t>
            </w:r>
          </w:p>
          <w:p w14:paraId="64A82AF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sz w:val="24"/>
                <w:szCs w:val="24"/>
              </w:rPr>
            </w:pPr>
            <w:r>
              <w:rPr>
                <w:rFonts w:hint="eastAsia" w:ascii="Times New Roman" w:hAnsi="Times New Roman" w:eastAsia="宋体"/>
                <w:sz w:val="24"/>
                <w:szCs w:val="24"/>
              </w:rPr>
              <w:t>坯体发气完成后由摆渡车将模具从预养室中取出输送到翻转吊车位置，板材则先拔钎后进行翻转切割，以形成各种规格尺寸的产品。切割时切下的边角废料落入切割机下的地沟，用循环水冲到废浆池，搅拌成废料浆，在检测浓度合格后泵送到湿磨处的废浆储罐中，废料浆作为一种配料成份加入新一轮的磨机料浆制备中。切割过程和废浆制备过程由</w:t>
            </w:r>
            <w:r>
              <w:rPr>
                <w:rFonts w:ascii="Times New Roman" w:hAnsi="Times New Roman" w:eastAsia="宋体"/>
                <w:sz w:val="24"/>
                <w:szCs w:val="24"/>
              </w:rPr>
              <w:t>PLC</w:t>
            </w:r>
            <w:r>
              <w:rPr>
                <w:rFonts w:hint="eastAsia" w:ascii="Times New Roman" w:hAnsi="Times New Roman" w:eastAsia="宋体"/>
                <w:sz w:val="24"/>
                <w:szCs w:val="24"/>
              </w:rPr>
              <w:t>进行过程控制。切割后的坯体采用脱模剂进行脱模，脱模剂可选用更换设备机油或脱模油。脱模后的半成品运至去底皮装置上，翻转去除底层废料后，再由该吊车将坯体放到蒸养车上，在釜前进行编组、保温养护，准备入釜蒸养。</w:t>
            </w:r>
          </w:p>
          <w:p w14:paraId="72C5EBE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sz w:val="24"/>
                <w:szCs w:val="24"/>
              </w:rPr>
            </w:pPr>
            <w:r>
              <w:rPr>
                <w:rFonts w:hint="eastAsia" w:ascii="Times New Roman" w:hAnsi="Times New Roman" w:eastAsia="宋体"/>
                <w:sz w:val="24"/>
                <w:szCs w:val="24"/>
              </w:rPr>
              <w:t>（</w:t>
            </w:r>
            <w:r>
              <w:rPr>
                <w:rFonts w:ascii="Times New Roman" w:hAnsi="Times New Roman" w:eastAsia="宋体"/>
                <w:sz w:val="24"/>
                <w:szCs w:val="24"/>
              </w:rPr>
              <w:t>5</w:t>
            </w:r>
            <w:r>
              <w:rPr>
                <w:rFonts w:hint="eastAsia" w:ascii="Times New Roman" w:hAnsi="Times New Roman" w:eastAsia="宋体"/>
                <w:sz w:val="24"/>
                <w:szCs w:val="24"/>
              </w:rPr>
              <w:t>）蒸压养护</w:t>
            </w:r>
          </w:p>
          <w:p w14:paraId="2D0EF6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sz w:val="24"/>
                <w:szCs w:val="24"/>
              </w:rPr>
            </w:pPr>
            <w:r>
              <w:rPr>
                <w:rFonts w:hint="eastAsia" w:ascii="Times New Roman" w:hAnsi="Times New Roman" w:eastAsia="宋体"/>
                <w:sz w:val="24"/>
                <w:szCs w:val="24"/>
              </w:rPr>
              <w:t>编组完成的半成品，由牵引机将整釜的坯体拉入釜中，进行蒸压养护。蒸压养护一般一个循环</w:t>
            </w:r>
            <w:r>
              <w:rPr>
                <w:rFonts w:ascii="Times New Roman" w:hAnsi="Times New Roman" w:eastAsia="宋体"/>
                <w:sz w:val="24"/>
                <w:szCs w:val="24"/>
              </w:rPr>
              <w:t>12</w:t>
            </w:r>
            <w:r>
              <w:rPr>
                <w:rFonts w:hint="eastAsia" w:ascii="Times New Roman" w:hAnsi="Times New Roman" w:eastAsia="宋体"/>
                <w:sz w:val="24"/>
                <w:szCs w:val="24"/>
              </w:rPr>
              <w:t>小时（板材的蒸养时间会根据板材的厚度以及原材料品种质量不同有所增加和变化），即升温</w:t>
            </w:r>
            <w:r>
              <w:rPr>
                <w:rFonts w:ascii="Times New Roman" w:hAnsi="Times New Roman" w:eastAsia="宋体"/>
                <w:sz w:val="24"/>
                <w:szCs w:val="24"/>
              </w:rPr>
              <w:t>2</w:t>
            </w:r>
            <w:r>
              <w:rPr>
                <w:rFonts w:hint="eastAsia" w:ascii="Times New Roman" w:hAnsi="Times New Roman" w:eastAsia="宋体"/>
                <w:sz w:val="24"/>
                <w:szCs w:val="24"/>
              </w:rPr>
              <w:t>小时（含抽真空），恒温</w:t>
            </w:r>
            <w:r>
              <w:rPr>
                <w:rFonts w:ascii="Times New Roman" w:hAnsi="Times New Roman" w:eastAsia="宋体"/>
                <w:sz w:val="24"/>
                <w:szCs w:val="24"/>
              </w:rPr>
              <w:t>7.5</w:t>
            </w:r>
            <w:r>
              <w:rPr>
                <w:rFonts w:hint="eastAsia" w:ascii="Times New Roman" w:hAnsi="Times New Roman" w:eastAsia="宋体"/>
                <w:sz w:val="24"/>
                <w:szCs w:val="24"/>
              </w:rPr>
              <w:t>小时，降温</w:t>
            </w:r>
            <w:r>
              <w:rPr>
                <w:rFonts w:ascii="Times New Roman" w:hAnsi="Times New Roman" w:eastAsia="宋体"/>
                <w:sz w:val="24"/>
                <w:szCs w:val="24"/>
              </w:rPr>
              <w:t>1.5</w:t>
            </w:r>
            <w:r>
              <w:rPr>
                <w:rFonts w:hint="eastAsia" w:ascii="Times New Roman" w:hAnsi="Times New Roman" w:eastAsia="宋体"/>
                <w:sz w:val="24"/>
                <w:szCs w:val="24"/>
              </w:rPr>
              <w:t>小时，进出釜</w:t>
            </w:r>
            <w:r>
              <w:rPr>
                <w:rFonts w:ascii="Times New Roman" w:hAnsi="Times New Roman" w:eastAsia="宋体"/>
                <w:sz w:val="24"/>
                <w:szCs w:val="24"/>
              </w:rPr>
              <w:t>1</w:t>
            </w:r>
            <w:r>
              <w:rPr>
                <w:rFonts w:hint="eastAsia" w:ascii="Times New Roman" w:hAnsi="Times New Roman" w:eastAsia="宋体"/>
                <w:sz w:val="24"/>
                <w:szCs w:val="24"/>
              </w:rPr>
              <w:t>小时。蒸压时使用的蒸汽为饱和蒸汽，恒温时的蒸汽压力为</w:t>
            </w:r>
            <w:r>
              <w:rPr>
                <w:rFonts w:ascii="Times New Roman" w:hAnsi="Times New Roman" w:eastAsia="宋体"/>
                <w:sz w:val="24"/>
                <w:szCs w:val="24"/>
              </w:rPr>
              <w:t>1.</w:t>
            </w:r>
            <w:r>
              <w:rPr>
                <w:rFonts w:hint="eastAsia" w:ascii="Times New Roman" w:hAnsi="Times New Roman" w:eastAsia="宋体"/>
                <w:sz w:val="24"/>
                <w:szCs w:val="24"/>
              </w:rPr>
              <w:t>0</w:t>
            </w:r>
            <w:r>
              <w:rPr>
                <w:rFonts w:ascii="Times New Roman" w:hAnsi="Times New Roman" w:eastAsia="宋体"/>
                <w:sz w:val="24"/>
                <w:szCs w:val="24"/>
              </w:rPr>
              <w:t>Mpa</w:t>
            </w:r>
            <w:r>
              <w:rPr>
                <w:rFonts w:hint="eastAsia" w:ascii="Times New Roman" w:hAnsi="Times New Roman" w:eastAsia="宋体"/>
                <w:sz w:val="24"/>
                <w:szCs w:val="24"/>
              </w:rPr>
              <w:t>以上。</w:t>
            </w:r>
          </w:p>
          <w:p w14:paraId="173E6BF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sz w:val="24"/>
                <w:szCs w:val="24"/>
              </w:rPr>
            </w:pPr>
            <w:r>
              <w:rPr>
                <w:rFonts w:hint="eastAsia" w:ascii="Times New Roman" w:hAnsi="Times New Roman" w:eastAsia="宋体"/>
                <w:sz w:val="24"/>
                <w:szCs w:val="24"/>
              </w:rPr>
              <w:t>通过升温、恒温、降温阶段完成制品的水化反应。釜内的冷凝水集中沉淀回收做配料用水，不外排。</w:t>
            </w:r>
          </w:p>
          <w:p w14:paraId="5040684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sz w:val="24"/>
                <w:szCs w:val="24"/>
              </w:rPr>
            </w:pPr>
            <w:r>
              <w:rPr>
                <w:rFonts w:hint="eastAsia" w:ascii="Times New Roman" w:hAnsi="Times New Roman" w:eastAsia="宋体"/>
                <w:sz w:val="24"/>
                <w:szCs w:val="24"/>
              </w:rPr>
              <w:t>（</w:t>
            </w:r>
            <w:r>
              <w:rPr>
                <w:rFonts w:ascii="Times New Roman" w:hAnsi="Times New Roman" w:eastAsia="宋体"/>
                <w:sz w:val="24"/>
                <w:szCs w:val="24"/>
              </w:rPr>
              <w:t>6</w:t>
            </w:r>
            <w:r>
              <w:rPr>
                <w:rFonts w:hint="eastAsia" w:ascii="Times New Roman" w:hAnsi="Times New Roman" w:eastAsia="宋体"/>
                <w:sz w:val="24"/>
                <w:szCs w:val="24"/>
              </w:rPr>
              <w:t>）成品</w:t>
            </w:r>
          </w:p>
          <w:p w14:paraId="5DB0FB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bCs/>
              </w:rPr>
            </w:pPr>
            <w:r>
              <w:rPr>
                <w:rFonts w:hint="eastAsia" w:ascii="Times New Roman" w:hAnsi="Times New Roman" w:eastAsia="宋体"/>
                <w:sz w:val="24"/>
                <w:szCs w:val="24"/>
              </w:rPr>
              <w:t>制品蒸压养护后，由釜后的摆渡车拉出蒸压釜送到成品轨道，用成品吊机将制品放到输送辊道上，进入掰分机，将制品进行掰分后，继续行走送出掰分机。分离后的制品用分类吊机吊放到砌块打包线的木托板上进行打包，然后再由叉车运到成品堆场码放储存。板材则通过分类吊车直接运至板材打包线，再由板材成品区叉车运到成品堆场码放储存。当掰分后的制品被分类吊车吊走后，剩下的空侧板经过侧板清理机清理后，继续行走到翻转吊车位置，与翻转吊车脱模后的空模框组合合模，放到空模轨道，返回到浇注位置进行下一循环的浇注。</w:t>
            </w:r>
          </w:p>
          <w:p w14:paraId="587F5B75">
            <w:pPr>
              <w:spacing w:line="360" w:lineRule="auto"/>
              <w:ind w:firstLine="480" w:firstLineChars="200"/>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工艺流程及产污节点见下图。</w:t>
            </w:r>
          </w:p>
          <w:p w14:paraId="12F7DD94">
            <w:pPr>
              <w:pStyle w:val="2"/>
              <w:jc w:val="center"/>
              <w:rPr>
                <w:rFonts w:hint="eastAsia" w:eastAsia="宋体"/>
                <w:lang w:eastAsia="zh-CN"/>
              </w:rPr>
            </w:pPr>
            <w:r>
              <w:drawing>
                <wp:inline distT="0" distB="0" distL="114300" distR="114300">
                  <wp:extent cx="3733800" cy="5425440"/>
                  <wp:effectExtent l="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6"/>
                          <a:stretch>
                            <a:fillRect/>
                          </a:stretch>
                        </pic:blipFill>
                        <pic:spPr>
                          <a:xfrm>
                            <a:off x="0" y="0"/>
                            <a:ext cx="3733800" cy="5425440"/>
                          </a:xfrm>
                          <a:prstGeom prst="rect">
                            <a:avLst/>
                          </a:prstGeom>
                          <a:noFill/>
                          <a:ln>
                            <a:noFill/>
                          </a:ln>
                        </pic:spPr>
                      </pic:pic>
                    </a:graphicData>
                  </a:graphic>
                </wp:inline>
              </w:drawing>
            </w:r>
          </w:p>
          <w:p w14:paraId="7CAC99EC">
            <w:pPr>
              <w:overflowPunct w:val="0"/>
              <w:jc w:val="center"/>
              <w:textAlignment w:val="baseline"/>
            </w:pPr>
            <w:r>
              <w:rPr>
                <w:rFonts w:hint="eastAsia"/>
                <w:b/>
                <w:bCs/>
              </w:rPr>
              <w:t>图1-</w:t>
            </w:r>
            <w:r>
              <w:rPr>
                <w:rFonts w:hint="eastAsia"/>
                <w:b/>
                <w:bCs/>
                <w:lang w:val="en-US" w:eastAsia="zh-CN"/>
              </w:rPr>
              <w:t>3</w:t>
            </w:r>
            <w:r>
              <w:rPr>
                <w:rFonts w:hint="eastAsia"/>
                <w:b/>
                <w:bCs/>
              </w:rPr>
              <w:t xml:space="preserve">  </w:t>
            </w:r>
            <w:r>
              <w:rPr>
                <w:rFonts w:hint="eastAsia" w:ascii="Times New Roman" w:hAnsi="Times New Roman" w:eastAsia="宋体" w:cs="Times New Roman"/>
                <w:b/>
                <w:bCs/>
              </w:rPr>
              <w:t>蒸压加气混凝土砌块工艺流</w:t>
            </w:r>
            <w:r>
              <w:rPr>
                <w:rFonts w:hint="eastAsia"/>
                <w:b/>
                <w:bCs/>
              </w:rPr>
              <w:t>程及产污节点图</w:t>
            </w:r>
          </w:p>
          <w:p w14:paraId="71E5650C">
            <w:pPr>
              <w:spacing w:line="360" w:lineRule="auto"/>
              <w:ind w:firstLine="480" w:firstLineChars="200"/>
              <w:rPr>
                <w:rFonts w:ascii="宋体" w:hAnsi="宋体" w:cs="宋体"/>
                <w:sz w:val="24"/>
                <w:szCs w:val="24"/>
              </w:rPr>
            </w:pPr>
            <w:r>
              <w:rPr>
                <w:rFonts w:hint="default" w:ascii="Times New Roman" w:hAnsi="Times New Roman" w:cs="Times New Roman"/>
                <w:sz w:val="24"/>
                <w:szCs w:val="24"/>
                <w:lang w:val="en-US" w:eastAsia="zh-CN"/>
              </w:rPr>
              <w:t>2</w:t>
            </w:r>
            <w:r>
              <w:rPr>
                <w:rFonts w:hint="eastAsia" w:ascii="宋体" w:hAnsi="宋体" w:cs="宋体"/>
                <w:sz w:val="24"/>
                <w:szCs w:val="24"/>
                <w:lang w:eastAsia="zh-CN"/>
              </w:rPr>
              <w:t>）</w:t>
            </w:r>
            <w:r>
              <w:rPr>
                <w:rFonts w:hint="eastAsia" w:ascii="宋体" w:hAnsi="宋体" w:cs="宋体"/>
                <w:sz w:val="24"/>
                <w:szCs w:val="24"/>
              </w:rPr>
              <w:t>项目</w:t>
            </w:r>
            <w:r>
              <w:rPr>
                <w:rFonts w:hint="eastAsia"/>
                <w:bCs/>
                <w:sz w:val="24"/>
                <w:szCs w:val="24"/>
              </w:rPr>
              <w:t>蒸压加气混凝土</w:t>
            </w:r>
            <w:r>
              <w:rPr>
                <w:rFonts w:hint="eastAsia" w:ascii="宋体" w:hAnsi="宋体" w:cs="宋体"/>
                <w:sz w:val="24"/>
                <w:szCs w:val="24"/>
                <w:lang w:val="en-US" w:eastAsia="zh-CN"/>
              </w:rPr>
              <w:t>板材</w:t>
            </w:r>
            <w:r>
              <w:rPr>
                <w:rFonts w:hint="eastAsia" w:ascii="宋体" w:hAnsi="宋体" w:cs="宋体"/>
                <w:snapToGrid w:val="0"/>
                <w:kern w:val="0"/>
                <w:sz w:val="24"/>
                <w:szCs w:val="24"/>
              </w:rPr>
              <w:t>生产线</w:t>
            </w:r>
            <w:r>
              <w:rPr>
                <w:rFonts w:hint="eastAsia" w:ascii="宋体" w:hAnsi="宋体" w:cs="宋体"/>
                <w:bCs/>
                <w:sz w:val="24"/>
                <w:szCs w:val="24"/>
              </w:rPr>
              <w:t>生产工艺简述如下：</w:t>
            </w:r>
          </w:p>
          <w:p w14:paraId="12E0CC2E">
            <w:pPr>
              <w:spacing w:line="360" w:lineRule="auto"/>
              <w:ind w:firstLine="480" w:firstLineChars="200"/>
              <w:jc w:val="both"/>
              <w:rPr>
                <w:rFonts w:ascii="Times New Roman" w:hAnsi="Times New Roman" w:eastAsia="宋体"/>
                <w:sz w:val="24"/>
                <w:szCs w:val="24"/>
              </w:rPr>
            </w:pPr>
            <w:r>
              <w:rPr>
                <w:rFonts w:hint="eastAsia" w:ascii="Times New Roman" w:hAnsi="Times New Roman" w:eastAsia="宋体"/>
                <w:sz w:val="24"/>
                <w:szCs w:val="24"/>
              </w:rPr>
              <w:t>（</w:t>
            </w:r>
            <w:r>
              <w:rPr>
                <w:rFonts w:ascii="Times New Roman" w:hAnsi="Times New Roman" w:eastAsia="宋体"/>
                <w:sz w:val="24"/>
                <w:szCs w:val="24"/>
              </w:rPr>
              <w:t>1</w:t>
            </w:r>
            <w:r>
              <w:rPr>
                <w:rFonts w:hint="eastAsia" w:ascii="Times New Roman" w:hAnsi="Times New Roman" w:eastAsia="宋体"/>
                <w:sz w:val="24"/>
                <w:szCs w:val="24"/>
              </w:rPr>
              <w:t>）原料加工</w:t>
            </w:r>
          </w:p>
          <w:p w14:paraId="030153C0">
            <w:pPr>
              <w:spacing w:line="360" w:lineRule="auto"/>
              <w:ind w:firstLine="480" w:firstLineChars="200"/>
              <w:jc w:val="both"/>
              <w:rPr>
                <w:rFonts w:ascii="Times New Roman" w:hAnsi="Times New Roman" w:eastAsia="宋体"/>
                <w:sz w:val="24"/>
                <w:szCs w:val="24"/>
              </w:rPr>
            </w:pPr>
            <w:r>
              <w:rPr>
                <w:rFonts w:hint="eastAsia" w:ascii="Times New Roman" w:hAnsi="Times New Roman" w:eastAsia="宋体"/>
                <w:sz w:val="24"/>
                <w:szCs w:val="24"/>
              </w:rPr>
              <w:t>①水泥</w:t>
            </w:r>
          </w:p>
          <w:p w14:paraId="39512F14">
            <w:pPr>
              <w:spacing w:line="360" w:lineRule="auto"/>
              <w:ind w:firstLine="480" w:firstLineChars="200"/>
              <w:jc w:val="both"/>
              <w:rPr>
                <w:rFonts w:ascii="Times New Roman" w:hAnsi="Times New Roman" w:eastAsia="宋体"/>
                <w:sz w:val="24"/>
                <w:szCs w:val="24"/>
              </w:rPr>
            </w:pPr>
            <w:r>
              <w:rPr>
                <w:rFonts w:hint="eastAsia" w:ascii="Times New Roman" w:hAnsi="Times New Roman" w:eastAsia="宋体"/>
                <w:sz w:val="24"/>
                <w:szCs w:val="24"/>
              </w:rPr>
              <w:t>水泥由粉料散装车运入厂，由散装车上自带气力输送泵送至水泥粉料筒仓贮存。再由贮仓下的调速单管螺旋输送机直接送入配料楼的水泥计量秤进行配料。</w:t>
            </w:r>
          </w:p>
          <w:p w14:paraId="0B67AFCA">
            <w:pPr>
              <w:spacing w:line="360" w:lineRule="auto"/>
              <w:ind w:firstLine="480" w:firstLineChars="200"/>
              <w:jc w:val="both"/>
              <w:rPr>
                <w:rFonts w:ascii="Times New Roman" w:hAnsi="Times New Roman" w:eastAsia="宋体"/>
                <w:sz w:val="24"/>
                <w:szCs w:val="24"/>
              </w:rPr>
            </w:pPr>
            <w:r>
              <w:rPr>
                <w:rFonts w:hint="eastAsia" w:ascii="Times New Roman" w:hAnsi="Times New Roman" w:eastAsia="宋体"/>
                <w:sz w:val="24"/>
                <w:szCs w:val="24"/>
              </w:rPr>
              <w:t>②石灰</w:t>
            </w:r>
          </w:p>
          <w:p w14:paraId="4F9EA8A3">
            <w:pPr>
              <w:spacing w:line="360" w:lineRule="auto"/>
              <w:ind w:firstLine="480" w:firstLineChars="200"/>
              <w:jc w:val="both"/>
              <w:rPr>
                <w:rFonts w:ascii="Times New Roman" w:hAnsi="Times New Roman" w:eastAsia="宋体"/>
                <w:sz w:val="24"/>
                <w:szCs w:val="24"/>
              </w:rPr>
            </w:pPr>
            <w:r>
              <w:rPr>
                <w:rFonts w:hint="eastAsia" w:ascii="Times New Roman" w:hAnsi="Times New Roman" w:eastAsia="宋体"/>
                <w:sz w:val="24"/>
                <w:szCs w:val="24"/>
              </w:rPr>
              <w:t>石灰由粉料散装车运入厂，由散装车上自带气力输送泵送至石灰粉料筒仓贮存。再由贮仓下的调速单管螺旋输送机直接送入配料楼的石灰计量秤进行配料。</w:t>
            </w:r>
          </w:p>
          <w:p w14:paraId="65C236C8">
            <w:pPr>
              <w:spacing w:line="360" w:lineRule="auto"/>
              <w:ind w:firstLine="480" w:firstLineChars="200"/>
              <w:jc w:val="both"/>
              <w:rPr>
                <w:rFonts w:ascii="Times New Roman" w:hAnsi="Times New Roman" w:eastAsia="宋体"/>
                <w:sz w:val="24"/>
                <w:szCs w:val="24"/>
              </w:rPr>
            </w:pPr>
            <w:r>
              <w:rPr>
                <w:rFonts w:hint="eastAsia" w:ascii="Times New Roman" w:hAnsi="Times New Roman" w:eastAsia="宋体"/>
                <w:sz w:val="24"/>
                <w:szCs w:val="24"/>
              </w:rPr>
              <w:t>③粉煤灰</w:t>
            </w:r>
          </w:p>
          <w:p w14:paraId="0D7BDA52">
            <w:pPr>
              <w:spacing w:line="360" w:lineRule="auto"/>
              <w:ind w:firstLine="480" w:firstLineChars="200"/>
              <w:jc w:val="both"/>
              <w:rPr>
                <w:rFonts w:ascii="Times New Roman" w:hAnsi="Times New Roman" w:eastAsia="宋体"/>
                <w:sz w:val="24"/>
                <w:szCs w:val="24"/>
              </w:rPr>
            </w:pPr>
            <w:r>
              <w:rPr>
                <w:rFonts w:hint="eastAsia" w:ascii="Times New Roman" w:hAnsi="Times New Roman" w:eastAsia="宋体"/>
                <w:sz w:val="24"/>
                <w:szCs w:val="24"/>
              </w:rPr>
              <w:t>粉煤灰由粉料散装车运入厂，由散装车上自带气力输送泵送至粉煤灰粉料筒仓储存，再由贮仓下的调速单管螺旋输送机和计量螺旋输送机直接送入加过水的制浆池内制成粉煤灰料浆，最后本送至粉煤灰储浆罐储存，等待配料使用。</w:t>
            </w:r>
          </w:p>
          <w:p w14:paraId="08423721">
            <w:pPr>
              <w:spacing w:line="360" w:lineRule="auto"/>
              <w:ind w:firstLine="480" w:firstLineChars="200"/>
              <w:jc w:val="both"/>
              <w:rPr>
                <w:rFonts w:ascii="Times New Roman" w:hAnsi="Times New Roman" w:eastAsia="宋体"/>
                <w:sz w:val="24"/>
                <w:szCs w:val="24"/>
              </w:rPr>
            </w:pPr>
            <w:r>
              <w:rPr>
                <w:rFonts w:hint="eastAsia" w:ascii="Times New Roman" w:hAnsi="Times New Roman" w:eastAsia="宋体"/>
                <w:sz w:val="24"/>
                <w:szCs w:val="24"/>
              </w:rPr>
              <w:t>④铝粉膏</w:t>
            </w:r>
          </w:p>
          <w:p w14:paraId="635B5CA0">
            <w:pPr>
              <w:spacing w:line="360" w:lineRule="auto"/>
              <w:ind w:firstLine="480" w:firstLineChars="200"/>
              <w:jc w:val="both"/>
              <w:rPr>
                <w:rFonts w:ascii="Times New Roman" w:hAnsi="Times New Roman" w:eastAsia="宋体"/>
                <w:sz w:val="24"/>
                <w:szCs w:val="24"/>
              </w:rPr>
            </w:pPr>
            <w:r>
              <w:rPr>
                <w:rFonts w:hint="eastAsia" w:ascii="Times New Roman" w:hAnsi="Times New Roman" w:eastAsia="宋体"/>
                <w:sz w:val="24"/>
                <w:szCs w:val="24"/>
              </w:rPr>
              <w:t>吨包铝粉膏经上料吊葫芦吊装至配料楼，经铝粉机自动计量后，加入到搅拌机中加水搅拌成铝粉液，待需要时直接加入到浇注搅拌机。</w:t>
            </w:r>
          </w:p>
          <w:p w14:paraId="2BBF0FD5">
            <w:pPr>
              <w:spacing w:line="360" w:lineRule="auto"/>
              <w:ind w:firstLine="480" w:firstLineChars="200"/>
              <w:jc w:val="both"/>
              <w:rPr>
                <w:rFonts w:ascii="Times New Roman" w:hAnsi="Times New Roman" w:eastAsia="宋体"/>
                <w:sz w:val="24"/>
                <w:szCs w:val="24"/>
              </w:rPr>
            </w:pPr>
            <w:r>
              <w:rPr>
                <w:rFonts w:hint="eastAsia" w:ascii="Times New Roman" w:hAnsi="Times New Roman" w:eastAsia="宋体"/>
                <w:sz w:val="24"/>
                <w:szCs w:val="24"/>
              </w:rPr>
              <w:t>⑤脱硫石膏</w:t>
            </w:r>
          </w:p>
          <w:p w14:paraId="744092C4">
            <w:pPr>
              <w:spacing w:line="360" w:lineRule="auto"/>
              <w:ind w:firstLine="480" w:firstLineChars="200"/>
              <w:jc w:val="both"/>
              <w:rPr>
                <w:rFonts w:ascii="Times New Roman" w:hAnsi="Times New Roman" w:eastAsia="宋体"/>
                <w:sz w:val="24"/>
                <w:szCs w:val="24"/>
              </w:rPr>
            </w:pPr>
            <w:r>
              <w:rPr>
                <w:rFonts w:hint="eastAsia" w:ascii="Times New Roman" w:hAnsi="Times New Roman" w:eastAsia="宋体"/>
                <w:sz w:val="24"/>
                <w:szCs w:val="24"/>
              </w:rPr>
              <w:t>脱硫石膏由翻斗式运输车运入厂内堆放在原料堆棚内，用铲车直接在磨机出料口的搅拌地坑加水制成石膏浆，经检测石膏浆比重或扩散度，调整好浓度，按体积计量，直接泵送到料浆储罐内与粉煤灰料浆混合储存，等待配料使用。</w:t>
            </w:r>
          </w:p>
          <w:p w14:paraId="2D5F4B22">
            <w:pPr>
              <w:spacing w:line="360" w:lineRule="auto"/>
              <w:ind w:firstLine="480" w:firstLineChars="200"/>
              <w:jc w:val="both"/>
              <w:rPr>
                <w:rFonts w:hint="eastAsia" w:ascii="Times New Roman" w:hAnsi="Times New Roman" w:eastAsia="宋体"/>
                <w:sz w:val="24"/>
                <w:szCs w:val="24"/>
                <w:lang w:val="en-US" w:eastAsia="zh-CN"/>
              </w:rPr>
            </w:pPr>
            <w:r>
              <w:rPr>
                <w:rFonts w:hint="eastAsia" w:ascii="Times New Roman" w:hAnsi="Times New Roman" w:eastAsia="宋体"/>
                <w:sz w:val="24"/>
                <w:szCs w:val="24"/>
              </w:rPr>
              <w:t>⑥</w:t>
            </w:r>
            <w:r>
              <w:rPr>
                <w:rFonts w:hint="eastAsia" w:ascii="Times New Roman" w:hAnsi="Times New Roman" w:eastAsia="宋体"/>
                <w:sz w:val="24"/>
                <w:szCs w:val="24"/>
                <w:lang w:val="en-US" w:eastAsia="zh-CN"/>
              </w:rPr>
              <w:t>不合格品、边角料</w:t>
            </w:r>
          </w:p>
          <w:p w14:paraId="1AB5350F">
            <w:pPr>
              <w:spacing w:line="360" w:lineRule="auto"/>
              <w:ind w:firstLine="480" w:firstLineChars="200"/>
              <w:jc w:val="both"/>
              <w:rPr>
                <w:rFonts w:ascii="Times New Roman" w:hAnsi="Times New Roman" w:eastAsia="宋体"/>
                <w:sz w:val="24"/>
                <w:szCs w:val="24"/>
              </w:rPr>
            </w:pPr>
            <w:r>
              <w:rPr>
                <w:rFonts w:hint="eastAsia" w:ascii="Times New Roman" w:hAnsi="Times New Roman" w:eastAsia="宋体"/>
                <w:sz w:val="24"/>
                <w:szCs w:val="24"/>
              </w:rPr>
              <w:t>若生产过程中有不合格</w:t>
            </w:r>
            <w:r>
              <w:rPr>
                <w:rFonts w:hint="eastAsia" w:ascii="Times New Roman" w:hAnsi="Times New Roman" w:eastAsia="宋体"/>
                <w:sz w:val="24"/>
                <w:szCs w:val="24"/>
                <w:lang w:val="en-US" w:eastAsia="zh-CN"/>
              </w:rPr>
              <w:t>品、边角料</w:t>
            </w:r>
            <w:r>
              <w:rPr>
                <w:rFonts w:hint="eastAsia" w:ascii="Times New Roman" w:hAnsi="Times New Roman" w:eastAsia="宋体"/>
                <w:sz w:val="24"/>
                <w:szCs w:val="24"/>
              </w:rPr>
              <w:t>产生，则运回原料大棚用铲车进行碾压后，装入上料料斗，经皮带计量称按一定比例计量后，由皮带输送机送入球磨机进料口，再按比例和水、废浆、脱硫石膏一起被送入球磨机入料口内进行</w:t>
            </w:r>
            <w:r>
              <w:rPr>
                <w:rFonts w:hint="eastAsia" w:ascii="Times New Roman" w:hAnsi="Times New Roman" w:eastAsia="宋体"/>
                <w:sz w:val="24"/>
                <w:szCs w:val="24"/>
                <w:lang w:val="en-US" w:eastAsia="zh-CN"/>
              </w:rPr>
              <w:t>破碎</w:t>
            </w:r>
            <w:r>
              <w:rPr>
                <w:rFonts w:hint="eastAsia" w:ascii="Times New Roman" w:hAnsi="Times New Roman" w:eastAsia="宋体"/>
                <w:sz w:val="24"/>
                <w:szCs w:val="24"/>
              </w:rPr>
              <w:t>制成混合料浆。经检测比重或扩散度，调整好浓度，按体积计量，直接泵送到料浆储罐内与粉煤灰料浆混合储存，等待配料使用。</w:t>
            </w:r>
          </w:p>
          <w:p w14:paraId="7893B89F">
            <w:pPr>
              <w:spacing w:line="360" w:lineRule="auto"/>
              <w:ind w:firstLine="480" w:firstLineChars="200"/>
              <w:jc w:val="both"/>
              <w:rPr>
                <w:rFonts w:ascii="Times New Roman" w:hAnsi="Times New Roman" w:eastAsia="宋体"/>
                <w:sz w:val="24"/>
                <w:szCs w:val="24"/>
              </w:rPr>
            </w:pPr>
            <w:r>
              <w:rPr>
                <w:rFonts w:hint="eastAsia" w:ascii="Times New Roman" w:hAnsi="Times New Roman" w:eastAsia="宋体"/>
                <w:sz w:val="24"/>
                <w:szCs w:val="24"/>
              </w:rPr>
              <w:t>（</w:t>
            </w:r>
            <w:r>
              <w:rPr>
                <w:rFonts w:ascii="Times New Roman" w:hAnsi="Times New Roman" w:eastAsia="宋体"/>
                <w:sz w:val="24"/>
                <w:szCs w:val="24"/>
              </w:rPr>
              <w:t>2</w:t>
            </w:r>
            <w:r>
              <w:rPr>
                <w:rFonts w:hint="eastAsia" w:ascii="Times New Roman" w:hAnsi="Times New Roman" w:eastAsia="宋体"/>
                <w:sz w:val="24"/>
                <w:szCs w:val="24"/>
              </w:rPr>
              <w:t>）浇注配料</w:t>
            </w:r>
          </w:p>
          <w:p w14:paraId="766EFA26">
            <w:pPr>
              <w:spacing w:line="360" w:lineRule="auto"/>
              <w:ind w:firstLine="480" w:firstLineChars="200"/>
              <w:jc w:val="both"/>
              <w:rPr>
                <w:rFonts w:ascii="Times New Roman" w:hAnsi="Times New Roman" w:eastAsia="宋体"/>
                <w:sz w:val="24"/>
                <w:szCs w:val="24"/>
              </w:rPr>
            </w:pPr>
            <w:r>
              <w:rPr>
                <w:rFonts w:hint="eastAsia" w:ascii="Times New Roman" w:hAnsi="Times New Roman" w:eastAsia="宋体"/>
                <w:sz w:val="24"/>
                <w:szCs w:val="24"/>
              </w:rPr>
              <w:t>各种物料计量完成后按配料顺序依次加入浇注搅拌机。整个计量、放料、搅拌均由微机控制，搅拌后把浆状混合物料浇入模具，浇注温度</w:t>
            </w:r>
            <w:r>
              <w:rPr>
                <w:rFonts w:ascii="Times New Roman" w:hAnsi="Times New Roman" w:eastAsia="宋体"/>
                <w:sz w:val="24"/>
                <w:szCs w:val="24"/>
              </w:rPr>
              <w:t>4</w:t>
            </w:r>
            <w:r>
              <w:rPr>
                <w:rFonts w:hint="eastAsia" w:ascii="Times New Roman" w:hAnsi="Times New Roman" w:eastAsia="宋体"/>
                <w:sz w:val="24"/>
                <w:szCs w:val="24"/>
              </w:rPr>
              <w:t>5±</w:t>
            </w:r>
            <w:r>
              <w:rPr>
                <w:rFonts w:ascii="Times New Roman" w:hAnsi="Times New Roman" w:eastAsia="宋体"/>
                <w:sz w:val="24"/>
                <w:szCs w:val="24"/>
              </w:rPr>
              <w:t>2</w:t>
            </w:r>
            <w:r>
              <w:rPr>
                <w:rFonts w:hint="eastAsia" w:ascii="Times New Roman" w:hAnsi="Times New Roman" w:eastAsia="宋体"/>
                <w:sz w:val="24"/>
                <w:szCs w:val="24"/>
              </w:rPr>
              <w:t>℃。坯体净切割尺寸为加气混凝土板材</w:t>
            </w:r>
            <w:r>
              <w:rPr>
                <w:rFonts w:ascii="Times New Roman" w:hAnsi="Times New Roman" w:eastAsia="宋体"/>
                <w:sz w:val="24"/>
                <w:szCs w:val="24"/>
              </w:rPr>
              <w:t>6m</w:t>
            </w:r>
            <w:r>
              <w:rPr>
                <w:rFonts w:hint="eastAsia" w:ascii="Times New Roman" w:hAnsi="Times New Roman" w:eastAsia="宋体"/>
                <w:sz w:val="24"/>
                <w:szCs w:val="24"/>
              </w:rPr>
              <w:t>×</w:t>
            </w:r>
            <w:r>
              <w:rPr>
                <w:rFonts w:ascii="Times New Roman" w:hAnsi="Times New Roman" w:eastAsia="宋体"/>
                <w:sz w:val="24"/>
                <w:szCs w:val="24"/>
              </w:rPr>
              <w:t>0.6m</w:t>
            </w:r>
            <w:r>
              <w:rPr>
                <w:rFonts w:hint="eastAsia" w:ascii="Times New Roman" w:hAnsi="Times New Roman" w:eastAsia="宋体"/>
                <w:sz w:val="24"/>
                <w:szCs w:val="24"/>
              </w:rPr>
              <w:t>×（</w:t>
            </w:r>
            <w:r>
              <w:rPr>
                <w:rFonts w:ascii="Times New Roman" w:hAnsi="Times New Roman" w:eastAsia="宋体"/>
                <w:sz w:val="24"/>
                <w:szCs w:val="24"/>
              </w:rPr>
              <w:t>50mm~</w:t>
            </w:r>
            <w:r>
              <w:rPr>
                <w:rFonts w:hint="eastAsia" w:ascii="Times New Roman" w:hAnsi="Times New Roman" w:eastAsia="宋体"/>
                <w:sz w:val="24"/>
                <w:szCs w:val="24"/>
              </w:rPr>
              <w:t>3</w:t>
            </w:r>
            <w:r>
              <w:rPr>
                <w:rFonts w:ascii="Times New Roman" w:hAnsi="Times New Roman" w:eastAsia="宋体"/>
                <w:sz w:val="24"/>
                <w:szCs w:val="24"/>
              </w:rPr>
              <w:t>00mm</w:t>
            </w:r>
            <w:r>
              <w:rPr>
                <w:rFonts w:hint="eastAsia" w:ascii="Times New Roman" w:hAnsi="Times New Roman" w:eastAsia="宋体"/>
                <w:sz w:val="24"/>
                <w:szCs w:val="24"/>
              </w:rPr>
              <w:t>）、加气混凝土砌块</w:t>
            </w:r>
            <w:r>
              <w:rPr>
                <w:rFonts w:ascii="Times New Roman" w:hAnsi="Times New Roman" w:eastAsia="宋体"/>
                <w:sz w:val="24"/>
                <w:szCs w:val="24"/>
              </w:rPr>
              <w:t>600mm</w:t>
            </w:r>
            <w:r>
              <w:rPr>
                <w:rFonts w:hint="eastAsia" w:ascii="Times New Roman" w:hAnsi="Times New Roman" w:eastAsia="宋体"/>
                <w:sz w:val="24"/>
                <w:szCs w:val="24"/>
              </w:rPr>
              <w:t>×（200</w:t>
            </w:r>
            <w:r>
              <w:rPr>
                <w:rFonts w:ascii="Times New Roman" w:hAnsi="Times New Roman" w:eastAsia="宋体"/>
                <w:sz w:val="24"/>
                <w:szCs w:val="24"/>
              </w:rPr>
              <w:t>mm~300mm</w:t>
            </w:r>
            <w:r>
              <w:rPr>
                <w:rFonts w:hint="eastAsia" w:ascii="Times New Roman" w:hAnsi="Times New Roman" w:eastAsia="宋体"/>
                <w:sz w:val="24"/>
                <w:szCs w:val="24"/>
              </w:rPr>
              <w:t>）×（50</w:t>
            </w:r>
            <w:r>
              <w:rPr>
                <w:rFonts w:ascii="Times New Roman" w:hAnsi="Times New Roman" w:eastAsia="宋体"/>
                <w:sz w:val="24"/>
                <w:szCs w:val="24"/>
              </w:rPr>
              <w:t>mm~300mm</w:t>
            </w:r>
            <w:r>
              <w:rPr>
                <w:rFonts w:hint="eastAsia" w:ascii="Times New Roman" w:hAnsi="Times New Roman" w:eastAsia="宋体"/>
                <w:sz w:val="24"/>
                <w:szCs w:val="24"/>
              </w:rPr>
              <w:t>）。</w:t>
            </w:r>
          </w:p>
          <w:p w14:paraId="5AEC5B2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sz w:val="24"/>
                <w:szCs w:val="24"/>
                <w:lang w:eastAsia="zh-CN" w:bidi="ar-SA"/>
              </w:rPr>
            </w:pPr>
            <w:r>
              <w:rPr>
                <w:rFonts w:hint="eastAsia" w:ascii="Times New Roman" w:hAnsi="Times New Roman" w:eastAsia="宋体"/>
                <w:sz w:val="24"/>
                <w:szCs w:val="24"/>
                <w:lang w:bidi="ar-SA"/>
              </w:rPr>
              <w:t>钢筋预处理工段</w:t>
            </w:r>
            <w:r>
              <w:rPr>
                <w:rFonts w:hint="eastAsia" w:ascii="Times New Roman" w:hAnsi="Times New Roman" w:eastAsia="宋体"/>
                <w:sz w:val="24"/>
                <w:szCs w:val="24"/>
                <w:lang w:eastAsia="zh-CN" w:bidi="ar-SA"/>
              </w:rPr>
              <w:t>：</w:t>
            </w:r>
          </w:p>
          <w:p w14:paraId="46455D8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sz w:val="24"/>
                <w:szCs w:val="24"/>
                <w:lang w:bidi="ar-SA"/>
              </w:rPr>
            </w:pPr>
            <w:r>
              <w:rPr>
                <w:rFonts w:hint="eastAsia" w:ascii="Times New Roman" w:hAnsi="Times New Roman" w:eastAsia="宋体"/>
                <w:sz w:val="24"/>
                <w:szCs w:val="24"/>
                <w:lang w:bidi="ar-SA"/>
              </w:rPr>
              <w:t>①拉直切断、焊接</w:t>
            </w:r>
          </w:p>
          <w:p w14:paraId="2A2BD59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sz w:val="24"/>
                <w:szCs w:val="24"/>
                <w:lang w:bidi="ar-SA"/>
              </w:rPr>
            </w:pPr>
            <w:r>
              <w:rPr>
                <w:rFonts w:hint="eastAsia" w:ascii="Times New Roman" w:hAnsi="Times New Roman" w:eastAsia="宋体"/>
                <w:sz w:val="24"/>
                <w:szCs w:val="24"/>
                <w:lang w:bidi="ar-SA"/>
              </w:rPr>
              <w:t>项目外购的钢筋，通过钢筋调直切断机将钢筋拉直切断，会产生少量的钢筋边角料，钢筋网片焊接采用碰焊(点焊)，使用点焊机将钢筋焊接成为网状。点焊通过加压使工件紧密接触，通电在电流作用下，接触点处电阻较大产生大量电阻热的作用下工件接触处熔化，冷却后形成焊点，碰焊(点焊)不使用焊材，焊接过程中基本无废气产生。</w:t>
            </w:r>
          </w:p>
          <w:p w14:paraId="6EF18F1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sz w:val="24"/>
                <w:szCs w:val="24"/>
                <w:lang w:bidi="ar-SA"/>
              </w:rPr>
            </w:pPr>
            <w:r>
              <w:rPr>
                <w:rFonts w:hint="eastAsia" w:ascii="Times New Roman" w:hAnsi="Times New Roman" w:eastAsia="宋体"/>
                <w:sz w:val="24"/>
                <w:szCs w:val="24"/>
                <w:lang w:bidi="ar-SA"/>
              </w:rPr>
              <w:t>②防腐</w:t>
            </w:r>
          </w:p>
          <w:p w14:paraId="5E42A62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sz w:val="24"/>
                <w:szCs w:val="24"/>
                <w:lang w:bidi="ar-SA"/>
              </w:rPr>
            </w:pPr>
            <w:r>
              <w:rPr>
                <w:rFonts w:hint="eastAsia" w:ascii="Times New Roman" w:hAnsi="Times New Roman" w:eastAsia="宋体"/>
                <w:sz w:val="24"/>
                <w:szCs w:val="24"/>
                <w:lang w:bidi="ar-SA"/>
              </w:rPr>
              <w:t>采用防腐液对加工后的钢筋网片进行防腐处理，防腐液为基丁苯乳胶。将羧基丁苯乳胶放入防腐浸渍槽内待用，钢筋焊接成网片及组网后挂网完成的鞍架由鞍架摆渡车运送至待浸渍防腐液位置，放入防腐浸渍槽内浸渍(常温)，然后吊运至鞍架链条输送机，由输送机输送至烘道通过蒸汽间接烘干(温度约 80℃)进行烘干处理。烘于后的网片鞍架输送至插钎机下方等到插针至模具中，用于后续的浇注搅拌工艺。浸羧基丁苯乳胶工序产生浸胶废气。</w:t>
            </w:r>
          </w:p>
          <w:p w14:paraId="76B7D4F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sz w:val="24"/>
                <w:szCs w:val="24"/>
                <w:lang w:bidi="ar-SA"/>
              </w:rPr>
            </w:pPr>
            <w:r>
              <w:rPr>
                <w:rFonts w:hint="eastAsia" w:ascii="Times New Roman" w:hAnsi="Times New Roman" w:eastAsia="宋体"/>
                <w:sz w:val="24"/>
                <w:szCs w:val="24"/>
                <w:lang w:bidi="ar-SA"/>
              </w:rPr>
              <w:t>(3)钢钎处理</w:t>
            </w:r>
          </w:p>
          <w:p w14:paraId="6FCEAE1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sz w:val="24"/>
                <w:szCs w:val="24"/>
                <w:lang w:bidi="ar-SA"/>
              </w:rPr>
            </w:pPr>
            <w:r>
              <w:rPr>
                <w:rFonts w:hint="eastAsia" w:ascii="Times New Roman" w:hAnsi="Times New Roman" w:eastAsia="宋体"/>
                <w:sz w:val="24"/>
                <w:szCs w:val="24"/>
                <w:lang w:bidi="ar-SA"/>
              </w:rPr>
              <w:t>浇注完成后的工件运送至静养区内发气初凝，浆料中铝与生石灰发生反应，放出氢气(2AI+20H-+6H0→2[AI(OH)4]+3H1)，使浆料内部形成均匀的气孔，使浆料膨胀、稠化、硬化，形成板材半成品，静养室温度约40~45℃，静停180~240min，静停养护需要洒水养护，达到切割强度后，拉出静养室送至拔钎区域进行拔钎，拔完钎的模具车再经过一段时间的静养然后送至切割区切割。</w:t>
            </w:r>
          </w:p>
          <w:p w14:paraId="11F0C78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sz w:val="24"/>
                <w:szCs w:val="24"/>
                <w:lang w:bidi="ar-SA"/>
              </w:rPr>
            </w:pPr>
            <w:r>
              <w:rPr>
                <w:rFonts w:hint="eastAsia" w:ascii="Times New Roman" w:hAnsi="Times New Roman" w:eastAsia="宋体"/>
                <w:sz w:val="24"/>
                <w:szCs w:val="24"/>
                <w:lang w:bidi="ar-SA"/>
              </w:rPr>
              <w:t>拔钎后再对钢钎清理、涂蜡后继续用于组网。</w:t>
            </w:r>
          </w:p>
          <w:p w14:paraId="1B654EA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sz w:val="24"/>
                <w:szCs w:val="24"/>
                <w:lang w:bidi="ar-SA"/>
              </w:rPr>
            </w:pPr>
            <w:r>
              <w:rPr>
                <w:rFonts w:hint="eastAsia" w:ascii="Times New Roman" w:hAnsi="Times New Roman" w:eastAsia="宋体"/>
                <w:sz w:val="24"/>
                <w:szCs w:val="24"/>
                <w:lang w:bidi="ar-SA"/>
              </w:rPr>
              <w:t>①钢钎清理</w:t>
            </w:r>
          </w:p>
          <w:p w14:paraId="03C2BDE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sz w:val="24"/>
                <w:szCs w:val="24"/>
                <w:lang w:bidi="ar-SA"/>
              </w:rPr>
            </w:pPr>
            <w:r>
              <w:rPr>
                <w:rFonts w:hint="eastAsia" w:ascii="Times New Roman" w:hAnsi="Times New Roman" w:eastAsia="宋体"/>
                <w:sz w:val="24"/>
                <w:szCs w:val="24"/>
                <w:lang w:bidi="ar-SA"/>
              </w:rPr>
              <w:t>拔钎后清理残留的混凝土渣。此过程产生废渣。</w:t>
            </w:r>
          </w:p>
          <w:p w14:paraId="0121529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sz w:val="24"/>
                <w:szCs w:val="24"/>
                <w:lang w:bidi="ar-SA"/>
              </w:rPr>
            </w:pPr>
            <w:r>
              <w:rPr>
                <w:rFonts w:hint="eastAsia" w:ascii="Times New Roman" w:hAnsi="Times New Roman" w:eastAsia="宋体"/>
                <w:sz w:val="24"/>
                <w:szCs w:val="24"/>
                <w:lang w:bidi="ar-SA"/>
              </w:rPr>
              <w:t>②钢钎涂蜡</w:t>
            </w:r>
          </w:p>
          <w:p w14:paraId="0A0A345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sz w:val="24"/>
                <w:szCs w:val="24"/>
                <w:lang w:bidi="ar-SA"/>
              </w:rPr>
            </w:pPr>
            <w:r>
              <w:rPr>
                <w:rFonts w:hint="eastAsia" w:ascii="Times New Roman" w:hAnsi="Times New Roman" w:eastAsia="宋体"/>
                <w:sz w:val="24"/>
                <w:szCs w:val="24"/>
                <w:lang w:bidi="ar-SA"/>
              </w:rPr>
              <w:t>将石蜡放入浸蜡池采用蒸汽间接加热融化并保持恒温100℃，钢钎经输送机输送至浸蜡后继续用于组网。此过程产生少量浸蜡废气。</w:t>
            </w:r>
          </w:p>
          <w:p w14:paraId="43AEF16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sz w:val="24"/>
                <w:szCs w:val="24"/>
                <w:lang w:bidi="ar-SA"/>
              </w:rPr>
            </w:pPr>
            <w:r>
              <w:rPr>
                <w:rFonts w:hint="eastAsia" w:ascii="Times New Roman" w:hAnsi="Times New Roman" w:eastAsia="宋体"/>
                <w:sz w:val="24"/>
                <w:szCs w:val="24"/>
                <w:lang w:bidi="ar-SA"/>
              </w:rPr>
              <w:t>(</w:t>
            </w:r>
            <w:r>
              <w:rPr>
                <w:rFonts w:hint="eastAsia"/>
                <w:sz w:val="24"/>
                <w:szCs w:val="24"/>
                <w:lang w:val="en-US" w:eastAsia="zh-CN" w:bidi="ar-SA"/>
              </w:rPr>
              <w:t>4</w:t>
            </w:r>
            <w:r>
              <w:rPr>
                <w:rFonts w:hint="eastAsia" w:ascii="Times New Roman" w:hAnsi="Times New Roman" w:eastAsia="宋体"/>
                <w:sz w:val="24"/>
                <w:szCs w:val="24"/>
                <w:lang w:bidi="ar-SA"/>
              </w:rPr>
              <w:t>)模具底板清理</w:t>
            </w:r>
          </w:p>
          <w:p w14:paraId="6C2FECA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sz w:val="24"/>
                <w:szCs w:val="24"/>
                <w:lang w:bidi="ar-SA"/>
              </w:rPr>
            </w:pPr>
            <w:r>
              <w:rPr>
                <w:rFonts w:hint="eastAsia" w:ascii="Times New Roman" w:hAnsi="Times New Roman" w:eastAsia="宋体"/>
                <w:sz w:val="24"/>
                <w:szCs w:val="24"/>
                <w:lang w:bidi="ar-SA"/>
              </w:rPr>
              <w:t>为了减小混凝土板与模具间的粘结力，使工件在脱模时能够顺利脱离模具，保持工件形状完好无损，在浇注前需对拆下的模具内壁进行清理，用清洗机打磨清理模具上残留的混凝土渣等，以便后续成型。在此过程产生混凝土渣(送进搅拌机进行回用)、打磨粉尘。再对清理干净模板涂刷脱模剂，使模板与混凝土板表面形成一层膜将两者隔离开来，保证脱模时混凝土板表面光滑平整、棱角整齐无损。</w:t>
            </w:r>
          </w:p>
          <w:p w14:paraId="1C8E9D98">
            <w:pPr>
              <w:spacing w:line="360" w:lineRule="auto"/>
              <w:ind w:firstLine="480" w:firstLineChars="200"/>
              <w:jc w:val="both"/>
              <w:rPr>
                <w:rFonts w:ascii="Times New Roman" w:hAnsi="Times New Roman" w:eastAsia="宋体"/>
                <w:sz w:val="24"/>
                <w:szCs w:val="24"/>
              </w:rPr>
            </w:pPr>
            <w:r>
              <w:rPr>
                <w:rFonts w:hint="eastAsia" w:ascii="Times New Roman" w:hAnsi="Times New Roman" w:eastAsia="宋体"/>
                <w:sz w:val="24"/>
                <w:szCs w:val="24"/>
              </w:rPr>
              <w:t>（</w:t>
            </w:r>
            <w:r>
              <w:rPr>
                <w:rFonts w:hint="eastAsia"/>
                <w:sz w:val="24"/>
                <w:szCs w:val="24"/>
                <w:lang w:val="en-US" w:eastAsia="zh-CN"/>
              </w:rPr>
              <w:t>5</w:t>
            </w:r>
            <w:r>
              <w:rPr>
                <w:rFonts w:hint="eastAsia" w:ascii="Times New Roman" w:hAnsi="Times New Roman" w:eastAsia="宋体"/>
                <w:sz w:val="24"/>
                <w:szCs w:val="24"/>
              </w:rPr>
              <w:t>）静养</w:t>
            </w:r>
          </w:p>
          <w:p w14:paraId="0E18C18B">
            <w:pPr>
              <w:spacing w:line="360" w:lineRule="auto"/>
              <w:ind w:firstLine="480" w:firstLineChars="200"/>
              <w:jc w:val="both"/>
              <w:rPr>
                <w:rFonts w:ascii="Times New Roman" w:hAnsi="Times New Roman" w:eastAsia="宋体"/>
                <w:sz w:val="24"/>
                <w:szCs w:val="24"/>
              </w:rPr>
            </w:pPr>
            <w:r>
              <w:rPr>
                <w:rFonts w:hint="eastAsia" w:ascii="Times New Roman" w:hAnsi="Times New Roman" w:eastAsia="宋体"/>
                <w:sz w:val="24"/>
                <w:szCs w:val="24"/>
              </w:rPr>
              <w:t>料浆浇入模具后，由摆渡车送入预养室内发气，如生产加气板材需要在此插入钢筋网片。从浇注到完成，模具运行采用摩擦轮方式驱动。混合料浆经初步稠化、硬化后，在预养室静停养护</w:t>
            </w:r>
            <w:r>
              <w:rPr>
                <w:rFonts w:ascii="Times New Roman" w:hAnsi="Times New Roman" w:eastAsia="宋体"/>
                <w:sz w:val="24"/>
                <w:szCs w:val="24"/>
              </w:rPr>
              <w:t>2</w:t>
            </w:r>
            <w:r>
              <w:rPr>
                <w:rFonts w:hint="eastAsia" w:ascii="Times New Roman" w:hAnsi="Times New Roman" w:eastAsia="宋体"/>
                <w:sz w:val="24"/>
                <w:szCs w:val="24"/>
              </w:rPr>
              <w:t>～</w:t>
            </w:r>
            <w:r>
              <w:rPr>
                <w:rFonts w:ascii="Times New Roman" w:hAnsi="Times New Roman" w:eastAsia="宋体"/>
                <w:sz w:val="24"/>
                <w:szCs w:val="24"/>
              </w:rPr>
              <w:t>3</w:t>
            </w:r>
            <w:r>
              <w:rPr>
                <w:rFonts w:hint="eastAsia" w:ascii="Times New Roman" w:hAnsi="Times New Roman" w:eastAsia="宋体"/>
                <w:sz w:val="24"/>
                <w:szCs w:val="24"/>
              </w:rPr>
              <w:t>小时形成加气混凝土坯体。预养室控制温度为</w:t>
            </w:r>
            <w:r>
              <w:rPr>
                <w:rFonts w:ascii="Times New Roman" w:hAnsi="Times New Roman" w:eastAsia="宋体"/>
                <w:sz w:val="24"/>
                <w:szCs w:val="24"/>
              </w:rPr>
              <w:t>4</w:t>
            </w:r>
            <w:r>
              <w:rPr>
                <w:rFonts w:hint="eastAsia" w:ascii="Times New Roman" w:hAnsi="Times New Roman" w:eastAsia="宋体"/>
                <w:sz w:val="24"/>
                <w:szCs w:val="24"/>
              </w:rPr>
              <w:t>5～60℃，以利发气顺畅和提高坯体强度。</w:t>
            </w:r>
          </w:p>
          <w:p w14:paraId="2789F638">
            <w:pPr>
              <w:spacing w:line="360" w:lineRule="auto"/>
              <w:ind w:firstLine="480" w:firstLineChars="200"/>
              <w:jc w:val="both"/>
              <w:rPr>
                <w:rFonts w:ascii="Times New Roman" w:hAnsi="Times New Roman" w:eastAsia="宋体"/>
                <w:sz w:val="24"/>
                <w:szCs w:val="24"/>
              </w:rPr>
            </w:pPr>
            <w:r>
              <w:rPr>
                <w:rFonts w:hint="eastAsia" w:ascii="Times New Roman" w:hAnsi="Times New Roman" w:eastAsia="宋体"/>
                <w:sz w:val="24"/>
                <w:szCs w:val="24"/>
              </w:rPr>
              <w:t>（</w:t>
            </w:r>
            <w:r>
              <w:rPr>
                <w:rFonts w:hint="eastAsia"/>
                <w:sz w:val="24"/>
                <w:szCs w:val="24"/>
                <w:lang w:val="en-US" w:eastAsia="zh-CN"/>
              </w:rPr>
              <w:t>6</w:t>
            </w:r>
            <w:r>
              <w:rPr>
                <w:rFonts w:hint="eastAsia" w:ascii="Times New Roman" w:hAnsi="Times New Roman" w:eastAsia="宋体"/>
                <w:sz w:val="24"/>
                <w:szCs w:val="24"/>
              </w:rPr>
              <w:t>）切割</w:t>
            </w:r>
          </w:p>
          <w:p w14:paraId="2DC4A70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sz w:val="24"/>
                <w:szCs w:val="24"/>
              </w:rPr>
            </w:pPr>
            <w:r>
              <w:rPr>
                <w:rFonts w:hint="eastAsia" w:ascii="Times New Roman" w:hAnsi="Times New Roman" w:eastAsia="宋体"/>
                <w:sz w:val="24"/>
                <w:szCs w:val="24"/>
              </w:rPr>
              <w:t>坯体发气完成后由摆渡车将模具从预养室中取出输送到翻转吊车位置，板材则先拔钎后进行翻转切割，以形成各种规格尺寸的产品。切割时切下的边角废料落入切割机下的地沟，用循环水冲到废浆池，搅拌成废料浆，在检测浓度合格后泵送到湿磨处的废浆储罐中，废料浆作为一种配料成份加入新一轮的磨机料浆制备中。切割过程和废浆制备过程由</w:t>
            </w:r>
            <w:r>
              <w:rPr>
                <w:rFonts w:ascii="Times New Roman" w:hAnsi="Times New Roman" w:eastAsia="宋体"/>
                <w:sz w:val="24"/>
                <w:szCs w:val="24"/>
              </w:rPr>
              <w:t>PLC</w:t>
            </w:r>
            <w:r>
              <w:rPr>
                <w:rFonts w:hint="eastAsia" w:ascii="Times New Roman" w:hAnsi="Times New Roman" w:eastAsia="宋体"/>
                <w:sz w:val="24"/>
                <w:szCs w:val="24"/>
              </w:rPr>
              <w:t>进行过程控制。切割后的坯体采用脱模剂进行脱模，脱模剂可选用更换设备机油或脱模油。脱模后的半成品运至去底皮装置上，翻转去除底层废料后，再由该吊车将坯体放到蒸养车上，在釜前进行编组、保温养护，准备入釜蒸养。</w:t>
            </w:r>
          </w:p>
          <w:p w14:paraId="4FEE6C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sz w:val="24"/>
                <w:szCs w:val="24"/>
              </w:rPr>
            </w:pPr>
            <w:r>
              <w:rPr>
                <w:rFonts w:hint="eastAsia" w:ascii="Times New Roman" w:hAnsi="Times New Roman" w:eastAsia="宋体"/>
                <w:sz w:val="24"/>
                <w:szCs w:val="24"/>
              </w:rPr>
              <w:t>（</w:t>
            </w:r>
            <w:r>
              <w:rPr>
                <w:rFonts w:hint="eastAsia"/>
                <w:sz w:val="24"/>
                <w:szCs w:val="24"/>
                <w:lang w:val="en-US" w:eastAsia="zh-CN"/>
              </w:rPr>
              <w:t>7</w:t>
            </w:r>
            <w:r>
              <w:rPr>
                <w:rFonts w:hint="eastAsia" w:ascii="Times New Roman" w:hAnsi="Times New Roman" w:eastAsia="宋体"/>
                <w:sz w:val="24"/>
                <w:szCs w:val="24"/>
              </w:rPr>
              <w:t>）蒸压养护</w:t>
            </w:r>
          </w:p>
          <w:p w14:paraId="0C98C5E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sz w:val="24"/>
                <w:szCs w:val="24"/>
              </w:rPr>
            </w:pPr>
            <w:r>
              <w:rPr>
                <w:rFonts w:hint="eastAsia" w:ascii="Times New Roman" w:hAnsi="Times New Roman" w:eastAsia="宋体"/>
                <w:sz w:val="24"/>
                <w:szCs w:val="24"/>
              </w:rPr>
              <w:t>编组完成的半成品，由牵引机将整釜的坯体拉入釜中，进行蒸压养护。蒸压养护一般一个循环</w:t>
            </w:r>
            <w:r>
              <w:rPr>
                <w:rFonts w:ascii="Times New Roman" w:hAnsi="Times New Roman" w:eastAsia="宋体"/>
                <w:sz w:val="24"/>
                <w:szCs w:val="24"/>
              </w:rPr>
              <w:t>12</w:t>
            </w:r>
            <w:r>
              <w:rPr>
                <w:rFonts w:hint="eastAsia" w:ascii="Times New Roman" w:hAnsi="Times New Roman" w:eastAsia="宋体"/>
                <w:sz w:val="24"/>
                <w:szCs w:val="24"/>
              </w:rPr>
              <w:t>小时（板材的蒸养时间会根据板材的厚度以及原材料品种质量不同有所增加和变化），即升温</w:t>
            </w:r>
            <w:r>
              <w:rPr>
                <w:rFonts w:ascii="Times New Roman" w:hAnsi="Times New Roman" w:eastAsia="宋体"/>
                <w:sz w:val="24"/>
                <w:szCs w:val="24"/>
              </w:rPr>
              <w:t>2</w:t>
            </w:r>
            <w:r>
              <w:rPr>
                <w:rFonts w:hint="eastAsia" w:ascii="Times New Roman" w:hAnsi="Times New Roman" w:eastAsia="宋体"/>
                <w:sz w:val="24"/>
                <w:szCs w:val="24"/>
              </w:rPr>
              <w:t>小时（含抽真空），恒温</w:t>
            </w:r>
            <w:r>
              <w:rPr>
                <w:rFonts w:ascii="Times New Roman" w:hAnsi="Times New Roman" w:eastAsia="宋体"/>
                <w:sz w:val="24"/>
                <w:szCs w:val="24"/>
              </w:rPr>
              <w:t>7.5</w:t>
            </w:r>
            <w:r>
              <w:rPr>
                <w:rFonts w:hint="eastAsia" w:ascii="Times New Roman" w:hAnsi="Times New Roman" w:eastAsia="宋体"/>
                <w:sz w:val="24"/>
                <w:szCs w:val="24"/>
              </w:rPr>
              <w:t>小时，降温</w:t>
            </w:r>
            <w:r>
              <w:rPr>
                <w:rFonts w:ascii="Times New Roman" w:hAnsi="Times New Roman" w:eastAsia="宋体"/>
                <w:sz w:val="24"/>
                <w:szCs w:val="24"/>
              </w:rPr>
              <w:t>1.5</w:t>
            </w:r>
            <w:r>
              <w:rPr>
                <w:rFonts w:hint="eastAsia" w:ascii="Times New Roman" w:hAnsi="Times New Roman" w:eastAsia="宋体"/>
                <w:sz w:val="24"/>
                <w:szCs w:val="24"/>
              </w:rPr>
              <w:t>小时，进出釜</w:t>
            </w:r>
            <w:r>
              <w:rPr>
                <w:rFonts w:ascii="Times New Roman" w:hAnsi="Times New Roman" w:eastAsia="宋体"/>
                <w:sz w:val="24"/>
                <w:szCs w:val="24"/>
              </w:rPr>
              <w:t>1</w:t>
            </w:r>
            <w:r>
              <w:rPr>
                <w:rFonts w:hint="eastAsia" w:ascii="Times New Roman" w:hAnsi="Times New Roman" w:eastAsia="宋体"/>
                <w:sz w:val="24"/>
                <w:szCs w:val="24"/>
              </w:rPr>
              <w:t>小时。蒸压时使用的蒸汽为饱和蒸汽，恒温时的蒸汽压力为</w:t>
            </w:r>
            <w:r>
              <w:rPr>
                <w:rFonts w:ascii="Times New Roman" w:hAnsi="Times New Roman" w:eastAsia="宋体"/>
                <w:sz w:val="24"/>
                <w:szCs w:val="24"/>
              </w:rPr>
              <w:t>1.</w:t>
            </w:r>
            <w:r>
              <w:rPr>
                <w:rFonts w:hint="eastAsia" w:ascii="Times New Roman" w:hAnsi="Times New Roman" w:eastAsia="宋体"/>
                <w:sz w:val="24"/>
                <w:szCs w:val="24"/>
              </w:rPr>
              <w:t>0</w:t>
            </w:r>
            <w:r>
              <w:rPr>
                <w:rFonts w:ascii="Times New Roman" w:hAnsi="Times New Roman" w:eastAsia="宋体"/>
                <w:sz w:val="24"/>
                <w:szCs w:val="24"/>
              </w:rPr>
              <w:t>Mpa</w:t>
            </w:r>
            <w:r>
              <w:rPr>
                <w:rFonts w:hint="eastAsia" w:ascii="Times New Roman" w:hAnsi="Times New Roman" w:eastAsia="宋体"/>
                <w:sz w:val="24"/>
                <w:szCs w:val="24"/>
              </w:rPr>
              <w:t>以上。</w:t>
            </w:r>
          </w:p>
          <w:p w14:paraId="086E7C1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sz w:val="24"/>
                <w:szCs w:val="24"/>
              </w:rPr>
            </w:pPr>
            <w:r>
              <w:rPr>
                <w:rFonts w:hint="eastAsia" w:ascii="Times New Roman" w:hAnsi="Times New Roman" w:eastAsia="宋体"/>
                <w:sz w:val="24"/>
                <w:szCs w:val="24"/>
              </w:rPr>
              <w:t>通过升温、恒温、降温阶段完成制品的水化反应。釜内的冷凝水集中沉淀回收做配料用水，不外排。</w:t>
            </w:r>
          </w:p>
          <w:p w14:paraId="1A4380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sz w:val="24"/>
                <w:szCs w:val="24"/>
              </w:rPr>
            </w:pPr>
            <w:r>
              <w:rPr>
                <w:rFonts w:hint="eastAsia" w:ascii="Times New Roman" w:hAnsi="Times New Roman" w:eastAsia="宋体"/>
                <w:sz w:val="24"/>
                <w:szCs w:val="24"/>
              </w:rPr>
              <w:t>（</w:t>
            </w:r>
            <w:r>
              <w:rPr>
                <w:rFonts w:hint="eastAsia"/>
                <w:sz w:val="24"/>
                <w:szCs w:val="24"/>
                <w:lang w:val="en-US" w:eastAsia="zh-CN"/>
              </w:rPr>
              <w:t>8</w:t>
            </w:r>
            <w:r>
              <w:rPr>
                <w:rFonts w:hint="eastAsia" w:ascii="Times New Roman" w:hAnsi="Times New Roman" w:eastAsia="宋体"/>
                <w:sz w:val="24"/>
                <w:szCs w:val="24"/>
              </w:rPr>
              <w:t>）成品</w:t>
            </w:r>
          </w:p>
          <w:p w14:paraId="3CEAFB4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bCs/>
              </w:rPr>
            </w:pPr>
            <w:r>
              <w:rPr>
                <w:rFonts w:hint="eastAsia" w:ascii="Times New Roman" w:hAnsi="Times New Roman" w:eastAsia="宋体"/>
                <w:sz w:val="24"/>
                <w:szCs w:val="24"/>
              </w:rPr>
              <w:t>制品蒸压养护后，由釜后的摆渡车拉出蒸压釜送到成品轨道，用成品吊机将制品放到输送辊道上，进入掰分机，将制品进行掰分后，继续行走送出掰分机。分离后的制品用分类吊机吊放到砌块打包线的木托板上进行打包，然后再由叉车运到成品堆场码放储存。板材则通过分类吊车直接运至板材打包线，再由板材成品区叉车运到成品堆场码放储存。当掰分后的制品被分类吊车吊走后，剩下的空侧板经过侧板清理机清理后，继续行走到翻转吊车位置，与翻转吊车脱模后的空模框组合合模，放到空模轨道，返回到浇注位置进行下一循环的浇注。</w:t>
            </w:r>
          </w:p>
          <w:p w14:paraId="312F2E7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sz w:val="24"/>
                <w:szCs w:val="24"/>
                <w:lang w:bidi="ar-SA"/>
              </w:rPr>
            </w:pPr>
            <w:r>
              <w:rPr>
                <w:rFonts w:hint="eastAsia" w:ascii="Times New Roman" w:hAnsi="Times New Roman" w:eastAsia="宋体" w:cs="Times New Roman"/>
                <w:sz w:val="24"/>
                <w:szCs w:val="24"/>
                <w:lang w:bidi="ar-SA"/>
              </w:rPr>
              <w:t>工艺流程及产污节点见下图。</w:t>
            </w:r>
          </w:p>
          <w:p w14:paraId="675604F8">
            <w:pPr>
              <w:pStyle w:val="5"/>
              <w:keepNext/>
              <w:keepLines/>
              <w:pageBreakBefore w:val="0"/>
              <w:widowControl w:val="0"/>
              <w:kinsoku/>
              <w:wordWrap/>
              <w:overflowPunct/>
              <w:topLinePunct w:val="0"/>
              <w:autoSpaceDE/>
              <w:autoSpaceDN/>
              <w:bidi w:val="0"/>
              <w:adjustRightInd/>
              <w:snapToGrid/>
              <w:ind w:firstLine="0" w:firstLineChars="0"/>
              <w:jc w:val="center"/>
              <w:textAlignment w:val="auto"/>
              <w:rPr>
                <w:rFonts w:hint="eastAsia"/>
              </w:rPr>
            </w:pPr>
            <w:r>
              <w:drawing>
                <wp:inline distT="0" distB="0" distL="114300" distR="114300">
                  <wp:extent cx="4754880" cy="5196840"/>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7"/>
                          <a:stretch>
                            <a:fillRect/>
                          </a:stretch>
                        </pic:blipFill>
                        <pic:spPr>
                          <a:xfrm>
                            <a:off x="0" y="0"/>
                            <a:ext cx="4754880" cy="5196840"/>
                          </a:xfrm>
                          <a:prstGeom prst="rect">
                            <a:avLst/>
                          </a:prstGeom>
                          <a:noFill/>
                          <a:ln>
                            <a:noFill/>
                          </a:ln>
                        </pic:spPr>
                      </pic:pic>
                    </a:graphicData>
                  </a:graphic>
                </wp:inline>
              </w:drawing>
            </w:r>
          </w:p>
          <w:p w14:paraId="1EA57011">
            <w:pPr>
              <w:overflowPunct w:val="0"/>
              <w:jc w:val="center"/>
              <w:textAlignment w:val="baseline"/>
              <w:rPr>
                <w:rFonts w:hint="eastAsia"/>
              </w:rPr>
            </w:pPr>
            <w:r>
              <w:rPr>
                <w:rFonts w:hint="eastAsia"/>
                <w:b/>
                <w:bCs/>
              </w:rPr>
              <w:t>图1-</w:t>
            </w:r>
            <w:r>
              <w:rPr>
                <w:rFonts w:hint="eastAsia"/>
                <w:b/>
                <w:bCs/>
                <w:lang w:val="en-US" w:eastAsia="zh-CN"/>
              </w:rPr>
              <w:t>4</w:t>
            </w:r>
            <w:r>
              <w:rPr>
                <w:rFonts w:hint="eastAsia"/>
                <w:b/>
                <w:bCs/>
              </w:rPr>
              <w:t xml:space="preserve"> </w:t>
            </w:r>
            <w:r>
              <w:rPr>
                <w:rFonts w:hint="eastAsia"/>
                <w:b/>
                <w:bCs/>
                <w:lang w:val="en-US" w:eastAsia="zh-CN"/>
              </w:rPr>
              <w:t>板材</w:t>
            </w:r>
            <w:r>
              <w:rPr>
                <w:rFonts w:hint="eastAsia"/>
                <w:b/>
                <w:bCs/>
              </w:rPr>
              <w:t>工艺流程及产污节点图</w:t>
            </w:r>
          </w:p>
          <w:p w14:paraId="28DFACDE">
            <w:pPr>
              <w:pStyle w:val="5"/>
              <w:ind w:firstLine="422"/>
              <w:rPr>
                <w:sz w:val="24"/>
                <w:szCs w:val="24"/>
              </w:rPr>
            </w:pPr>
            <w:r>
              <w:rPr>
                <w:rFonts w:hint="eastAsia"/>
                <w:sz w:val="24"/>
                <w:szCs w:val="24"/>
              </w:rPr>
              <w:t>2.2运营期主要污染工序及污染因子</w:t>
            </w:r>
          </w:p>
          <w:p w14:paraId="266CCE1D">
            <w:pPr>
              <w:spacing w:line="360" w:lineRule="auto"/>
              <w:ind w:firstLine="480" w:firstLineChars="200"/>
              <w:rPr>
                <w:sz w:val="24"/>
                <w:szCs w:val="24"/>
              </w:rPr>
            </w:pPr>
            <w:r>
              <w:rPr>
                <w:rFonts w:hint="eastAsia"/>
                <w:sz w:val="24"/>
                <w:szCs w:val="24"/>
              </w:rPr>
              <w:t>运营期主要污染工序及污染因子见下表。</w:t>
            </w:r>
          </w:p>
          <w:p w14:paraId="19513ACF">
            <w:pPr>
              <w:overflowPunct w:val="0"/>
              <w:jc w:val="center"/>
              <w:rPr>
                <w:b/>
              </w:rPr>
            </w:pPr>
            <w:r>
              <w:rPr>
                <w:b/>
              </w:rPr>
              <w:t>表</w:t>
            </w:r>
            <w:r>
              <w:rPr>
                <w:rFonts w:hint="eastAsia"/>
                <w:b/>
              </w:rPr>
              <w:t>2-</w:t>
            </w:r>
            <w:r>
              <w:rPr>
                <w:rFonts w:hint="eastAsia"/>
                <w:b/>
                <w:lang w:val="en-US" w:eastAsia="zh-CN"/>
              </w:rPr>
              <w:t>7</w:t>
            </w:r>
            <w:r>
              <w:rPr>
                <w:rFonts w:hint="eastAsia"/>
                <w:b/>
              </w:rPr>
              <w:t xml:space="preserve"> 运营期主要污染工序一览表</w:t>
            </w:r>
          </w:p>
          <w:tbl>
            <w:tblPr>
              <w:tblStyle w:val="24"/>
              <w:tblW w:w="833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5"/>
              <w:gridCol w:w="900"/>
              <w:gridCol w:w="1576"/>
              <w:gridCol w:w="2462"/>
              <w:gridCol w:w="2491"/>
            </w:tblGrid>
            <w:tr w14:paraId="345059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5" w:type="dxa"/>
                  <w:noWrap/>
                  <w:vAlign w:val="center"/>
                </w:tcPr>
                <w:p w14:paraId="62C2F465">
                  <w:pPr>
                    <w:jc w:val="center"/>
                    <w:rPr>
                      <w:b/>
                      <w:bCs/>
                    </w:rPr>
                  </w:pPr>
                  <w:r>
                    <w:rPr>
                      <w:b/>
                      <w:bCs/>
                    </w:rPr>
                    <w:t>排放源</w:t>
                  </w:r>
                </w:p>
              </w:tc>
              <w:tc>
                <w:tcPr>
                  <w:tcW w:w="2476" w:type="dxa"/>
                  <w:gridSpan w:val="2"/>
                  <w:noWrap/>
                  <w:vAlign w:val="center"/>
                </w:tcPr>
                <w:p w14:paraId="02DE9291">
                  <w:pPr>
                    <w:jc w:val="center"/>
                    <w:rPr>
                      <w:b/>
                      <w:bCs/>
                    </w:rPr>
                  </w:pPr>
                  <w:r>
                    <w:rPr>
                      <w:b/>
                      <w:bCs/>
                    </w:rPr>
                    <w:t>污染物</w:t>
                  </w:r>
                </w:p>
              </w:tc>
              <w:tc>
                <w:tcPr>
                  <w:tcW w:w="2462" w:type="dxa"/>
                  <w:noWrap/>
                  <w:vAlign w:val="center"/>
                </w:tcPr>
                <w:p w14:paraId="5B007B1F">
                  <w:pPr>
                    <w:jc w:val="center"/>
                    <w:rPr>
                      <w:b/>
                      <w:bCs/>
                    </w:rPr>
                  </w:pPr>
                  <w:r>
                    <w:rPr>
                      <w:b/>
                      <w:bCs/>
                    </w:rPr>
                    <w:t>污染工序</w:t>
                  </w:r>
                </w:p>
              </w:tc>
              <w:tc>
                <w:tcPr>
                  <w:tcW w:w="2491" w:type="dxa"/>
                  <w:noWrap/>
                  <w:vAlign w:val="center"/>
                </w:tcPr>
                <w:p w14:paraId="3B3096B9">
                  <w:pPr>
                    <w:jc w:val="center"/>
                    <w:rPr>
                      <w:b/>
                      <w:bCs/>
                    </w:rPr>
                  </w:pPr>
                  <w:r>
                    <w:rPr>
                      <w:b/>
                      <w:bCs/>
                    </w:rPr>
                    <w:t>污染因子</w:t>
                  </w:r>
                </w:p>
              </w:tc>
            </w:tr>
            <w:tr w14:paraId="0D5B93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05" w:type="dxa"/>
                  <w:vMerge w:val="restart"/>
                  <w:noWrap/>
                  <w:vAlign w:val="center"/>
                </w:tcPr>
                <w:p w14:paraId="668D21B5">
                  <w:pPr>
                    <w:jc w:val="center"/>
                  </w:pPr>
                  <w:r>
                    <w:t>废气</w:t>
                  </w:r>
                </w:p>
              </w:tc>
              <w:tc>
                <w:tcPr>
                  <w:tcW w:w="900" w:type="dxa"/>
                  <w:vMerge w:val="restart"/>
                  <w:noWrap/>
                  <w:vAlign w:val="center"/>
                </w:tcPr>
                <w:p w14:paraId="15718982">
                  <w:pPr>
                    <w:jc w:val="center"/>
                  </w:pPr>
                  <w:r>
                    <w:rPr>
                      <w:rFonts w:hint="eastAsia"/>
                    </w:rPr>
                    <w:t>有组织</w:t>
                  </w:r>
                </w:p>
              </w:tc>
              <w:tc>
                <w:tcPr>
                  <w:tcW w:w="1576" w:type="dxa"/>
                  <w:noWrap/>
                  <w:vAlign w:val="center"/>
                </w:tcPr>
                <w:p w14:paraId="04B3F0BC">
                  <w:pPr>
                    <w:jc w:val="center"/>
                  </w:pPr>
                  <w:r>
                    <w:t>粉尘</w:t>
                  </w:r>
                </w:p>
              </w:tc>
              <w:tc>
                <w:tcPr>
                  <w:tcW w:w="2462" w:type="dxa"/>
                  <w:noWrap/>
                  <w:vAlign w:val="center"/>
                </w:tcPr>
                <w:p w14:paraId="722005BF">
                  <w:pPr>
                    <w:jc w:val="center"/>
                  </w:pPr>
                  <w:r>
                    <w:rPr>
                      <w:rFonts w:hint="eastAsia"/>
                      <w:lang w:val="en-US" w:eastAsia="zh-CN"/>
                    </w:rPr>
                    <w:t>筒仓呼吸粉尘、</w:t>
                  </w:r>
                  <w:r>
                    <w:rPr>
                      <w:rFonts w:hint="eastAsia"/>
                      <w:sz w:val="21"/>
                      <w:szCs w:val="21"/>
                      <w:lang w:val="en-US" w:eastAsia="zh-CN"/>
                    </w:rPr>
                    <w:t>底板清理</w:t>
                  </w:r>
                  <w:r>
                    <w:rPr>
                      <w:rFonts w:hint="eastAsia"/>
                    </w:rPr>
                    <w:t>工序</w:t>
                  </w:r>
                </w:p>
              </w:tc>
              <w:tc>
                <w:tcPr>
                  <w:tcW w:w="2491" w:type="dxa"/>
                  <w:noWrap/>
                  <w:vAlign w:val="center"/>
                </w:tcPr>
                <w:p w14:paraId="4830E297">
                  <w:pPr>
                    <w:jc w:val="center"/>
                  </w:pPr>
                  <w:r>
                    <w:rPr>
                      <w:rFonts w:hint="eastAsia"/>
                    </w:rPr>
                    <w:t>粉尘</w:t>
                  </w:r>
                </w:p>
              </w:tc>
            </w:tr>
            <w:tr w14:paraId="39D9D6C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905" w:type="dxa"/>
                  <w:vMerge w:val="continue"/>
                  <w:noWrap/>
                  <w:vAlign w:val="center"/>
                </w:tcPr>
                <w:p w14:paraId="41C2C5AD">
                  <w:pPr>
                    <w:jc w:val="center"/>
                  </w:pPr>
                </w:p>
              </w:tc>
              <w:tc>
                <w:tcPr>
                  <w:tcW w:w="900" w:type="dxa"/>
                  <w:vMerge w:val="continue"/>
                  <w:noWrap/>
                  <w:vAlign w:val="center"/>
                </w:tcPr>
                <w:p w14:paraId="4B7BAD14">
                  <w:pPr>
                    <w:jc w:val="center"/>
                    <w:rPr>
                      <w:rFonts w:hint="eastAsia"/>
                    </w:rPr>
                  </w:pPr>
                </w:p>
              </w:tc>
              <w:tc>
                <w:tcPr>
                  <w:tcW w:w="1576" w:type="dxa"/>
                  <w:noWrap/>
                  <w:vAlign w:val="center"/>
                </w:tcPr>
                <w:p w14:paraId="5D34D0CC">
                  <w:pPr>
                    <w:jc w:val="center"/>
                    <w:rPr>
                      <w:rFonts w:hint="eastAsia" w:eastAsia="宋体"/>
                      <w:lang w:val="en-US" w:eastAsia="zh-CN"/>
                    </w:rPr>
                  </w:pPr>
                  <w:r>
                    <w:rPr>
                      <w:rFonts w:hint="eastAsia"/>
                      <w:lang w:val="en-US" w:eastAsia="zh-CN"/>
                    </w:rPr>
                    <w:t>非甲烷总烃</w:t>
                  </w:r>
                </w:p>
              </w:tc>
              <w:tc>
                <w:tcPr>
                  <w:tcW w:w="2462" w:type="dxa"/>
                  <w:noWrap/>
                  <w:vAlign w:val="center"/>
                </w:tcPr>
                <w:p w14:paraId="4464E95E">
                  <w:pPr>
                    <w:jc w:val="center"/>
                    <w:rPr>
                      <w:rFonts w:hint="default"/>
                      <w:lang w:val="en-US" w:eastAsia="zh-CN"/>
                    </w:rPr>
                  </w:pPr>
                  <w:r>
                    <w:rPr>
                      <w:rFonts w:hint="eastAsia"/>
                      <w:sz w:val="21"/>
                      <w:szCs w:val="21"/>
                      <w:lang w:val="en-US" w:eastAsia="zh-CN"/>
                    </w:rPr>
                    <w:t>钢筋防腐工序</w:t>
                  </w:r>
                </w:p>
              </w:tc>
              <w:tc>
                <w:tcPr>
                  <w:tcW w:w="2491" w:type="dxa"/>
                  <w:noWrap/>
                  <w:vAlign w:val="center"/>
                </w:tcPr>
                <w:p w14:paraId="711AFB16">
                  <w:pPr>
                    <w:jc w:val="center"/>
                    <w:rPr>
                      <w:rFonts w:hint="eastAsia"/>
                    </w:rPr>
                  </w:pPr>
                  <w:r>
                    <w:rPr>
                      <w:rFonts w:hint="eastAsia"/>
                      <w:lang w:val="en-US" w:eastAsia="zh-CN"/>
                    </w:rPr>
                    <w:t>非甲烷总烃</w:t>
                  </w:r>
                </w:p>
              </w:tc>
            </w:tr>
            <w:tr w14:paraId="7D131BB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905" w:type="dxa"/>
                  <w:vMerge w:val="continue"/>
                  <w:noWrap/>
                  <w:vAlign w:val="center"/>
                </w:tcPr>
                <w:p w14:paraId="46BFA60E">
                  <w:pPr>
                    <w:jc w:val="center"/>
                  </w:pPr>
                </w:p>
              </w:tc>
              <w:tc>
                <w:tcPr>
                  <w:tcW w:w="900" w:type="dxa"/>
                  <w:vMerge w:val="continue"/>
                  <w:noWrap/>
                  <w:vAlign w:val="center"/>
                </w:tcPr>
                <w:p w14:paraId="6F463866">
                  <w:pPr>
                    <w:jc w:val="center"/>
                    <w:rPr>
                      <w:rFonts w:hint="eastAsia"/>
                    </w:rPr>
                  </w:pPr>
                </w:p>
              </w:tc>
              <w:tc>
                <w:tcPr>
                  <w:tcW w:w="1576" w:type="dxa"/>
                  <w:noWrap/>
                  <w:vAlign w:val="center"/>
                </w:tcPr>
                <w:p w14:paraId="05C64E19">
                  <w:pPr>
                    <w:jc w:val="center"/>
                    <w:rPr>
                      <w:rFonts w:hint="default"/>
                      <w:lang w:val="en-US" w:eastAsia="zh-CN"/>
                    </w:rPr>
                  </w:pPr>
                  <w:r>
                    <w:rPr>
                      <w:rFonts w:hint="eastAsia"/>
                      <w:lang w:val="en-US" w:eastAsia="zh-CN"/>
                    </w:rPr>
                    <w:t>食堂油烟</w:t>
                  </w:r>
                </w:p>
              </w:tc>
              <w:tc>
                <w:tcPr>
                  <w:tcW w:w="2462" w:type="dxa"/>
                  <w:noWrap/>
                  <w:vAlign w:val="center"/>
                </w:tcPr>
                <w:p w14:paraId="1C7D3FDC">
                  <w:pPr>
                    <w:jc w:val="center"/>
                    <w:rPr>
                      <w:rFonts w:hint="eastAsia"/>
                      <w:sz w:val="21"/>
                      <w:szCs w:val="21"/>
                      <w:lang w:val="en-US" w:eastAsia="zh-CN"/>
                    </w:rPr>
                  </w:pPr>
                  <w:r>
                    <w:t>办公、生活过程</w:t>
                  </w:r>
                </w:p>
              </w:tc>
              <w:tc>
                <w:tcPr>
                  <w:tcW w:w="2491" w:type="dxa"/>
                  <w:noWrap/>
                  <w:vAlign w:val="center"/>
                </w:tcPr>
                <w:p w14:paraId="6DB00B83">
                  <w:pPr>
                    <w:jc w:val="center"/>
                    <w:rPr>
                      <w:rFonts w:hint="eastAsia"/>
                      <w:lang w:val="en-US" w:eastAsia="zh-CN"/>
                    </w:rPr>
                  </w:pPr>
                  <w:r>
                    <w:rPr>
                      <w:rFonts w:hint="eastAsia"/>
                      <w:lang w:val="en-US" w:eastAsia="zh-CN"/>
                    </w:rPr>
                    <w:t>食堂油烟</w:t>
                  </w:r>
                </w:p>
              </w:tc>
            </w:tr>
            <w:tr w14:paraId="64CF03E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905" w:type="dxa"/>
                  <w:vMerge w:val="continue"/>
                  <w:noWrap/>
                  <w:vAlign w:val="center"/>
                </w:tcPr>
                <w:p w14:paraId="7D5600A2">
                  <w:pPr>
                    <w:jc w:val="center"/>
                  </w:pPr>
                </w:p>
              </w:tc>
              <w:tc>
                <w:tcPr>
                  <w:tcW w:w="900" w:type="dxa"/>
                  <w:vMerge w:val="restart"/>
                  <w:noWrap/>
                  <w:vAlign w:val="center"/>
                </w:tcPr>
                <w:p w14:paraId="4EAC6FEF">
                  <w:pPr>
                    <w:jc w:val="center"/>
                  </w:pPr>
                  <w:r>
                    <w:rPr>
                      <w:rFonts w:hint="eastAsia"/>
                    </w:rPr>
                    <w:t>无组织</w:t>
                  </w:r>
                </w:p>
              </w:tc>
              <w:tc>
                <w:tcPr>
                  <w:tcW w:w="1576" w:type="dxa"/>
                  <w:noWrap/>
                  <w:vAlign w:val="center"/>
                </w:tcPr>
                <w:p w14:paraId="3DB8921B">
                  <w:pPr>
                    <w:jc w:val="center"/>
                  </w:pPr>
                  <w:r>
                    <w:rPr>
                      <w:rFonts w:hint="eastAsia"/>
                    </w:rPr>
                    <w:t>粉尘</w:t>
                  </w:r>
                </w:p>
              </w:tc>
              <w:tc>
                <w:tcPr>
                  <w:tcW w:w="2462" w:type="dxa"/>
                  <w:noWrap/>
                  <w:vAlign w:val="center"/>
                </w:tcPr>
                <w:p w14:paraId="57A18842">
                  <w:pPr>
                    <w:jc w:val="center"/>
                    <w:rPr>
                      <w:rFonts w:hint="default" w:eastAsia="宋体"/>
                      <w:lang w:val="en-US" w:eastAsia="zh-CN"/>
                    </w:rPr>
                  </w:pPr>
                  <w:r>
                    <w:rPr>
                      <w:rFonts w:hint="eastAsia"/>
                      <w:sz w:val="21"/>
                      <w:szCs w:val="21"/>
                      <w:lang w:val="en-US" w:eastAsia="zh-CN"/>
                    </w:rPr>
                    <w:t>铝粉膏投料</w:t>
                  </w:r>
                  <w:r>
                    <w:rPr>
                      <w:rFonts w:hint="eastAsia"/>
                    </w:rPr>
                    <w:t>工序</w:t>
                  </w:r>
                </w:p>
              </w:tc>
              <w:tc>
                <w:tcPr>
                  <w:tcW w:w="2491" w:type="dxa"/>
                  <w:noWrap/>
                  <w:vAlign w:val="center"/>
                </w:tcPr>
                <w:p w14:paraId="64E2271A">
                  <w:pPr>
                    <w:jc w:val="center"/>
                  </w:pPr>
                  <w:r>
                    <w:rPr>
                      <w:rFonts w:hint="eastAsia"/>
                    </w:rPr>
                    <w:t>粉尘</w:t>
                  </w:r>
                </w:p>
              </w:tc>
            </w:tr>
            <w:tr w14:paraId="3844E9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905" w:type="dxa"/>
                  <w:vMerge w:val="continue"/>
                  <w:noWrap/>
                  <w:vAlign w:val="center"/>
                </w:tcPr>
                <w:p w14:paraId="3F3773BD">
                  <w:pPr>
                    <w:jc w:val="center"/>
                  </w:pPr>
                </w:p>
              </w:tc>
              <w:tc>
                <w:tcPr>
                  <w:tcW w:w="900" w:type="dxa"/>
                  <w:vMerge w:val="continue"/>
                  <w:noWrap/>
                  <w:vAlign w:val="center"/>
                </w:tcPr>
                <w:p w14:paraId="238F9225">
                  <w:pPr>
                    <w:jc w:val="center"/>
                  </w:pPr>
                </w:p>
              </w:tc>
              <w:tc>
                <w:tcPr>
                  <w:tcW w:w="1576" w:type="dxa"/>
                  <w:noWrap/>
                  <w:vAlign w:val="center"/>
                </w:tcPr>
                <w:p w14:paraId="785B4E58">
                  <w:pPr>
                    <w:jc w:val="center"/>
                    <w:rPr>
                      <w:rFonts w:hint="eastAsia"/>
                      <w:lang w:val="en-US" w:eastAsia="zh-CN"/>
                    </w:rPr>
                  </w:pPr>
                  <w:r>
                    <w:rPr>
                      <w:rFonts w:hint="eastAsia"/>
                    </w:rPr>
                    <w:t>粉尘</w:t>
                  </w:r>
                </w:p>
              </w:tc>
              <w:tc>
                <w:tcPr>
                  <w:tcW w:w="2462" w:type="dxa"/>
                  <w:noWrap/>
                  <w:vAlign w:val="center"/>
                </w:tcPr>
                <w:p w14:paraId="19390624">
                  <w:pPr>
                    <w:jc w:val="center"/>
                    <w:rPr>
                      <w:rFonts w:hint="default"/>
                      <w:lang w:val="en-US" w:eastAsia="zh-CN"/>
                    </w:rPr>
                  </w:pPr>
                  <w:r>
                    <w:rPr>
                      <w:rFonts w:hint="eastAsia"/>
                      <w:sz w:val="21"/>
                      <w:szCs w:val="21"/>
                      <w:lang w:val="en-US" w:eastAsia="zh-CN"/>
                    </w:rPr>
                    <w:t>原料装卸</w:t>
                  </w:r>
                  <w:r>
                    <w:rPr>
                      <w:rFonts w:hint="eastAsia"/>
                      <w:lang w:val="en-US" w:eastAsia="zh-CN"/>
                    </w:rPr>
                    <w:t>工序</w:t>
                  </w:r>
                </w:p>
              </w:tc>
              <w:tc>
                <w:tcPr>
                  <w:tcW w:w="2491" w:type="dxa"/>
                  <w:noWrap/>
                  <w:vAlign w:val="center"/>
                </w:tcPr>
                <w:p w14:paraId="37664F79">
                  <w:pPr>
                    <w:jc w:val="center"/>
                    <w:rPr>
                      <w:rFonts w:hint="eastAsia"/>
                      <w:lang w:val="en-US" w:eastAsia="zh-CN"/>
                    </w:rPr>
                  </w:pPr>
                  <w:r>
                    <w:rPr>
                      <w:rFonts w:hint="eastAsia"/>
                    </w:rPr>
                    <w:t>粉尘</w:t>
                  </w:r>
                </w:p>
              </w:tc>
            </w:tr>
            <w:tr w14:paraId="173B68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905" w:type="dxa"/>
                  <w:vMerge w:val="continue"/>
                  <w:noWrap/>
                  <w:vAlign w:val="center"/>
                </w:tcPr>
                <w:p w14:paraId="49F9E4D4">
                  <w:pPr>
                    <w:jc w:val="center"/>
                  </w:pPr>
                </w:p>
              </w:tc>
              <w:tc>
                <w:tcPr>
                  <w:tcW w:w="900" w:type="dxa"/>
                  <w:vMerge w:val="continue"/>
                  <w:noWrap/>
                  <w:vAlign w:val="center"/>
                </w:tcPr>
                <w:p w14:paraId="130D4AE3">
                  <w:pPr>
                    <w:jc w:val="center"/>
                  </w:pPr>
                </w:p>
              </w:tc>
              <w:tc>
                <w:tcPr>
                  <w:tcW w:w="1576" w:type="dxa"/>
                  <w:noWrap/>
                  <w:vAlign w:val="center"/>
                </w:tcPr>
                <w:p w14:paraId="4A6ED8F1">
                  <w:pPr>
                    <w:jc w:val="center"/>
                    <w:rPr>
                      <w:rFonts w:hint="eastAsia"/>
                      <w:lang w:val="en-US" w:eastAsia="zh-CN"/>
                    </w:rPr>
                  </w:pPr>
                  <w:r>
                    <w:rPr>
                      <w:rFonts w:hint="eastAsia"/>
                    </w:rPr>
                    <w:t>粉尘</w:t>
                  </w:r>
                </w:p>
              </w:tc>
              <w:tc>
                <w:tcPr>
                  <w:tcW w:w="2462" w:type="dxa"/>
                  <w:noWrap/>
                  <w:vAlign w:val="center"/>
                </w:tcPr>
                <w:p w14:paraId="270DD63C">
                  <w:pPr>
                    <w:jc w:val="center"/>
                    <w:rPr>
                      <w:rFonts w:hint="default"/>
                      <w:lang w:val="en-US" w:eastAsia="zh-CN"/>
                    </w:rPr>
                  </w:pPr>
                  <w:r>
                    <w:rPr>
                      <w:rFonts w:hint="eastAsia"/>
                      <w:lang w:val="en-US" w:eastAsia="zh-CN"/>
                    </w:rPr>
                    <w:t>搅拌、</w:t>
                  </w:r>
                  <w:r>
                    <w:rPr>
                      <w:rFonts w:hint="eastAsia"/>
                      <w:sz w:val="21"/>
                      <w:szCs w:val="21"/>
                      <w:lang w:val="en-US" w:eastAsia="zh-CN"/>
                    </w:rPr>
                    <w:t>球磨、切割、破碎、焊接</w:t>
                  </w:r>
                  <w:r>
                    <w:rPr>
                      <w:rFonts w:hint="eastAsia"/>
                      <w:lang w:val="en-US" w:eastAsia="zh-CN"/>
                    </w:rPr>
                    <w:t>工序</w:t>
                  </w:r>
                </w:p>
              </w:tc>
              <w:tc>
                <w:tcPr>
                  <w:tcW w:w="2491" w:type="dxa"/>
                  <w:noWrap/>
                  <w:vAlign w:val="center"/>
                </w:tcPr>
                <w:p w14:paraId="58843969">
                  <w:pPr>
                    <w:jc w:val="center"/>
                    <w:rPr>
                      <w:rFonts w:hint="eastAsia"/>
                      <w:lang w:val="en-US" w:eastAsia="zh-CN"/>
                    </w:rPr>
                  </w:pPr>
                  <w:r>
                    <w:rPr>
                      <w:rFonts w:hint="eastAsia"/>
                    </w:rPr>
                    <w:t>粉尘</w:t>
                  </w:r>
                </w:p>
              </w:tc>
            </w:tr>
            <w:tr w14:paraId="5F3FF9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905" w:type="dxa"/>
                  <w:vMerge w:val="continue"/>
                  <w:noWrap/>
                  <w:vAlign w:val="center"/>
                </w:tcPr>
                <w:p w14:paraId="03268EC9">
                  <w:pPr>
                    <w:jc w:val="center"/>
                  </w:pPr>
                </w:p>
              </w:tc>
              <w:tc>
                <w:tcPr>
                  <w:tcW w:w="900" w:type="dxa"/>
                  <w:vMerge w:val="continue"/>
                  <w:noWrap/>
                  <w:vAlign w:val="center"/>
                </w:tcPr>
                <w:p w14:paraId="4939E425">
                  <w:pPr>
                    <w:jc w:val="center"/>
                  </w:pPr>
                </w:p>
              </w:tc>
              <w:tc>
                <w:tcPr>
                  <w:tcW w:w="1576" w:type="dxa"/>
                  <w:noWrap/>
                  <w:vAlign w:val="center"/>
                </w:tcPr>
                <w:p w14:paraId="67ED1CDF">
                  <w:pPr>
                    <w:jc w:val="center"/>
                    <w:rPr>
                      <w:rFonts w:hint="default" w:eastAsia="宋体"/>
                      <w:lang w:val="en-US" w:eastAsia="zh-CN"/>
                    </w:rPr>
                  </w:pPr>
                  <w:r>
                    <w:rPr>
                      <w:rFonts w:hint="eastAsia"/>
                      <w:lang w:val="en-US" w:eastAsia="zh-CN"/>
                    </w:rPr>
                    <w:t>非甲烷总烃</w:t>
                  </w:r>
                </w:p>
              </w:tc>
              <w:tc>
                <w:tcPr>
                  <w:tcW w:w="2462" w:type="dxa"/>
                  <w:noWrap/>
                  <w:vAlign w:val="center"/>
                </w:tcPr>
                <w:p w14:paraId="7E7B0E7E">
                  <w:pPr>
                    <w:jc w:val="center"/>
                    <w:rPr>
                      <w:rFonts w:hint="default" w:eastAsia="宋体"/>
                      <w:lang w:val="en-US" w:eastAsia="zh-CN"/>
                    </w:rPr>
                  </w:pPr>
                  <w:r>
                    <w:rPr>
                      <w:rFonts w:hint="eastAsia"/>
                      <w:lang w:val="en-US" w:eastAsia="zh-CN"/>
                    </w:rPr>
                    <w:t>防腐、涂蜡工序</w:t>
                  </w:r>
                </w:p>
              </w:tc>
              <w:tc>
                <w:tcPr>
                  <w:tcW w:w="2491" w:type="dxa"/>
                  <w:noWrap/>
                  <w:vAlign w:val="center"/>
                </w:tcPr>
                <w:p w14:paraId="3CE86422">
                  <w:pPr>
                    <w:jc w:val="center"/>
                    <w:rPr>
                      <w:rFonts w:hint="eastAsia"/>
                    </w:rPr>
                  </w:pPr>
                  <w:r>
                    <w:rPr>
                      <w:rFonts w:hint="eastAsia"/>
                      <w:lang w:val="en-US" w:eastAsia="zh-CN"/>
                    </w:rPr>
                    <w:t>非甲烷总烃</w:t>
                  </w:r>
                </w:p>
              </w:tc>
            </w:tr>
            <w:tr w14:paraId="588388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905" w:type="dxa"/>
                  <w:vMerge w:val="continue"/>
                  <w:noWrap/>
                  <w:vAlign w:val="center"/>
                </w:tcPr>
                <w:p w14:paraId="6064E66F">
                  <w:pPr>
                    <w:jc w:val="center"/>
                  </w:pPr>
                </w:p>
              </w:tc>
              <w:tc>
                <w:tcPr>
                  <w:tcW w:w="900" w:type="dxa"/>
                  <w:vMerge w:val="continue"/>
                  <w:noWrap/>
                  <w:vAlign w:val="center"/>
                </w:tcPr>
                <w:p w14:paraId="152E45E4">
                  <w:pPr>
                    <w:jc w:val="center"/>
                  </w:pPr>
                </w:p>
              </w:tc>
              <w:tc>
                <w:tcPr>
                  <w:tcW w:w="1576" w:type="dxa"/>
                  <w:noWrap/>
                  <w:vAlign w:val="center"/>
                </w:tcPr>
                <w:p w14:paraId="480130C4">
                  <w:pPr>
                    <w:jc w:val="center"/>
                  </w:pPr>
                  <w:r>
                    <w:t>汽车运输扬尘</w:t>
                  </w:r>
                </w:p>
              </w:tc>
              <w:tc>
                <w:tcPr>
                  <w:tcW w:w="2462" w:type="dxa"/>
                  <w:noWrap/>
                  <w:vAlign w:val="center"/>
                </w:tcPr>
                <w:p w14:paraId="19D54C77">
                  <w:pPr>
                    <w:jc w:val="center"/>
                  </w:pPr>
                  <w:r>
                    <w:t>厂区运输</w:t>
                  </w:r>
                </w:p>
              </w:tc>
              <w:tc>
                <w:tcPr>
                  <w:tcW w:w="2491" w:type="dxa"/>
                  <w:noWrap/>
                  <w:vAlign w:val="center"/>
                </w:tcPr>
                <w:p w14:paraId="0D349DB5">
                  <w:pPr>
                    <w:jc w:val="center"/>
                  </w:pPr>
                  <w:r>
                    <w:rPr>
                      <w:rFonts w:hint="eastAsia"/>
                    </w:rPr>
                    <w:t>粉尘</w:t>
                  </w:r>
                </w:p>
              </w:tc>
            </w:tr>
            <w:tr w14:paraId="2644588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05" w:type="dxa"/>
                  <w:vMerge w:val="restart"/>
                  <w:noWrap/>
                  <w:vAlign w:val="center"/>
                </w:tcPr>
                <w:p w14:paraId="0FC76DA0">
                  <w:pPr>
                    <w:jc w:val="center"/>
                  </w:pPr>
                  <w:r>
                    <w:t>废水</w:t>
                  </w:r>
                </w:p>
              </w:tc>
              <w:tc>
                <w:tcPr>
                  <w:tcW w:w="2476" w:type="dxa"/>
                  <w:gridSpan w:val="2"/>
                  <w:noWrap/>
                  <w:vAlign w:val="center"/>
                </w:tcPr>
                <w:p w14:paraId="7CEEFFDC">
                  <w:pPr>
                    <w:jc w:val="center"/>
                  </w:pPr>
                  <w:r>
                    <w:t>生产废水</w:t>
                  </w:r>
                </w:p>
              </w:tc>
              <w:tc>
                <w:tcPr>
                  <w:tcW w:w="2462" w:type="dxa"/>
                  <w:noWrap/>
                  <w:vAlign w:val="center"/>
                </w:tcPr>
                <w:p w14:paraId="33A32212">
                  <w:pPr>
                    <w:jc w:val="center"/>
                  </w:pPr>
                  <w:r>
                    <w:rPr>
                      <w:rFonts w:hint="eastAsia"/>
                    </w:rPr>
                    <w:t>无</w:t>
                  </w:r>
                </w:p>
              </w:tc>
              <w:tc>
                <w:tcPr>
                  <w:tcW w:w="2491" w:type="dxa"/>
                  <w:noWrap/>
                  <w:vAlign w:val="center"/>
                </w:tcPr>
                <w:p w14:paraId="01BBBF32">
                  <w:pPr>
                    <w:jc w:val="center"/>
                  </w:pPr>
                  <w:r>
                    <w:t>--</w:t>
                  </w:r>
                </w:p>
              </w:tc>
            </w:tr>
            <w:tr w14:paraId="1DA28F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05" w:type="dxa"/>
                  <w:vMerge w:val="continue"/>
                  <w:noWrap/>
                  <w:vAlign w:val="center"/>
                </w:tcPr>
                <w:p w14:paraId="4A524F1B">
                  <w:pPr>
                    <w:jc w:val="center"/>
                  </w:pPr>
                </w:p>
              </w:tc>
              <w:tc>
                <w:tcPr>
                  <w:tcW w:w="2476" w:type="dxa"/>
                  <w:gridSpan w:val="2"/>
                  <w:noWrap/>
                  <w:vAlign w:val="center"/>
                </w:tcPr>
                <w:p w14:paraId="034D79A5">
                  <w:pPr>
                    <w:jc w:val="center"/>
                  </w:pPr>
                  <w:r>
                    <w:t>生活污水</w:t>
                  </w:r>
                </w:p>
              </w:tc>
              <w:tc>
                <w:tcPr>
                  <w:tcW w:w="2462" w:type="dxa"/>
                  <w:noWrap/>
                  <w:vAlign w:val="center"/>
                </w:tcPr>
                <w:p w14:paraId="7F768FC3">
                  <w:pPr>
                    <w:jc w:val="center"/>
                  </w:pPr>
                  <w:r>
                    <w:t>办公、生活过程</w:t>
                  </w:r>
                </w:p>
              </w:tc>
              <w:tc>
                <w:tcPr>
                  <w:tcW w:w="2491" w:type="dxa"/>
                  <w:noWrap/>
                  <w:vAlign w:val="center"/>
                </w:tcPr>
                <w:p w14:paraId="61BF3244">
                  <w:pPr>
                    <w:jc w:val="center"/>
                  </w:pPr>
                  <w:r>
                    <w:t>SS、COD</w:t>
                  </w:r>
                  <w:r>
                    <w:rPr>
                      <w:vertAlign w:val="subscript"/>
                    </w:rPr>
                    <w:t>Cr</w:t>
                  </w:r>
                  <w:r>
                    <w:t>、BOD</w:t>
                  </w:r>
                  <w:r>
                    <w:rPr>
                      <w:vertAlign w:val="subscript"/>
                    </w:rPr>
                    <w:t>5</w:t>
                  </w:r>
                  <w:r>
                    <w:t>、NH</w:t>
                  </w:r>
                  <w:r>
                    <w:rPr>
                      <w:vertAlign w:val="subscript"/>
                    </w:rPr>
                    <w:t>3</w:t>
                  </w:r>
                  <w:r>
                    <w:t>-N</w:t>
                  </w:r>
                </w:p>
              </w:tc>
            </w:tr>
            <w:tr w14:paraId="49CD99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5" w:type="dxa"/>
                  <w:noWrap/>
                  <w:vAlign w:val="center"/>
                </w:tcPr>
                <w:p w14:paraId="4E865357">
                  <w:pPr>
                    <w:jc w:val="center"/>
                  </w:pPr>
                  <w:r>
                    <w:t>噪声</w:t>
                  </w:r>
                </w:p>
              </w:tc>
              <w:tc>
                <w:tcPr>
                  <w:tcW w:w="2476" w:type="dxa"/>
                  <w:gridSpan w:val="2"/>
                  <w:noWrap/>
                  <w:vAlign w:val="center"/>
                </w:tcPr>
                <w:p w14:paraId="5113E55F">
                  <w:pPr>
                    <w:jc w:val="center"/>
                  </w:pPr>
                  <w:r>
                    <w:t>运转噪声</w:t>
                  </w:r>
                </w:p>
              </w:tc>
              <w:tc>
                <w:tcPr>
                  <w:tcW w:w="2462" w:type="dxa"/>
                  <w:noWrap/>
                  <w:vAlign w:val="center"/>
                </w:tcPr>
                <w:p w14:paraId="7D71C3A8">
                  <w:pPr>
                    <w:jc w:val="center"/>
                  </w:pPr>
                  <w:r>
                    <w:rPr>
                      <w:rFonts w:hint="eastAsia"/>
                      <w:color w:val="auto"/>
                      <w:lang w:val="en-US" w:eastAsia="zh-CN"/>
                    </w:rPr>
                    <w:t>生产设备</w:t>
                  </w:r>
                </w:p>
              </w:tc>
              <w:tc>
                <w:tcPr>
                  <w:tcW w:w="2491" w:type="dxa"/>
                  <w:noWrap/>
                  <w:vAlign w:val="center"/>
                </w:tcPr>
                <w:p w14:paraId="0A7FAF43">
                  <w:pPr>
                    <w:jc w:val="center"/>
                  </w:pPr>
                  <w:r>
                    <w:t>设备运转噪声</w:t>
                  </w:r>
                </w:p>
              </w:tc>
            </w:tr>
            <w:tr w14:paraId="3A3B5D3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5" w:type="dxa"/>
                  <w:vMerge w:val="restart"/>
                  <w:noWrap/>
                  <w:vAlign w:val="center"/>
                </w:tcPr>
                <w:p w14:paraId="19F83EAB">
                  <w:pPr>
                    <w:jc w:val="center"/>
                  </w:pPr>
                  <w:r>
                    <w:t>固废</w:t>
                  </w:r>
                </w:p>
              </w:tc>
              <w:tc>
                <w:tcPr>
                  <w:tcW w:w="2476" w:type="dxa"/>
                  <w:gridSpan w:val="2"/>
                  <w:noWrap/>
                  <w:vAlign w:val="center"/>
                </w:tcPr>
                <w:p w14:paraId="4BEB42CD">
                  <w:pPr>
                    <w:jc w:val="center"/>
                  </w:pPr>
                  <w:r>
                    <w:t>收集粉尘</w:t>
                  </w:r>
                </w:p>
              </w:tc>
              <w:tc>
                <w:tcPr>
                  <w:tcW w:w="2462" w:type="dxa"/>
                  <w:noWrap/>
                  <w:vAlign w:val="center"/>
                </w:tcPr>
                <w:p w14:paraId="0D442727">
                  <w:pPr>
                    <w:jc w:val="center"/>
                  </w:pPr>
                  <w:r>
                    <w:t>除尘器收集的粉尘</w:t>
                  </w:r>
                </w:p>
              </w:tc>
              <w:tc>
                <w:tcPr>
                  <w:tcW w:w="2491" w:type="dxa"/>
                  <w:noWrap/>
                  <w:vAlign w:val="center"/>
                </w:tcPr>
                <w:p w14:paraId="0A423385">
                  <w:pPr>
                    <w:jc w:val="center"/>
                  </w:pPr>
                  <w:r>
                    <w:t>粉尘</w:t>
                  </w:r>
                </w:p>
              </w:tc>
            </w:tr>
            <w:tr w14:paraId="499758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5" w:type="dxa"/>
                  <w:vMerge w:val="continue"/>
                  <w:noWrap/>
                  <w:vAlign w:val="center"/>
                </w:tcPr>
                <w:p w14:paraId="790F72C2">
                  <w:pPr>
                    <w:jc w:val="center"/>
                  </w:pPr>
                </w:p>
              </w:tc>
              <w:tc>
                <w:tcPr>
                  <w:tcW w:w="2476" w:type="dxa"/>
                  <w:gridSpan w:val="2"/>
                  <w:noWrap/>
                  <w:vAlign w:val="center"/>
                </w:tcPr>
                <w:p w14:paraId="225AB827">
                  <w:pPr>
                    <w:jc w:val="center"/>
                    <w:rPr>
                      <w:rFonts w:hint="default" w:eastAsia="宋体"/>
                      <w:lang w:val="en-US" w:eastAsia="zh-CN"/>
                    </w:rPr>
                  </w:pPr>
                  <w:r>
                    <w:rPr>
                      <w:rFonts w:hint="eastAsia"/>
                      <w:lang w:val="en-US" w:eastAsia="zh-CN"/>
                    </w:rPr>
                    <w:t>一般固废</w:t>
                  </w:r>
                </w:p>
              </w:tc>
              <w:tc>
                <w:tcPr>
                  <w:tcW w:w="2462" w:type="dxa"/>
                  <w:noWrap/>
                  <w:vAlign w:val="center"/>
                </w:tcPr>
                <w:p w14:paraId="1C597D16">
                  <w:pPr>
                    <w:jc w:val="center"/>
                    <w:rPr>
                      <w:rFonts w:hint="default"/>
                      <w:lang w:val="en-US" w:eastAsia="zh-CN"/>
                    </w:rPr>
                  </w:pPr>
                  <w:r>
                    <w:rPr>
                      <w:rFonts w:hint="eastAsia"/>
                      <w:lang w:val="en-US" w:eastAsia="zh-CN"/>
                    </w:rPr>
                    <w:t>生产过程</w:t>
                  </w:r>
                </w:p>
              </w:tc>
              <w:tc>
                <w:tcPr>
                  <w:tcW w:w="2491" w:type="dxa"/>
                  <w:noWrap/>
                  <w:vAlign w:val="center"/>
                </w:tcPr>
                <w:p w14:paraId="3E2C9413">
                  <w:pPr>
                    <w:jc w:val="center"/>
                    <w:rPr>
                      <w:rFonts w:hint="default"/>
                      <w:lang w:val="en-US"/>
                    </w:rPr>
                  </w:pPr>
                  <w:r>
                    <w:rPr>
                      <w:rFonts w:hint="eastAsia"/>
                      <w:lang w:val="en-US" w:eastAsia="zh-CN"/>
                    </w:rPr>
                    <w:t>边角料、不合格品、废钢筋</w:t>
                  </w:r>
                </w:p>
              </w:tc>
            </w:tr>
            <w:tr w14:paraId="74C60F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5" w:type="dxa"/>
                  <w:vMerge w:val="continue"/>
                  <w:noWrap/>
                  <w:vAlign w:val="center"/>
                </w:tcPr>
                <w:p w14:paraId="30AFC4AE">
                  <w:pPr>
                    <w:jc w:val="center"/>
                  </w:pPr>
                </w:p>
              </w:tc>
              <w:tc>
                <w:tcPr>
                  <w:tcW w:w="2476" w:type="dxa"/>
                  <w:gridSpan w:val="2"/>
                  <w:noWrap/>
                  <w:vAlign w:val="center"/>
                </w:tcPr>
                <w:p w14:paraId="10CD51A0">
                  <w:pPr>
                    <w:jc w:val="center"/>
                    <w:rPr>
                      <w:rFonts w:hint="default" w:eastAsia="宋体"/>
                      <w:lang w:val="en-US" w:eastAsia="zh-CN"/>
                    </w:rPr>
                  </w:pPr>
                  <w:r>
                    <w:rPr>
                      <w:rFonts w:hint="eastAsia"/>
                      <w:lang w:val="en-US" w:eastAsia="zh-CN"/>
                    </w:rPr>
                    <w:t>废蜡液桶</w:t>
                  </w:r>
                </w:p>
              </w:tc>
              <w:tc>
                <w:tcPr>
                  <w:tcW w:w="2462" w:type="dxa"/>
                  <w:noWrap/>
                  <w:vAlign w:val="center"/>
                </w:tcPr>
                <w:p w14:paraId="3D2BB36B">
                  <w:pPr>
                    <w:jc w:val="center"/>
                    <w:rPr>
                      <w:rFonts w:hint="default" w:eastAsia="宋体"/>
                      <w:lang w:val="en-US" w:eastAsia="zh-CN"/>
                    </w:rPr>
                  </w:pPr>
                  <w:r>
                    <w:rPr>
                      <w:rFonts w:hint="eastAsia"/>
                      <w:lang w:val="en-US" w:eastAsia="zh-CN"/>
                    </w:rPr>
                    <w:t>原料使用过程</w:t>
                  </w:r>
                </w:p>
              </w:tc>
              <w:tc>
                <w:tcPr>
                  <w:tcW w:w="2491" w:type="dxa"/>
                  <w:noWrap/>
                  <w:vAlign w:val="center"/>
                </w:tcPr>
                <w:p w14:paraId="1374DE49">
                  <w:pPr>
                    <w:jc w:val="center"/>
                  </w:pPr>
                  <w:r>
                    <w:rPr>
                      <w:rFonts w:hint="eastAsia"/>
                      <w:lang w:val="en-US" w:eastAsia="zh-CN"/>
                    </w:rPr>
                    <w:t>废蜡液桶</w:t>
                  </w:r>
                </w:p>
              </w:tc>
            </w:tr>
            <w:tr w14:paraId="748C249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5" w:type="dxa"/>
                  <w:vMerge w:val="continue"/>
                  <w:noWrap/>
                  <w:vAlign w:val="center"/>
                </w:tcPr>
                <w:p w14:paraId="23B65996">
                  <w:pPr>
                    <w:jc w:val="center"/>
                  </w:pPr>
                </w:p>
              </w:tc>
              <w:tc>
                <w:tcPr>
                  <w:tcW w:w="2476" w:type="dxa"/>
                  <w:gridSpan w:val="2"/>
                  <w:noWrap/>
                  <w:vAlign w:val="center"/>
                </w:tcPr>
                <w:p w14:paraId="070BAEB7">
                  <w:pPr>
                    <w:jc w:val="center"/>
                    <w:rPr>
                      <w:rFonts w:hint="default"/>
                      <w:snapToGrid w:val="0"/>
                      <w:sz w:val="21"/>
                      <w:szCs w:val="21"/>
                      <w:lang w:val="en-US" w:eastAsia="zh-CN"/>
                    </w:rPr>
                  </w:pPr>
                  <w:r>
                    <w:rPr>
                      <w:rFonts w:hint="eastAsia"/>
                      <w:snapToGrid w:val="0"/>
                      <w:sz w:val="21"/>
                      <w:szCs w:val="21"/>
                      <w:lang w:val="en-US" w:eastAsia="zh-CN"/>
                    </w:rPr>
                    <w:t>废脱模油桶</w:t>
                  </w:r>
                </w:p>
              </w:tc>
              <w:tc>
                <w:tcPr>
                  <w:tcW w:w="2462" w:type="dxa"/>
                  <w:noWrap/>
                  <w:vAlign w:val="center"/>
                </w:tcPr>
                <w:p w14:paraId="74DFABD4">
                  <w:pPr>
                    <w:jc w:val="center"/>
                    <w:rPr>
                      <w:rFonts w:hint="eastAsia"/>
                      <w:snapToGrid w:val="0"/>
                      <w:sz w:val="21"/>
                      <w:szCs w:val="21"/>
                      <w:lang w:val="en-US" w:eastAsia="zh-CN"/>
                    </w:rPr>
                  </w:pPr>
                  <w:r>
                    <w:rPr>
                      <w:rFonts w:hint="eastAsia"/>
                      <w:lang w:val="en-US" w:eastAsia="zh-CN"/>
                    </w:rPr>
                    <w:t>原料使用过程</w:t>
                  </w:r>
                </w:p>
              </w:tc>
              <w:tc>
                <w:tcPr>
                  <w:tcW w:w="2491" w:type="dxa"/>
                  <w:noWrap/>
                  <w:vAlign w:val="center"/>
                </w:tcPr>
                <w:p w14:paraId="5F86DBE3">
                  <w:pPr>
                    <w:jc w:val="center"/>
                    <w:rPr>
                      <w:rFonts w:hint="eastAsia" w:cs="Times New Roman"/>
                      <w:color w:val="000000"/>
                      <w:kern w:val="0"/>
                      <w:sz w:val="21"/>
                      <w:szCs w:val="21"/>
                      <w:lang w:val="en-US" w:eastAsia="zh-CN" w:bidi="ar"/>
                    </w:rPr>
                  </w:pPr>
                  <w:r>
                    <w:rPr>
                      <w:rFonts w:hint="eastAsia"/>
                      <w:snapToGrid w:val="0"/>
                      <w:sz w:val="21"/>
                      <w:szCs w:val="21"/>
                      <w:lang w:val="en-US" w:eastAsia="zh-CN"/>
                    </w:rPr>
                    <w:t>废脱模油桶</w:t>
                  </w:r>
                </w:p>
              </w:tc>
            </w:tr>
            <w:tr w14:paraId="57A4C2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5" w:type="dxa"/>
                  <w:vMerge w:val="continue"/>
                  <w:noWrap/>
                  <w:vAlign w:val="center"/>
                </w:tcPr>
                <w:p w14:paraId="68DC8C55">
                  <w:pPr>
                    <w:jc w:val="center"/>
                  </w:pPr>
                </w:p>
              </w:tc>
              <w:tc>
                <w:tcPr>
                  <w:tcW w:w="2476" w:type="dxa"/>
                  <w:gridSpan w:val="2"/>
                  <w:noWrap/>
                  <w:vAlign w:val="center"/>
                </w:tcPr>
                <w:p w14:paraId="6A229660">
                  <w:pPr>
                    <w:jc w:val="center"/>
                    <w:rPr>
                      <w:rFonts w:hint="default"/>
                      <w:sz w:val="21"/>
                      <w:szCs w:val="21"/>
                      <w:lang w:val="en-US"/>
                    </w:rPr>
                  </w:pPr>
                  <w:r>
                    <w:rPr>
                      <w:rFonts w:hint="eastAsia"/>
                      <w:snapToGrid w:val="0"/>
                      <w:sz w:val="21"/>
                      <w:szCs w:val="21"/>
                      <w:lang w:val="en-US" w:eastAsia="zh-CN"/>
                    </w:rPr>
                    <w:t>废防腐液桶</w:t>
                  </w:r>
                </w:p>
              </w:tc>
              <w:tc>
                <w:tcPr>
                  <w:tcW w:w="2462" w:type="dxa"/>
                  <w:noWrap/>
                  <w:vAlign w:val="center"/>
                </w:tcPr>
                <w:p w14:paraId="3AE04FE8">
                  <w:pPr>
                    <w:jc w:val="center"/>
                    <w:rPr>
                      <w:rFonts w:hint="default"/>
                      <w:sz w:val="21"/>
                      <w:szCs w:val="21"/>
                      <w:lang w:val="en-US" w:eastAsia="zh-CN"/>
                    </w:rPr>
                  </w:pPr>
                  <w:r>
                    <w:rPr>
                      <w:rFonts w:hint="eastAsia"/>
                      <w:snapToGrid w:val="0"/>
                      <w:sz w:val="21"/>
                      <w:szCs w:val="21"/>
                      <w:lang w:val="en-US" w:eastAsia="zh-CN"/>
                    </w:rPr>
                    <w:t>防腐</w:t>
                  </w:r>
                  <w:r>
                    <w:rPr>
                      <w:rFonts w:hint="eastAsia"/>
                      <w:lang w:val="en-US" w:eastAsia="zh-CN"/>
                    </w:rPr>
                    <w:t>原料使用过程</w:t>
                  </w:r>
                </w:p>
              </w:tc>
              <w:tc>
                <w:tcPr>
                  <w:tcW w:w="2491" w:type="dxa"/>
                  <w:noWrap/>
                  <w:vAlign w:val="center"/>
                </w:tcPr>
                <w:p w14:paraId="6B69B8C1">
                  <w:pPr>
                    <w:jc w:val="center"/>
                    <w:rPr>
                      <w:rFonts w:hint="eastAsia"/>
                      <w:sz w:val="21"/>
                      <w:szCs w:val="21"/>
                    </w:rPr>
                  </w:pPr>
                  <w:r>
                    <w:rPr>
                      <w:rFonts w:hint="eastAsia"/>
                      <w:snapToGrid w:val="0"/>
                      <w:sz w:val="21"/>
                      <w:szCs w:val="21"/>
                      <w:lang w:val="en-US" w:eastAsia="zh-CN"/>
                    </w:rPr>
                    <w:t>废防腐液桶</w:t>
                  </w:r>
                </w:p>
              </w:tc>
            </w:tr>
            <w:tr w14:paraId="2EF91B4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5" w:type="dxa"/>
                  <w:vMerge w:val="continue"/>
                  <w:noWrap/>
                  <w:vAlign w:val="center"/>
                </w:tcPr>
                <w:p w14:paraId="406CFE2C">
                  <w:pPr>
                    <w:jc w:val="center"/>
                  </w:pPr>
                </w:p>
              </w:tc>
              <w:tc>
                <w:tcPr>
                  <w:tcW w:w="2476" w:type="dxa"/>
                  <w:gridSpan w:val="2"/>
                  <w:noWrap/>
                  <w:vAlign w:val="center"/>
                </w:tcPr>
                <w:p w14:paraId="73C4FE99">
                  <w:pPr>
                    <w:jc w:val="center"/>
                    <w:rPr>
                      <w:rFonts w:hint="eastAsia"/>
                      <w:snapToGrid w:val="0"/>
                      <w:sz w:val="21"/>
                      <w:szCs w:val="21"/>
                      <w:lang w:val="en-US" w:eastAsia="zh-CN"/>
                    </w:rPr>
                  </w:pPr>
                  <w:r>
                    <w:rPr>
                      <w:rFonts w:hint="eastAsia"/>
                      <w:snapToGrid w:val="0"/>
                      <w:sz w:val="21"/>
                      <w:szCs w:val="21"/>
                      <w:lang w:val="en-US" w:eastAsia="zh-CN"/>
                    </w:rPr>
                    <w:t>设备维修、保养废机油</w:t>
                  </w:r>
                </w:p>
              </w:tc>
              <w:tc>
                <w:tcPr>
                  <w:tcW w:w="2462" w:type="dxa"/>
                  <w:noWrap/>
                  <w:vAlign w:val="center"/>
                </w:tcPr>
                <w:p w14:paraId="71F3F90A">
                  <w:pPr>
                    <w:jc w:val="center"/>
                    <w:rPr>
                      <w:rFonts w:hint="eastAsia"/>
                      <w:sz w:val="21"/>
                      <w:szCs w:val="21"/>
                      <w:lang w:val="en-US" w:eastAsia="zh-CN"/>
                    </w:rPr>
                  </w:pPr>
                  <w:r>
                    <w:rPr>
                      <w:rFonts w:hint="eastAsia"/>
                      <w:snapToGrid w:val="0"/>
                      <w:sz w:val="21"/>
                      <w:szCs w:val="21"/>
                      <w:lang w:val="en-US" w:eastAsia="zh-CN"/>
                    </w:rPr>
                    <w:t>设备维修、保养过程</w:t>
                  </w:r>
                </w:p>
              </w:tc>
              <w:tc>
                <w:tcPr>
                  <w:tcW w:w="2491" w:type="dxa"/>
                  <w:noWrap/>
                  <w:vAlign w:val="center"/>
                </w:tcPr>
                <w:p w14:paraId="68555A6A">
                  <w:pPr>
                    <w:jc w:val="center"/>
                    <w:rPr>
                      <w:rFonts w:hint="eastAsia" w:cs="Times New Roman"/>
                      <w:color w:val="000000"/>
                      <w:kern w:val="0"/>
                      <w:sz w:val="21"/>
                      <w:szCs w:val="21"/>
                      <w:lang w:val="en-US" w:eastAsia="zh-CN" w:bidi="ar"/>
                    </w:rPr>
                  </w:pPr>
                  <w:r>
                    <w:rPr>
                      <w:rFonts w:hint="eastAsia" w:cs="Times New Roman"/>
                      <w:color w:val="000000"/>
                      <w:kern w:val="0"/>
                      <w:sz w:val="21"/>
                      <w:szCs w:val="21"/>
                      <w:lang w:val="en-US" w:eastAsia="zh-CN" w:bidi="ar"/>
                    </w:rPr>
                    <w:t>废机油</w:t>
                  </w:r>
                </w:p>
              </w:tc>
            </w:tr>
            <w:tr w14:paraId="4D2C75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5" w:type="dxa"/>
                  <w:vMerge w:val="continue"/>
                  <w:noWrap/>
                  <w:vAlign w:val="center"/>
                </w:tcPr>
                <w:p w14:paraId="5577AF51">
                  <w:pPr>
                    <w:jc w:val="center"/>
                  </w:pPr>
                </w:p>
              </w:tc>
              <w:tc>
                <w:tcPr>
                  <w:tcW w:w="2476" w:type="dxa"/>
                  <w:gridSpan w:val="2"/>
                  <w:noWrap/>
                  <w:vAlign w:val="center"/>
                </w:tcPr>
                <w:p w14:paraId="7B5A756A">
                  <w:pPr>
                    <w:jc w:val="center"/>
                    <w:rPr>
                      <w:rFonts w:hint="default"/>
                      <w:snapToGrid w:val="0"/>
                      <w:sz w:val="21"/>
                      <w:szCs w:val="21"/>
                      <w:lang w:val="en-US" w:eastAsia="zh-CN"/>
                    </w:rPr>
                  </w:pPr>
                  <w:r>
                    <w:rPr>
                      <w:rFonts w:hint="eastAsia"/>
                      <w:snapToGrid w:val="0"/>
                      <w:sz w:val="21"/>
                      <w:szCs w:val="21"/>
                      <w:lang w:val="en-US" w:eastAsia="zh-CN"/>
                    </w:rPr>
                    <w:t>有机废气处理</w:t>
                  </w:r>
                </w:p>
              </w:tc>
              <w:tc>
                <w:tcPr>
                  <w:tcW w:w="2462" w:type="dxa"/>
                  <w:noWrap/>
                  <w:vAlign w:val="center"/>
                </w:tcPr>
                <w:p w14:paraId="3546CFF1">
                  <w:pPr>
                    <w:jc w:val="center"/>
                    <w:rPr>
                      <w:rFonts w:hint="default"/>
                      <w:snapToGrid w:val="0"/>
                      <w:sz w:val="21"/>
                      <w:szCs w:val="21"/>
                      <w:lang w:val="en-US" w:eastAsia="zh-CN"/>
                    </w:rPr>
                  </w:pPr>
                  <w:r>
                    <w:rPr>
                      <w:rFonts w:hint="eastAsia"/>
                      <w:snapToGrid w:val="0"/>
                      <w:sz w:val="21"/>
                      <w:szCs w:val="21"/>
                      <w:lang w:val="en-US" w:eastAsia="zh-CN"/>
                    </w:rPr>
                    <w:t>有机废气处理工程</w:t>
                  </w:r>
                </w:p>
              </w:tc>
              <w:tc>
                <w:tcPr>
                  <w:tcW w:w="2491" w:type="dxa"/>
                  <w:noWrap/>
                  <w:vAlign w:val="center"/>
                </w:tcPr>
                <w:p w14:paraId="76AA86E6">
                  <w:pPr>
                    <w:jc w:val="center"/>
                    <w:rPr>
                      <w:rFonts w:hint="default" w:cs="Times New Roman"/>
                      <w:color w:val="000000"/>
                      <w:kern w:val="0"/>
                      <w:sz w:val="21"/>
                      <w:szCs w:val="21"/>
                      <w:lang w:val="en-US" w:eastAsia="zh-CN" w:bidi="ar"/>
                    </w:rPr>
                  </w:pPr>
                  <w:r>
                    <w:rPr>
                      <w:rFonts w:hint="eastAsia" w:cs="Times New Roman"/>
                      <w:color w:val="000000"/>
                      <w:kern w:val="0"/>
                      <w:sz w:val="21"/>
                      <w:szCs w:val="21"/>
                      <w:lang w:val="en-US" w:eastAsia="zh-CN" w:bidi="ar"/>
                    </w:rPr>
                    <w:t>废活性炭</w:t>
                  </w:r>
                </w:p>
              </w:tc>
            </w:tr>
            <w:tr w14:paraId="3A3ED0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5" w:type="dxa"/>
                  <w:vMerge w:val="continue"/>
                  <w:noWrap/>
                  <w:vAlign w:val="center"/>
                </w:tcPr>
                <w:p w14:paraId="5F7051E2">
                  <w:pPr>
                    <w:jc w:val="center"/>
                  </w:pPr>
                </w:p>
              </w:tc>
              <w:tc>
                <w:tcPr>
                  <w:tcW w:w="2476" w:type="dxa"/>
                  <w:gridSpan w:val="2"/>
                  <w:noWrap/>
                  <w:vAlign w:val="center"/>
                </w:tcPr>
                <w:p w14:paraId="49467E09">
                  <w:pPr>
                    <w:jc w:val="center"/>
                  </w:pPr>
                  <w:r>
                    <w:t>生活垃圾</w:t>
                  </w:r>
                </w:p>
              </w:tc>
              <w:tc>
                <w:tcPr>
                  <w:tcW w:w="2462" w:type="dxa"/>
                  <w:noWrap/>
                  <w:vAlign w:val="center"/>
                </w:tcPr>
                <w:p w14:paraId="6396CCCB">
                  <w:pPr>
                    <w:jc w:val="center"/>
                  </w:pPr>
                  <w:r>
                    <w:t>生活、办公过程</w:t>
                  </w:r>
                </w:p>
              </w:tc>
              <w:tc>
                <w:tcPr>
                  <w:tcW w:w="2491" w:type="dxa"/>
                  <w:noWrap/>
                  <w:vAlign w:val="center"/>
                </w:tcPr>
                <w:p w14:paraId="226421B7">
                  <w:pPr>
                    <w:jc w:val="center"/>
                  </w:pPr>
                  <w:r>
                    <w:t>生活垃圾</w:t>
                  </w:r>
                </w:p>
              </w:tc>
            </w:tr>
            <w:tr w14:paraId="03A00BA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5" w:type="dxa"/>
                  <w:noWrap/>
                  <w:vAlign w:val="center"/>
                </w:tcPr>
                <w:p w14:paraId="1FA0A1CA">
                  <w:pPr>
                    <w:jc w:val="center"/>
                  </w:pPr>
                  <w:r>
                    <w:t>生态</w:t>
                  </w:r>
                </w:p>
              </w:tc>
              <w:tc>
                <w:tcPr>
                  <w:tcW w:w="7429" w:type="dxa"/>
                  <w:gridSpan w:val="4"/>
                  <w:noWrap/>
                  <w:vAlign w:val="center"/>
                </w:tcPr>
                <w:p w14:paraId="5BF2A487">
                  <w:pPr>
                    <w:jc w:val="center"/>
                  </w:pPr>
                  <w:r>
                    <w:t>项目运营期基本不对当地生态环境产生影响，且种植的绿化面积可改善此区域的生态环境</w:t>
                  </w:r>
                </w:p>
              </w:tc>
            </w:tr>
          </w:tbl>
          <w:p w14:paraId="4AF3BAFE">
            <w:pPr>
              <w:overflowPunct w:val="0"/>
              <w:rPr>
                <w:bCs/>
              </w:rPr>
            </w:pPr>
          </w:p>
        </w:tc>
      </w:tr>
      <w:tr w14:paraId="338312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434" w:type="dxa"/>
            <w:vAlign w:val="center"/>
          </w:tcPr>
          <w:p w14:paraId="7F10ECE7">
            <w:pPr>
              <w:pStyle w:val="21"/>
              <w:overflowPunct w:val="0"/>
              <w:spacing w:before="0" w:beforeAutospacing="0" w:after="0" w:afterAutospacing="0"/>
              <w:jc w:val="center"/>
              <w:rPr>
                <w:rFonts w:ascii="Times New Roman" w:hAnsi="Times New Roman"/>
                <w:sz w:val="24"/>
                <w:szCs w:val="24"/>
              </w:rPr>
            </w:pPr>
            <w:r>
              <w:rPr>
                <w:rFonts w:ascii="Times New Roman" w:hAnsi="Times New Roman"/>
                <w:bCs/>
                <w:kern w:val="2"/>
                <w:sz w:val="24"/>
                <w:szCs w:val="24"/>
              </w:rPr>
              <w:t>与项目有关的原有环境污染问题</w:t>
            </w:r>
          </w:p>
        </w:tc>
        <w:tc>
          <w:tcPr>
            <w:tcW w:w="8550" w:type="dxa"/>
          </w:tcPr>
          <w:p w14:paraId="478BBD23">
            <w:pPr>
              <w:overflowPunct w:val="0"/>
              <w:spacing w:line="360" w:lineRule="auto"/>
              <w:ind w:firstLine="480" w:firstLineChars="200"/>
              <w:rPr>
                <w:bCs/>
                <w:sz w:val="24"/>
                <w:szCs w:val="24"/>
              </w:rPr>
            </w:pPr>
            <w:r>
              <w:rPr>
                <w:rFonts w:hint="eastAsia"/>
                <w:bCs/>
                <w:sz w:val="24"/>
                <w:szCs w:val="24"/>
              </w:rPr>
              <w:t>本项</w:t>
            </w:r>
            <w:r>
              <w:rPr>
                <w:rFonts w:hint="eastAsia" w:ascii="Times New Roman" w:hAnsi="Times New Roman" w:eastAsia="宋体" w:cs="Times New Roman"/>
                <w:sz w:val="24"/>
                <w:szCs w:val="24"/>
                <w:lang w:val="en-US" w:eastAsia="zh-CN"/>
              </w:rPr>
              <w:t>目位</w:t>
            </w:r>
            <w:r>
              <w:rPr>
                <w:rFonts w:hint="eastAsia"/>
                <w:bCs/>
                <w:sz w:val="24"/>
                <w:szCs w:val="24"/>
              </w:rPr>
              <w:t>于</w:t>
            </w:r>
            <w:r>
              <w:rPr>
                <w:rFonts w:hint="eastAsia"/>
                <w:sz w:val="24"/>
                <w:szCs w:val="24"/>
                <w:lang w:val="en-US" w:eastAsia="zh-CN"/>
              </w:rPr>
              <w:t>胡杨河经济技术开发区大道18号，本项目为新建，</w:t>
            </w:r>
            <w:r>
              <w:rPr>
                <w:rFonts w:hint="eastAsia"/>
                <w:bCs/>
                <w:sz w:val="24"/>
                <w:szCs w:val="24"/>
              </w:rPr>
              <w:t>根据实地勘踏，项目区周边无学校、医院、自然保护区、风景名胜区、军事基地等环境敏感点，不占用基本农田，周边环境质量良好，不存在与本项目有关的原有污染情况及主要环境问题。</w:t>
            </w:r>
          </w:p>
        </w:tc>
      </w:tr>
    </w:tbl>
    <w:p w14:paraId="4B9F8D9A">
      <w:pPr>
        <w:pStyle w:val="21"/>
        <w:spacing w:before="0" w:beforeAutospacing="0" w:after="0" w:afterAutospacing="0"/>
        <w:jc w:val="center"/>
        <w:rPr>
          <w:rFonts w:ascii="Times New Roman" w:hAnsi="Times New Roman"/>
          <w:snapToGrid w:val="0"/>
          <w:sz w:val="21"/>
          <w:szCs w:val="21"/>
        </w:rPr>
        <w:sectPr>
          <w:pgSz w:w="11905" w:h="16838"/>
          <w:pgMar w:top="1701" w:right="1531" w:bottom="1701" w:left="1531" w:header="851" w:footer="850" w:gutter="0"/>
          <w:pgBorders>
            <w:top w:val="none" w:sz="0" w:space="0"/>
            <w:left w:val="none" w:sz="0" w:space="0"/>
            <w:bottom w:val="none" w:sz="0" w:space="0"/>
            <w:right w:val="none" w:sz="0" w:space="0"/>
          </w:pgBorders>
          <w:cols w:space="0" w:num="1"/>
          <w:docGrid w:type="lines" w:linePitch="312" w:charSpace="0"/>
        </w:sectPr>
      </w:pPr>
    </w:p>
    <w:p w14:paraId="3A7DB929">
      <w:pPr>
        <w:pStyle w:val="21"/>
        <w:spacing w:before="0" w:beforeAutospacing="0" w:after="0" w:afterAutospacing="0"/>
        <w:jc w:val="center"/>
        <w:outlineLvl w:val="0"/>
        <w:rPr>
          <w:rFonts w:ascii="Times New Roman" w:hAnsi="Times New Roman"/>
          <w:snapToGrid w:val="0"/>
          <w:sz w:val="21"/>
          <w:szCs w:val="21"/>
        </w:rPr>
      </w:pPr>
      <w:r>
        <w:rPr>
          <w:rFonts w:hint="eastAsia" w:ascii="Times New Roman" w:hAnsi="Times New Roman"/>
          <w:b/>
          <w:bCs/>
          <w:snapToGrid w:val="0"/>
          <w:sz w:val="30"/>
          <w:szCs w:val="30"/>
        </w:rPr>
        <w:t>三、区域环境质量现状、环境保护目标及评价标准</w:t>
      </w:r>
    </w:p>
    <w:tbl>
      <w:tblPr>
        <w:tblStyle w:val="24"/>
        <w:tblW w:w="900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563"/>
      </w:tblGrid>
      <w:tr w14:paraId="5DDA56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456" w:type="dxa"/>
            <w:vAlign w:val="center"/>
          </w:tcPr>
          <w:p w14:paraId="69BFA003">
            <w:pPr>
              <w:jc w:val="center"/>
              <w:rPr>
                <w:kern w:val="0"/>
                <w:sz w:val="24"/>
                <w:szCs w:val="24"/>
              </w:rPr>
            </w:pPr>
            <w:r>
              <w:rPr>
                <w:kern w:val="0"/>
                <w:sz w:val="24"/>
                <w:szCs w:val="24"/>
              </w:rPr>
              <w:t>区域</w:t>
            </w:r>
          </w:p>
          <w:p w14:paraId="4B21AD4B">
            <w:pPr>
              <w:jc w:val="center"/>
              <w:rPr>
                <w:kern w:val="0"/>
                <w:sz w:val="24"/>
                <w:szCs w:val="24"/>
              </w:rPr>
            </w:pPr>
            <w:r>
              <w:rPr>
                <w:kern w:val="0"/>
                <w:sz w:val="24"/>
                <w:szCs w:val="24"/>
              </w:rPr>
              <w:t>环境</w:t>
            </w:r>
          </w:p>
          <w:p w14:paraId="368C2F15">
            <w:pPr>
              <w:jc w:val="center"/>
              <w:rPr>
                <w:kern w:val="0"/>
                <w:sz w:val="24"/>
                <w:szCs w:val="24"/>
              </w:rPr>
            </w:pPr>
            <w:r>
              <w:rPr>
                <w:kern w:val="0"/>
                <w:sz w:val="24"/>
                <w:szCs w:val="24"/>
              </w:rPr>
              <w:t>质量</w:t>
            </w:r>
          </w:p>
          <w:p w14:paraId="75D521C3">
            <w:pPr>
              <w:jc w:val="center"/>
              <w:rPr>
                <w:kern w:val="0"/>
              </w:rPr>
            </w:pPr>
            <w:r>
              <w:rPr>
                <w:kern w:val="0"/>
                <w:sz w:val="24"/>
                <w:szCs w:val="24"/>
              </w:rPr>
              <w:t>现状</w:t>
            </w:r>
          </w:p>
        </w:tc>
        <w:tc>
          <w:tcPr>
            <w:tcW w:w="8553" w:type="dxa"/>
            <w:vAlign w:val="center"/>
          </w:tcPr>
          <w:p w14:paraId="7D8A948A">
            <w:pPr>
              <w:spacing w:line="360" w:lineRule="auto"/>
              <w:ind w:firstLine="480" w:firstLineChars="200"/>
              <w:rPr>
                <w:sz w:val="24"/>
                <w:szCs w:val="24"/>
              </w:rPr>
            </w:pPr>
            <w:r>
              <w:rPr>
                <w:sz w:val="24"/>
                <w:szCs w:val="24"/>
              </w:rPr>
              <w:t>为了解项目所在区域的环境质量现状情况，结合区域的自然环境特征和本项目的工程污染源特征，对大气环境、水环境、声环境质量现状进行调查和评价。</w:t>
            </w:r>
          </w:p>
          <w:p w14:paraId="012F4649">
            <w:pPr>
              <w:spacing w:line="360" w:lineRule="auto"/>
              <w:rPr>
                <w:b/>
                <w:sz w:val="24"/>
                <w:szCs w:val="24"/>
              </w:rPr>
            </w:pPr>
            <w:r>
              <w:rPr>
                <w:b/>
                <w:sz w:val="24"/>
                <w:szCs w:val="24"/>
              </w:rPr>
              <w:t>1</w:t>
            </w:r>
            <w:r>
              <w:rPr>
                <w:rFonts w:hint="eastAsia"/>
                <w:b/>
                <w:sz w:val="24"/>
                <w:szCs w:val="24"/>
              </w:rPr>
              <w:t>.</w:t>
            </w:r>
            <w:r>
              <w:rPr>
                <w:b/>
                <w:sz w:val="24"/>
                <w:szCs w:val="24"/>
              </w:rPr>
              <w:t>环境空气质量现状调查及评价</w:t>
            </w:r>
          </w:p>
          <w:p w14:paraId="236648E4">
            <w:pPr>
              <w:pStyle w:val="21"/>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firstLine="482" w:firstLineChars="0"/>
              <w:jc w:val="both"/>
              <w:textAlignment w:val="auto"/>
              <w:rPr>
                <w:rFonts w:hint="default" w:ascii="Times New Roman" w:hAnsi="宋体" w:cs="Times New Roman"/>
                <w:color w:val="auto"/>
                <w:spacing w:val="0"/>
                <w:kern w:val="2"/>
                <w:position w:val="0"/>
                <w:sz w:val="24"/>
                <w:szCs w:val="24"/>
                <w:highlight w:val="none"/>
              </w:rPr>
            </w:pPr>
            <w:r>
              <w:rPr>
                <w:rFonts w:hint="eastAsia" w:ascii="宋体" w:hAnsi="宋体" w:eastAsia="宋体" w:cs="宋体"/>
                <w:color w:val="auto"/>
                <w:spacing w:val="0"/>
                <w:kern w:val="2"/>
                <w:position w:val="0"/>
                <w:sz w:val="24"/>
                <w:szCs w:val="24"/>
                <w:highlight w:val="none"/>
                <w:lang w:val="en-US" w:eastAsia="zh-CN" w:bidi="ar"/>
              </w:rPr>
              <w:t>根据《建设项目环境影响报告表编制技术指南（污染影响类）（试行）》常规污染物引用与建设项目距离近的有效数据，包括近</w:t>
            </w:r>
            <w:r>
              <w:rPr>
                <w:rFonts w:hint="default" w:ascii="Times New Roman" w:hAnsi="宋体" w:cs="Times New Roman"/>
                <w:color w:val="auto"/>
                <w:spacing w:val="0"/>
                <w:kern w:val="2"/>
                <w:position w:val="0"/>
                <w:sz w:val="24"/>
                <w:szCs w:val="24"/>
                <w:highlight w:val="none"/>
                <w:lang w:val="en-US" w:eastAsia="zh-CN" w:bidi="ar"/>
              </w:rPr>
              <w:t>3</w:t>
            </w:r>
            <w:r>
              <w:rPr>
                <w:rFonts w:hint="eastAsia" w:ascii="宋体" w:hAnsi="宋体" w:eastAsia="宋体" w:cs="宋体"/>
                <w:color w:val="auto"/>
                <w:spacing w:val="0"/>
                <w:kern w:val="2"/>
                <w:position w:val="0"/>
                <w:sz w:val="24"/>
                <w:szCs w:val="24"/>
                <w:highlight w:val="none"/>
                <w:lang w:val="en-US" w:eastAsia="zh-CN" w:bidi="ar"/>
              </w:rPr>
              <w:t>年的规划环境影响评价的监测数据，国家、地方环境空气质量监测网数据或生态环境主管部门公开发布的质量数据等。本次评价采用距离本项目区最近的胡杨河空气自动站</w:t>
            </w:r>
            <w:r>
              <w:rPr>
                <w:rFonts w:hint="default" w:ascii="Times New Roman" w:hAnsi="Times New Roman" w:eastAsia="宋体" w:cs="Times New Roman"/>
                <w:color w:val="auto"/>
                <w:spacing w:val="0"/>
                <w:kern w:val="2"/>
                <w:position w:val="0"/>
                <w:sz w:val="24"/>
                <w:szCs w:val="24"/>
                <w:highlight w:val="none"/>
                <w:lang w:val="en-US" w:eastAsia="zh-CN" w:bidi="ar"/>
              </w:rPr>
              <w:t>2022</w:t>
            </w:r>
            <w:r>
              <w:rPr>
                <w:rFonts w:hint="eastAsia" w:ascii="宋体" w:hAnsi="宋体" w:eastAsia="宋体" w:cs="宋体"/>
                <w:color w:val="auto"/>
                <w:spacing w:val="0"/>
                <w:kern w:val="2"/>
                <w:position w:val="0"/>
                <w:sz w:val="24"/>
                <w:szCs w:val="24"/>
                <w:highlight w:val="none"/>
                <w:lang w:val="en-US" w:eastAsia="zh-CN" w:bidi="ar"/>
              </w:rPr>
              <w:t>年监测数据作为环境空气现状评价基本污染物</w:t>
            </w:r>
            <w:r>
              <w:rPr>
                <w:rFonts w:hint="default" w:ascii="Times New Roman" w:hAnsi="宋体" w:cs="Times New Roman"/>
                <w:color w:val="auto"/>
                <w:spacing w:val="0"/>
                <w:kern w:val="2"/>
                <w:position w:val="0"/>
                <w:sz w:val="24"/>
                <w:szCs w:val="24"/>
                <w:highlight w:val="none"/>
                <w:lang w:val="en-US" w:eastAsia="zh-CN" w:bidi="ar"/>
              </w:rPr>
              <w:t>SO</w:t>
            </w:r>
            <w:r>
              <w:rPr>
                <w:rFonts w:hint="default" w:ascii="Times New Roman" w:hAnsi="宋体" w:cs="Times New Roman"/>
                <w:color w:val="auto"/>
                <w:spacing w:val="0"/>
                <w:kern w:val="2"/>
                <w:position w:val="0"/>
                <w:sz w:val="24"/>
                <w:szCs w:val="24"/>
                <w:highlight w:val="none"/>
                <w:vertAlign w:val="subscript"/>
                <w:lang w:val="en-US" w:eastAsia="zh-CN" w:bidi="ar"/>
              </w:rPr>
              <w:t>2</w:t>
            </w:r>
            <w:r>
              <w:rPr>
                <w:rFonts w:hint="eastAsia" w:ascii="宋体" w:hAnsi="宋体" w:eastAsia="宋体" w:cs="宋体"/>
                <w:color w:val="auto"/>
                <w:spacing w:val="0"/>
                <w:kern w:val="2"/>
                <w:position w:val="0"/>
                <w:sz w:val="24"/>
                <w:szCs w:val="24"/>
                <w:highlight w:val="none"/>
                <w:lang w:val="en-US" w:eastAsia="zh-CN" w:bidi="ar"/>
              </w:rPr>
              <w:t>、</w:t>
            </w:r>
            <w:r>
              <w:rPr>
                <w:rFonts w:hint="default" w:ascii="Times New Roman" w:hAnsi="宋体" w:cs="Times New Roman"/>
                <w:color w:val="auto"/>
                <w:spacing w:val="0"/>
                <w:kern w:val="2"/>
                <w:position w:val="0"/>
                <w:sz w:val="24"/>
                <w:szCs w:val="24"/>
                <w:highlight w:val="none"/>
                <w:lang w:val="en-US" w:eastAsia="zh-CN" w:bidi="ar"/>
              </w:rPr>
              <w:t>NO</w:t>
            </w:r>
            <w:r>
              <w:rPr>
                <w:rFonts w:hint="default" w:ascii="Times New Roman" w:hAnsi="宋体" w:cs="Times New Roman"/>
                <w:color w:val="auto"/>
                <w:spacing w:val="0"/>
                <w:kern w:val="2"/>
                <w:position w:val="0"/>
                <w:sz w:val="24"/>
                <w:szCs w:val="24"/>
                <w:highlight w:val="none"/>
                <w:vertAlign w:val="subscript"/>
                <w:lang w:val="en-US" w:eastAsia="zh-CN" w:bidi="ar"/>
              </w:rPr>
              <w:t>2</w:t>
            </w:r>
            <w:r>
              <w:rPr>
                <w:rFonts w:hint="eastAsia" w:ascii="宋体" w:hAnsi="宋体" w:eastAsia="宋体" w:cs="宋体"/>
                <w:color w:val="auto"/>
                <w:spacing w:val="0"/>
                <w:kern w:val="2"/>
                <w:position w:val="0"/>
                <w:sz w:val="24"/>
                <w:szCs w:val="24"/>
                <w:highlight w:val="none"/>
                <w:lang w:val="en-US" w:eastAsia="zh-CN" w:bidi="ar"/>
              </w:rPr>
              <w:t>、</w:t>
            </w:r>
            <w:r>
              <w:rPr>
                <w:rFonts w:hint="default" w:ascii="Times New Roman" w:hAnsi="宋体" w:cs="Times New Roman"/>
                <w:color w:val="auto"/>
                <w:spacing w:val="0"/>
                <w:kern w:val="2"/>
                <w:position w:val="0"/>
                <w:sz w:val="24"/>
                <w:szCs w:val="24"/>
                <w:highlight w:val="none"/>
                <w:lang w:val="en-US" w:eastAsia="zh-CN" w:bidi="ar"/>
              </w:rPr>
              <w:t>PM</w:t>
            </w:r>
            <w:r>
              <w:rPr>
                <w:rFonts w:hint="default" w:ascii="Times New Roman" w:hAnsi="宋体" w:cs="Times New Roman"/>
                <w:color w:val="auto"/>
                <w:spacing w:val="0"/>
                <w:kern w:val="2"/>
                <w:position w:val="0"/>
                <w:sz w:val="24"/>
                <w:szCs w:val="24"/>
                <w:highlight w:val="none"/>
                <w:vertAlign w:val="subscript"/>
                <w:lang w:val="en-US" w:eastAsia="zh-CN" w:bidi="ar"/>
              </w:rPr>
              <w:t>10</w:t>
            </w:r>
            <w:r>
              <w:rPr>
                <w:rFonts w:hint="eastAsia" w:ascii="宋体" w:hAnsi="宋体" w:eastAsia="宋体" w:cs="宋体"/>
                <w:color w:val="auto"/>
                <w:spacing w:val="0"/>
                <w:kern w:val="2"/>
                <w:position w:val="0"/>
                <w:sz w:val="24"/>
                <w:szCs w:val="24"/>
                <w:highlight w:val="none"/>
                <w:lang w:val="en-US" w:eastAsia="zh-CN" w:bidi="ar"/>
              </w:rPr>
              <w:t>、</w:t>
            </w:r>
            <w:r>
              <w:rPr>
                <w:rFonts w:hint="default" w:ascii="Times New Roman" w:hAnsi="宋体" w:cs="Times New Roman"/>
                <w:color w:val="auto"/>
                <w:spacing w:val="0"/>
                <w:kern w:val="2"/>
                <w:position w:val="0"/>
                <w:sz w:val="24"/>
                <w:szCs w:val="24"/>
                <w:highlight w:val="none"/>
                <w:lang w:val="en-US" w:eastAsia="zh-CN" w:bidi="ar"/>
              </w:rPr>
              <w:t>PM</w:t>
            </w:r>
            <w:r>
              <w:rPr>
                <w:rFonts w:hint="default" w:ascii="Times New Roman" w:hAnsi="宋体" w:cs="Times New Roman"/>
                <w:color w:val="auto"/>
                <w:spacing w:val="0"/>
                <w:kern w:val="2"/>
                <w:position w:val="0"/>
                <w:sz w:val="24"/>
                <w:szCs w:val="24"/>
                <w:highlight w:val="none"/>
                <w:vertAlign w:val="subscript"/>
                <w:lang w:val="en-US" w:eastAsia="zh-CN" w:bidi="ar"/>
              </w:rPr>
              <w:t>2.5</w:t>
            </w:r>
            <w:r>
              <w:rPr>
                <w:rFonts w:hint="eastAsia" w:ascii="宋体" w:hAnsi="宋体" w:eastAsia="宋体" w:cs="宋体"/>
                <w:color w:val="auto"/>
                <w:spacing w:val="0"/>
                <w:kern w:val="2"/>
                <w:position w:val="0"/>
                <w:sz w:val="24"/>
                <w:szCs w:val="24"/>
                <w:highlight w:val="none"/>
                <w:lang w:val="en-US" w:eastAsia="zh-CN" w:bidi="ar"/>
              </w:rPr>
              <w:t>、</w:t>
            </w:r>
            <w:r>
              <w:rPr>
                <w:rFonts w:hint="default" w:ascii="Times New Roman" w:hAnsi="宋体" w:cs="Times New Roman"/>
                <w:color w:val="auto"/>
                <w:spacing w:val="0"/>
                <w:kern w:val="2"/>
                <w:position w:val="0"/>
                <w:sz w:val="24"/>
                <w:szCs w:val="24"/>
                <w:highlight w:val="none"/>
                <w:lang w:val="en-US" w:eastAsia="zh-CN" w:bidi="ar"/>
              </w:rPr>
              <w:t>CO</w:t>
            </w:r>
            <w:r>
              <w:rPr>
                <w:rFonts w:hint="eastAsia" w:ascii="宋体" w:hAnsi="宋体" w:eastAsia="宋体" w:cs="宋体"/>
                <w:color w:val="auto"/>
                <w:spacing w:val="0"/>
                <w:kern w:val="2"/>
                <w:position w:val="0"/>
                <w:sz w:val="24"/>
                <w:szCs w:val="24"/>
                <w:highlight w:val="none"/>
                <w:lang w:val="en-US" w:eastAsia="zh-CN" w:bidi="ar"/>
              </w:rPr>
              <w:t>和</w:t>
            </w:r>
            <w:r>
              <w:rPr>
                <w:rFonts w:hint="default" w:ascii="Times New Roman" w:hAnsi="Times New Roman" w:cs="Times New Roman"/>
                <w:color w:val="auto"/>
                <w:spacing w:val="0"/>
                <w:kern w:val="2"/>
                <w:position w:val="0"/>
                <w:sz w:val="24"/>
                <w:szCs w:val="24"/>
                <w:highlight w:val="none"/>
                <w:lang w:val="en-US" w:eastAsia="zh-CN" w:bidi="ar"/>
              </w:rPr>
              <w:t>O</w:t>
            </w:r>
            <w:r>
              <w:rPr>
                <w:rFonts w:hint="default" w:ascii="Times New Roman" w:hAnsi="宋体" w:cs="Times New Roman"/>
                <w:color w:val="auto"/>
                <w:spacing w:val="0"/>
                <w:kern w:val="2"/>
                <w:position w:val="0"/>
                <w:sz w:val="24"/>
                <w:szCs w:val="24"/>
                <w:highlight w:val="none"/>
                <w:vertAlign w:val="subscript"/>
                <w:lang w:val="en-US" w:eastAsia="zh-CN" w:bidi="ar"/>
              </w:rPr>
              <w:t>3</w:t>
            </w:r>
            <w:r>
              <w:rPr>
                <w:rFonts w:hint="eastAsia" w:ascii="宋体" w:hAnsi="宋体" w:eastAsia="宋体" w:cs="宋体"/>
                <w:color w:val="auto"/>
                <w:spacing w:val="0"/>
                <w:kern w:val="2"/>
                <w:position w:val="0"/>
                <w:sz w:val="24"/>
                <w:szCs w:val="24"/>
                <w:highlight w:val="none"/>
                <w:lang w:val="en-US" w:eastAsia="zh-CN" w:bidi="ar"/>
              </w:rPr>
              <w:t>的数据来源。</w:t>
            </w:r>
          </w:p>
          <w:p w14:paraId="2332846E">
            <w:pPr>
              <w:pStyle w:val="21"/>
              <w:keepNext w:val="0"/>
              <w:keepLines w:val="0"/>
              <w:pageBreakBefore w:val="0"/>
              <w:widowControl w:val="0"/>
              <w:suppressLineNumbers w:val="0"/>
              <w:kinsoku/>
              <w:overflowPunct/>
              <w:autoSpaceDE/>
              <w:autoSpaceDN/>
              <w:bidi w:val="0"/>
              <w:adjustRightInd/>
              <w:snapToGrid/>
              <w:spacing w:before="0" w:beforeAutospacing="0" w:after="0" w:afterAutospacing="0" w:line="360" w:lineRule="auto"/>
              <w:ind w:left="0" w:right="0" w:firstLine="480" w:firstLineChars="0"/>
              <w:jc w:val="both"/>
              <w:textAlignment w:val="auto"/>
              <w:rPr>
                <w:rFonts w:hint="default" w:ascii="Times New Roman" w:hAnsi="宋体" w:cs="Times New Roman"/>
                <w:b/>
                <w:bCs/>
                <w:color w:val="auto"/>
                <w:spacing w:val="0"/>
                <w:kern w:val="2"/>
                <w:position w:val="0"/>
                <w:sz w:val="24"/>
                <w:szCs w:val="24"/>
                <w:highlight w:val="none"/>
              </w:rPr>
            </w:pPr>
            <w:r>
              <w:rPr>
                <w:rFonts w:hint="default" w:ascii="Times New Roman" w:hAnsi="宋体" w:cs="Times New Roman"/>
                <w:b/>
                <w:bCs/>
                <w:color w:val="auto"/>
                <w:spacing w:val="0"/>
                <w:kern w:val="2"/>
                <w:position w:val="0"/>
                <w:sz w:val="24"/>
                <w:szCs w:val="24"/>
                <w:highlight w:val="none"/>
                <w:lang w:val="en-US" w:eastAsia="zh-CN" w:bidi="ar"/>
              </w:rPr>
              <w:t>1.1</w:t>
            </w:r>
            <w:r>
              <w:rPr>
                <w:rFonts w:hint="eastAsia" w:ascii="宋体" w:hAnsi="宋体" w:eastAsia="宋体" w:cs="宋体"/>
                <w:b/>
                <w:bCs/>
                <w:color w:val="auto"/>
                <w:spacing w:val="0"/>
                <w:kern w:val="2"/>
                <w:position w:val="0"/>
                <w:sz w:val="24"/>
                <w:szCs w:val="24"/>
                <w:highlight w:val="none"/>
                <w:lang w:val="en-US" w:eastAsia="zh-CN" w:bidi="ar"/>
              </w:rPr>
              <w:t>监测项目</w:t>
            </w:r>
          </w:p>
          <w:p w14:paraId="1B67205B">
            <w:pPr>
              <w:pStyle w:val="21"/>
              <w:keepNext w:val="0"/>
              <w:keepLines w:val="0"/>
              <w:pageBreakBefore w:val="0"/>
              <w:widowControl w:val="0"/>
              <w:suppressLineNumbers w:val="0"/>
              <w:kinsoku/>
              <w:overflowPunct/>
              <w:autoSpaceDE/>
              <w:autoSpaceDN/>
              <w:bidi w:val="0"/>
              <w:adjustRightInd/>
              <w:snapToGrid/>
              <w:spacing w:before="0" w:beforeAutospacing="0" w:after="0" w:afterAutospacing="0" w:line="360" w:lineRule="auto"/>
              <w:ind w:left="0" w:right="0" w:firstLine="480" w:firstLineChars="0"/>
              <w:jc w:val="both"/>
              <w:textAlignment w:val="auto"/>
              <w:rPr>
                <w:rFonts w:hint="default" w:ascii="Times New Roman" w:hAnsi="宋体" w:cs="Times New Roman"/>
                <w:color w:val="auto"/>
                <w:spacing w:val="0"/>
                <w:kern w:val="2"/>
                <w:position w:val="0"/>
                <w:sz w:val="24"/>
                <w:szCs w:val="24"/>
                <w:highlight w:val="none"/>
              </w:rPr>
            </w:pPr>
            <w:r>
              <w:rPr>
                <w:rFonts w:hint="default" w:ascii="Times New Roman" w:hAnsi="宋体" w:cs="Times New Roman"/>
                <w:color w:val="auto"/>
                <w:spacing w:val="0"/>
                <w:kern w:val="2"/>
                <w:position w:val="0"/>
                <w:sz w:val="24"/>
                <w:szCs w:val="24"/>
                <w:highlight w:val="none"/>
                <w:lang w:val="en-US" w:eastAsia="zh-CN" w:bidi="ar"/>
              </w:rPr>
              <w:t>SO</w:t>
            </w:r>
            <w:r>
              <w:rPr>
                <w:rFonts w:hint="default" w:ascii="Times New Roman" w:hAnsi="宋体" w:cs="Times New Roman"/>
                <w:color w:val="auto"/>
                <w:spacing w:val="0"/>
                <w:kern w:val="2"/>
                <w:position w:val="0"/>
                <w:sz w:val="24"/>
                <w:szCs w:val="24"/>
                <w:highlight w:val="none"/>
                <w:vertAlign w:val="subscript"/>
                <w:lang w:val="en-US" w:eastAsia="zh-CN" w:bidi="ar"/>
              </w:rPr>
              <w:t>2</w:t>
            </w:r>
            <w:r>
              <w:rPr>
                <w:rFonts w:hint="eastAsia" w:ascii="宋体" w:hAnsi="宋体" w:eastAsia="宋体" w:cs="宋体"/>
                <w:color w:val="auto"/>
                <w:spacing w:val="0"/>
                <w:kern w:val="2"/>
                <w:position w:val="0"/>
                <w:sz w:val="24"/>
                <w:szCs w:val="24"/>
                <w:highlight w:val="none"/>
                <w:lang w:val="en-US" w:eastAsia="zh-CN" w:bidi="ar"/>
              </w:rPr>
              <w:t>、</w:t>
            </w:r>
            <w:r>
              <w:rPr>
                <w:rFonts w:hint="default" w:ascii="Times New Roman" w:hAnsi="宋体" w:cs="Times New Roman"/>
                <w:color w:val="auto"/>
                <w:spacing w:val="0"/>
                <w:kern w:val="2"/>
                <w:position w:val="0"/>
                <w:sz w:val="24"/>
                <w:szCs w:val="24"/>
                <w:highlight w:val="none"/>
                <w:lang w:val="en-US" w:eastAsia="zh-CN" w:bidi="ar"/>
              </w:rPr>
              <w:t>NO</w:t>
            </w:r>
            <w:r>
              <w:rPr>
                <w:rFonts w:hint="default" w:ascii="Times New Roman" w:hAnsi="宋体" w:cs="Times New Roman"/>
                <w:color w:val="auto"/>
                <w:spacing w:val="0"/>
                <w:kern w:val="2"/>
                <w:position w:val="0"/>
                <w:sz w:val="24"/>
                <w:szCs w:val="24"/>
                <w:highlight w:val="none"/>
                <w:vertAlign w:val="subscript"/>
                <w:lang w:val="en-US" w:eastAsia="zh-CN" w:bidi="ar"/>
              </w:rPr>
              <w:t>2</w:t>
            </w:r>
            <w:r>
              <w:rPr>
                <w:rFonts w:hint="eastAsia" w:ascii="宋体" w:hAnsi="宋体" w:eastAsia="宋体" w:cs="宋体"/>
                <w:color w:val="auto"/>
                <w:spacing w:val="0"/>
                <w:kern w:val="2"/>
                <w:position w:val="0"/>
                <w:sz w:val="24"/>
                <w:szCs w:val="24"/>
                <w:highlight w:val="none"/>
                <w:lang w:val="en-US" w:eastAsia="zh-CN" w:bidi="ar"/>
              </w:rPr>
              <w:t>、</w:t>
            </w:r>
            <w:r>
              <w:rPr>
                <w:rFonts w:hint="default" w:ascii="Times New Roman" w:hAnsi="宋体" w:cs="Times New Roman"/>
                <w:color w:val="auto"/>
                <w:spacing w:val="0"/>
                <w:kern w:val="2"/>
                <w:position w:val="0"/>
                <w:sz w:val="24"/>
                <w:szCs w:val="24"/>
                <w:highlight w:val="none"/>
                <w:lang w:val="en-US" w:eastAsia="zh-CN" w:bidi="ar"/>
              </w:rPr>
              <w:t>PM</w:t>
            </w:r>
            <w:r>
              <w:rPr>
                <w:rFonts w:hint="default" w:ascii="Times New Roman" w:hAnsi="宋体" w:cs="Times New Roman"/>
                <w:color w:val="auto"/>
                <w:spacing w:val="0"/>
                <w:kern w:val="2"/>
                <w:position w:val="0"/>
                <w:sz w:val="24"/>
                <w:szCs w:val="24"/>
                <w:highlight w:val="none"/>
                <w:vertAlign w:val="subscript"/>
                <w:lang w:val="en-US" w:eastAsia="zh-CN" w:bidi="ar"/>
              </w:rPr>
              <w:t>10</w:t>
            </w:r>
            <w:r>
              <w:rPr>
                <w:rFonts w:hint="eastAsia" w:ascii="宋体" w:hAnsi="宋体" w:eastAsia="宋体" w:cs="宋体"/>
                <w:color w:val="auto"/>
                <w:spacing w:val="0"/>
                <w:kern w:val="2"/>
                <w:position w:val="0"/>
                <w:sz w:val="24"/>
                <w:szCs w:val="24"/>
                <w:highlight w:val="none"/>
                <w:lang w:val="en-US" w:eastAsia="zh-CN" w:bidi="ar"/>
              </w:rPr>
              <w:t>、</w:t>
            </w:r>
            <w:r>
              <w:rPr>
                <w:rFonts w:hint="default" w:ascii="Times New Roman" w:hAnsi="宋体" w:cs="Times New Roman"/>
                <w:color w:val="auto"/>
                <w:spacing w:val="0"/>
                <w:kern w:val="2"/>
                <w:position w:val="0"/>
                <w:sz w:val="24"/>
                <w:szCs w:val="24"/>
                <w:highlight w:val="none"/>
                <w:lang w:val="en-US" w:eastAsia="zh-CN" w:bidi="ar"/>
              </w:rPr>
              <w:t>PM</w:t>
            </w:r>
            <w:r>
              <w:rPr>
                <w:rFonts w:hint="default" w:ascii="Times New Roman" w:hAnsi="宋体" w:cs="Times New Roman"/>
                <w:color w:val="auto"/>
                <w:spacing w:val="0"/>
                <w:kern w:val="2"/>
                <w:position w:val="0"/>
                <w:sz w:val="24"/>
                <w:szCs w:val="24"/>
                <w:highlight w:val="none"/>
                <w:vertAlign w:val="subscript"/>
                <w:lang w:val="en-US" w:eastAsia="zh-CN" w:bidi="ar"/>
              </w:rPr>
              <w:t>2.5</w:t>
            </w:r>
            <w:r>
              <w:rPr>
                <w:rFonts w:hint="eastAsia" w:ascii="宋体" w:hAnsi="宋体" w:eastAsia="宋体" w:cs="宋体"/>
                <w:color w:val="auto"/>
                <w:spacing w:val="0"/>
                <w:kern w:val="2"/>
                <w:position w:val="0"/>
                <w:sz w:val="24"/>
                <w:szCs w:val="24"/>
                <w:highlight w:val="none"/>
                <w:lang w:val="en-US" w:eastAsia="zh-CN" w:bidi="ar"/>
              </w:rPr>
              <w:t>、</w:t>
            </w:r>
            <w:r>
              <w:rPr>
                <w:rFonts w:hint="default" w:ascii="Times New Roman" w:hAnsi="宋体" w:cs="Times New Roman"/>
                <w:color w:val="auto"/>
                <w:spacing w:val="0"/>
                <w:kern w:val="2"/>
                <w:position w:val="0"/>
                <w:sz w:val="24"/>
                <w:szCs w:val="24"/>
                <w:highlight w:val="none"/>
                <w:lang w:val="en-US" w:eastAsia="zh-CN" w:bidi="ar"/>
              </w:rPr>
              <w:t>CO</w:t>
            </w:r>
            <w:r>
              <w:rPr>
                <w:rFonts w:hint="eastAsia" w:ascii="宋体" w:hAnsi="宋体" w:eastAsia="宋体" w:cs="宋体"/>
                <w:color w:val="auto"/>
                <w:spacing w:val="0"/>
                <w:kern w:val="2"/>
                <w:position w:val="0"/>
                <w:sz w:val="24"/>
                <w:szCs w:val="24"/>
                <w:highlight w:val="none"/>
                <w:lang w:val="en-US" w:eastAsia="zh-CN" w:bidi="ar"/>
              </w:rPr>
              <w:t>、</w:t>
            </w:r>
            <w:r>
              <w:rPr>
                <w:rFonts w:hint="default" w:ascii="Times New Roman" w:hAnsi="Times New Roman" w:cs="Times New Roman"/>
                <w:color w:val="auto"/>
                <w:spacing w:val="0"/>
                <w:kern w:val="2"/>
                <w:position w:val="0"/>
                <w:sz w:val="24"/>
                <w:szCs w:val="24"/>
                <w:highlight w:val="none"/>
                <w:lang w:val="en-US" w:eastAsia="zh-CN" w:bidi="ar"/>
              </w:rPr>
              <w:t>O</w:t>
            </w:r>
            <w:r>
              <w:rPr>
                <w:rFonts w:hint="default" w:ascii="Times New Roman" w:hAnsi="宋体" w:cs="Times New Roman"/>
                <w:color w:val="auto"/>
                <w:spacing w:val="0"/>
                <w:kern w:val="2"/>
                <w:position w:val="0"/>
                <w:sz w:val="24"/>
                <w:szCs w:val="24"/>
                <w:highlight w:val="none"/>
                <w:vertAlign w:val="subscript"/>
                <w:lang w:val="en-US" w:eastAsia="zh-CN" w:bidi="ar"/>
              </w:rPr>
              <w:t>3</w:t>
            </w:r>
          </w:p>
          <w:p w14:paraId="44EDBA0F">
            <w:pPr>
              <w:pStyle w:val="21"/>
              <w:keepNext w:val="0"/>
              <w:keepLines w:val="0"/>
              <w:pageBreakBefore w:val="0"/>
              <w:widowControl w:val="0"/>
              <w:suppressLineNumbers w:val="0"/>
              <w:kinsoku/>
              <w:overflowPunct/>
              <w:autoSpaceDE/>
              <w:autoSpaceDN/>
              <w:bidi w:val="0"/>
              <w:adjustRightInd/>
              <w:snapToGrid/>
              <w:spacing w:before="0" w:beforeAutospacing="0" w:after="0" w:afterAutospacing="0" w:line="360" w:lineRule="auto"/>
              <w:ind w:left="0" w:right="0" w:firstLine="480" w:firstLineChars="0"/>
              <w:jc w:val="both"/>
              <w:textAlignment w:val="auto"/>
              <w:rPr>
                <w:rFonts w:hint="default" w:ascii="Times New Roman" w:hAnsi="宋体" w:cs="Times New Roman"/>
                <w:b/>
                <w:bCs/>
                <w:color w:val="auto"/>
                <w:spacing w:val="0"/>
                <w:kern w:val="2"/>
                <w:position w:val="0"/>
                <w:sz w:val="24"/>
                <w:szCs w:val="24"/>
                <w:highlight w:val="none"/>
              </w:rPr>
            </w:pPr>
            <w:r>
              <w:rPr>
                <w:rFonts w:hint="default" w:ascii="Times New Roman" w:hAnsi="宋体" w:cs="Times New Roman"/>
                <w:b/>
                <w:bCs/>
                <w:color w:val="auto"/>
                <w:spacing w:val="0"/>
                <w:kern w:val="2"/>
                <w:position w:val="0"/>
                <w:sz w:val="24"/>
                <w:szCs w:val="24"/>
                <w:highlight w:val="none"/>
                <w:lang w:val="en-US" w:eastAsia="zh-CN" w:bidi="ar"/>
              </w:rPr>
              <w:t>1.2</w:t>
            </w:r>
            <w:r>
              <w:rPr>
                <w:rFonts w:hint="eastAsia" w:ascii="宋体" w:hAnsi="宋体" w:eastAsia="宋体" w:cs="宋体"/>
                <w:b/>
                <w:bCs/>
                <w:color w:val="auto"/>
                <w:spacing w:val="0"/>
                <w:kern w:val="2"/>
                <w:position w:val="0"/>
                <w:sz w:val="24"/>
                <w:szCs w:val="24"/>
                <w:highlight w:val="none"/>
                <w:lang w:val="en-US" w:eastAsia="zh-CN" w:bidi="ar"/>
              </w:rPr>
              <w:t>评价标准</w:t>
            </w:r>
          </w:p>
          <w:p w14:paraId="6BA686FF">
            <w:pPr>
              <w:pStyle w:val="21"/>
              <w:keepNext w:val="0"/>
              <w:keepLines w:val="0"/>
              <w:pageBreakBefore w:val="0"/>
              <w:widowControl w:val="0"/>
              <w:suppressLineNumbers w:val="0"/>
              <w:kinsoku/>
              <w:overflowPunct/>
              <w:autoSpaceDE/>
              <w:autoSpaceDN/>
              <w:bidi w:val="0"/>
              <w:adjustRightInd/>
              <w:snapToGrid/>
              <w:spacing w:before="0" w:beforeAutospacing="0" w:after="0" w:afterAutospacing="0" w:line="360" w:lineRule="auto"/>
              <w:ind w:left="0" w:right="0" w:firstLine="480" w:firstLineChars="0"/>
              <w:jc w:val="both"/>
              <w:textAlignment w:val="auto"/>
              <w:rPr>
                <w:rFonts w:hint="default" w:ascii="Times New Roman" w:hAnsi="宋体" w:cs="Times New Roman"/>
                <w:color w:val="auto"/>
                <w:spacing w:val="0"/>
                <w:kern w:val="2"/>
                <w:position w:val="0"/>
                <w:sz w:val="24"/>
                <w:szCs w:val="24"/>
                <w:highlight w:val="none"/>
              </w:rPr>
            </w:pPr>
            <w:r>
              <w:rPr>
                <w:rFonts w:hint="eastAsia" w:ascii="宋体" w:hAnsi="宋体" w:eastAsia="宋体" w:cs="宋体"/>
                <w:color w:val="auto"/>
                <w:spacing w:val="0"/>
                <w:kern w:val="2"/>
                <w:position w:val="0"/>
                <w:sz w:val="24"/>
                <w:szCs w:val="24"/>
                <w:highlight w:val="none"/>
                <w:lang w:val="en-US" w:eastAsia="zh-CN" w:bidi="ar"/>
              </w:rPr>
              <w:t>根据本项目所在区域的环境功能区划，常规污染物执行《环境空气质量标准》（</w:t>
            </w:r>
            <w:r>
              <w:rPr>
                <w:rFonts w:hint="default" w:ascii="Times New Roman" w:hAnsi="宋体" w:cs="Times New Roman"/>
                <w:color w:val="auto"/>
                <w:spacing w:val="0"/>
                <w:kern w:val="2"/>
                <w:position w:val="0"/>
                <w:sz w:val="24"/>
                <w:szCs w:val="24"/>
                <w:highlight w:val="none"/>
                <w:lang w:val="en-US" w:eastAsia="zh-CN" w:bidi="ar"/>
              </w:rPr>
              <w:t>GB3095-2012</w:t>
            </w:r>
            <w:r>
              <w:rPr>
                <w:rFonts w:hint="eastAsia" w:ascii="宋体" w:hAnsi="宋体" w:eastAsia="宋体" w:cs="宋体"/>
                <w:color w:val="auto"/>
                <w:spacing w:val="0"/>
                <w:kern w:val="2"/>
                <w:position w:val="0"/>
                <w:sz w:val="24"/>
                <w:szCs w:val="24"/>
                <w:highlight w:val="none"/>
                <w:lang w:val="en-US" w:eastAsia="zh-CN" w:bidi="ar"/>
              </w:rPr>
              <w:t>）中的二级标准。</w:t>
            </w:r>
          </w:p>
          <w:p w14:paraId="48569935">
            <w:pPr>
              <w:pStyle w:val="21"/>
              <w:keepNext w:val="0"/>
              <w:keepLines w:val="0"/>
              <w:pageBreakBefore w:val="0"/>
              <w:widowControl w:val="0"/>
              <w:suppressLineNumbers w:val="0"/>
              <w:kinsoku/>
              <w:overflowPunct/>
              <w:autoSpaceDE/>
              <w:autoSpaceDN/>
              <w:bidi w:val="0"/>
              <w:adjustRightInd/>
              <w:snapToGrid/>
              <w:spacing w:before="0" w:beforeAutospacing="0" w:after="0" w:afterAutospacing="0" w:line="360" w:lineRule="auto"/>
              <w:ind w:left="0" w:right="0" w:firstLine="480" w:firstLineChars="0"/>
              <w:jc w:val="both"/>
              <w:textAlignment w:val="auto"/>
              <w:rPr>
                <w:rFonts w:hint="default" w:ascii="Times New Roman" w:hAnsi="宋体" w:cs="Times New Roman"/>
                <w:b/>
                <w:bCs/>
                <w:color w:val="auto"/>
                <w:spacing w:val="0"/>
                <w:kern w:val="2"/>
                <w:position w:val="0"/>
                <w:sz w:val="24"/>
                <w:szCs w:val="24"/>
                <w:highlight w:val="none"/>
              </w:rPr>
            </w:pPr>
            <w:r>
              <w:rPr>
                <w:rFonts w:hint="default" w:ascii="Times New Roman" w:hAnsi="宋体" w:cs="Times New Roman"/>
                <w:b/>
                <w:bCs/>
                <w:color w:val="auto"/>
                <w:spacing w:val="0"/>
                <w:kern w:val="2"/>
                <w:position w:val="0"/>
                <w:sz w:val="24"/>
                <w:szCs w:val="24"/>
                <w:highlight w:val="none"/>
                <w:lang w:val="en-US" w:eastAsia="zh-CN" w:bidi="ar"/>
              </w:rPr>
              <w:t>1.3</w:t>
            </w:r>
            <w:r>
              <w:rPr>
                <w:rFonts w:hint="eastAsia" w:ascii="宋体" w:hAnsi="宋体" w:eastAsia="宋体" w:cs="宋体"/>
                <w:b/>
                <w:bCs/>
                <w:color w:val="auto"/>
                <w:spacing w:val="0"/>
                <w:kern w:val="2"/>
                <w:position w:val="0"/>
                <w:sz w:val="24"/>
                <w:szCs w:val="24"/>
                <w:highlight w:val="none"/>
                <w:lang w:val="en-US" w:eastAsia="zh-CN" w:bidi="ar"/>
              </w:rPr>
              <w:t>评价方法</w:t>
            </w:r>
          </w:p>
          <w:p w14:paraId="2DF389FA">
            <w:pPr>
              <w:pStyle w:val="21"/>
              <w:keepNext w:val="0"/>
              <w:keepLines w:val="0"/>
              <w:pageBreakBefore w:val="0"/>
              <w:widowControl w:val="0"/>
              <w:suppressLineNumbers w:val="0"/>
              <w:kinsoku/>
              <w:overflowPunct/>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宋体" w:cs="Times New Roman"/>
                <w:color w:val="auto"/>
                <w:spacing w:val="0"/>
                <w:kern w:val="2"/>
                <w:position w:val="0"/>
                <w:sz w:val="24"/>
                <w:szCs w:val="24"/>
                <w:highlight w:val="none"/>
              </w:rPr>
            </w:pPr>
            <w:r>
              <w:rPr>
                <w:rFonts w:hint="eastAsia" w:ascii="宋体" w:hAnsi="宋体" w:eastAsia="宋体" w:cs="宋体"/>
                <w:color w:val="auto"/>
                <w:spacing w:val="0"/>
                <w:kern w:val="2"/>
                <w:position w:val="0"/>
                <w:sz w:val="24"/>
                <w:szCs w:val="24"/>
                <w:highlight w:val="none"/>
                <w:lang w:val="en-US" w:eastAsia="zh-CN" w:bidi="ar"/>
              </w:rPr>
              <w:t>评价方法采用最大质量浓度占相应标准质量浓度限值的百分比，及超标率对监测结果进行评价分析。计算公式如下：</w:t>
            </w:r>
          </w:p>
          <w:p w14:paraId="605EC37A">
            <w:pPr>
              <w:pStyle w:val="21"/>
              <w:keepNext w:val="0"/>
              <w:keepLines w:val="0"/>
              <w:pageBreakBefore w:val="0"/>
              <w:widowControl w:val="0"/>
              <w:suppressLineNumbers w:val="0"/>
              <w:kinsoku/>
              <w:overflowPunct/>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宋体" w:cs="Times New Roman"/>
                <w:color w:val="auto"/>
                <w:spacing w:val="0"/>
                <w:kern w:val="2"/>
                <w:position w:val="0"/>
                <w:sz w:val="24"/>
                <w:szCs w:val="24"/>
                <w:highlight w:val="none"/>
              </w:rPr>
            </w:pPr>
            <w:r>
              <w:rPr>
                <w:rFonts w:hint="default" w:ascii="Times New Roman" w:hAnsi="宋体" w:cs="Times New Roman"/>
                <w:color w:val="auto"/>
                <w:spacing w:val="0"/>
                <w:kern w:val="2"/>
                <w:position w:val="0"/>
                <w:sz w:val="24"/>
                <w:szCs w:val="24"/>
                <w:highlight w:val="none"/>
                <w:lang w:val="en-US" w:eastAsia="zh-CN" w:bidi="ar"/>
              </w:rPr>
              <w:t>P</w:t>
            </w:r>
            <w:r>
              <w:rPr>
                <w:rFonts w:hint="default" w:ascii="Times New Roman" w:hAnsi="宋体" w:cs="Times New Roman"/>
                <w:color w:val="auto"/>
                <w:spacing w:val="0"/>
                <w:kern w:val="2"/>
                <w:position w:val="0"/>
                <w:sz w:val="24"/>
                <w:szCs w:val="24"/>
                <w:highlight w:val="none"/>
                <w:vertAlign w:val="subscript"/>
                <w:lang w:val="en-US" w:eastAsia="zh-CN" w:bidi="ar"/>
              </w:rPr>
              <w:t>i</w:t>
            </w:r>
            <w:r>
              <w:rPr>
                <w:rFonts w:hint="default" w:ascii="Times New Roman" w:hAnsi="宋体" w:cs="Times New Roman"/>
                <w:color w:val="auto"/>
                <w:spacing w:val="0"/>
                <w:kern w:val="2"/>
                <w:position w:val="0"/>
                <w:sz w:val="24"/>
                <w:szCs w:val="24"/>
                <w:highlight w:val="none"/>
                <w:lang w:val="en-US" w:eastAsia="zh-CN" w:bidi="ar"/>
              </w:rPr>
              <w:t>=C</w:t>
            </w:r>
            <w:r>
              <w:rPr>
                <w:rFonts w:hint="default" w:ascii="Times New Roman" w:hAnsi="宋体" w:cs="Times New Roman"/>
                <w:color w:val="auto"/>
                <w:spacing w:val="0"/>
                <w:kern w:val="2"/>
                <w:position w:val="0"/>
                <w:sz w:val="24"/>
                <w:szCs w:val="24"/>
                <w:highlight w:val="none"/>
                <w:vertAlign w:val="subscript"/>
                <w:lang w:val="en-US" w:eastAsia="zh-CN" w:bidi="ar"/>
              </w:rPr>
              <w:t>i</w:t>
            </w:r>
            <w:r>
              <w:rPr>
                <w:rFonts w:hint="default" w:ascii="Times New Roman" w:hAnsi="宋体" w:cs="Times New Roman"/>
                <w:color w:val="auto"/>
                <w:spacing w:val="0"/>
                <w:kern w:val="2"/>
                <w:position w:val="0"/>
                <w:sz w:val="24"/>
                <w:szCs w:val="24"/>
                <w:highlight w:val="none"/>
                <w:lang w:val="en-US" w:eastAsia="zh-CN" w:bidi="ar"/>
              </w:rPr>
              <w:t>/C</w:t>
            </w:r>
            <w:r>
              <w:rPr>
                <w:rFonts w:hint="default" w:ascii="Times New Roman" w:hAnsi="宋体" w:cs="Times New Roman"/>
                <w:color w:val="auto"/>
                <w:spacing w:val="0"/>
                <w:kern w:val="2"/>
                <w:position w:val="0"/>
                <w:sz w:val="24"/>
                <w:szCs w:val="24"/>
                <w:highlight w:val="none"/>
                <w:vertAlign w:val="subscript"/>
                <w:lang w:val="en-US" w:eastAsia="zh-CN" w:bidi="ar"/>
              </w:rPr>
              <w:t>oi</w:t>
            </w:r>
            <w:r>
              <w:rPr>
                <w:rFonts w:hint="eastAsia" w:ascii="宋体" w:hAnsi="宋体" w:eastAsia="宋体" w:cs="宋体"/>
                <w:color w:val="auto"/>
                <w:spacing w:val="0"/>
                <w:kern w:val="2"/>
                <w:position w:val="0"/>
                <w:sz w:val="24"/>
                <w:szCs w:val="24"/>
                <w:highlight w:val="none"/>
                <w:lang w:val="en-US" w:eastAsia="zh-CN" w:bidi="ar"/>
              </w:rPr>
              <w:t>×</w:t>
            </w:r>
            <w:r>
              <w:rPr>
                <w:rFonts w:hint="default" w:ascii="Times New Roman" w:hAnsi="Times New Roman" w:cs="Times New Roman"/>
                <w:color w:val="auto"/>
                <w:spacing w:val="0"/>
                <w:kern w:val="2"/>
                <w:position w:val="0"/>
                <w:sz w:val="24"/>
                <w:szCs w:val="24"/>
                <w:highlight w:val="none"/>
                <w:lang w:val="en-US" w:eastAsia="zh-CN" w:bidi="ar"/>
              </w:rPr>
              <w:t>100%</w:t>
            </w:r>
          </w:p>
          <w:p w14:paraId="0E473EE8">
            <w:pPr>
              <w:pStyle w:val="21"/>
              <w:keepNext w:val="0"/>
              <w:keepLines w:val="0"/>
              <w:pageBreakBefore w:val="0"/>
              <w:widowControl w:val="0"/>
              <w:suppressLineNumbers w:val="0"/>
              <w:kinsoku/>
              <w:overflowPunct/>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宋体" w:cs="Times New Roman"/>
                <w:color w:val="auto"/>
                <w:spacing w:val="0"/>
                <w:kern w:val="2"/>
                <w:position w:val="0"/>
                <w:sz w:val="24"/>
                <w:szCs w:val="24"/>
                <w:highlight w:val="none"/>
              </w:rPr>
            </w:pPr>
            <w:r>
              <w:rPr>
                <w:rFonts w:hint="eastAsia" w:ascii="宋体" w:hAnsi="宋体" w:eastAsia="宋体" w:cs="宋体"/>
                <w:color w:val="auto"/>
                <w:spacing w:val="0"/>
                <w:kern w:val="2"/>
                <w:position w:val="0"/>
                <w:sz w:val="24"/>
                <w:szCs w:val="24"/>
                <w:highlight w:val="none"/>
                <w:lang w:val="en-US" w:eastAsia="zh-CN" w:bidi="ar"/>
              </w:rPr>
              <w:t>式中：</w:t>
            </w:r>
            <w:r>
              <w:rPr>
                <w:rFonts w:hint="default" w:ascii="Times New Roman" w:hAnsi="宋体" w:cs="Times New Roman"/>
                <w:color w:val="auto"/>
                <w:spacing w:val="0"/>
                <w:kern w:val="2"/>
                <w:position w:val="0"/>
                <w:sz w:val="24"/>
                <w:szCs w:val="24"/>
                <w:highlight w:val="none"/>
                <w:lang w:val="en-US" w:eastAsia="zh-CN" w:bidi="ar"/>
              </w:rPr>
              <w:t>P</w:t>
            </w:r>
            <w:r>
              <w:rPr>
                <w:rFonts w:hint="default" w:ascii="Times New Roman" w:hAnsi="宋体" w:cs="Times New Roman"/>
                <w:color w:val="auto"/>
                <w:spacing w:val="0"/>
                <w:kern w:val="2"/>
                <w:position w:val="0"/>
                <w:sz w:val="24"/>
                <w:szCs w:val="24"/>
                <w:highlight w:val="none"/>
                <w:vertAlign w:val="subscript"/>
                <w:lang w:val="en-US" w:eastAsia="zh-CN" w:bidi="ar"/>
              </w:rPr>
              <w:t>i</w:t>
            </w:r>
            <w:r>
              <w:rPr>
                <w:rFonts w:hint="eastAsia" w:ascii="宋体" w:hAnsi="宋体" w:eastAsia="宋体" w:cs="宋体"/>
                <w:color w:val="auto"/>
                <w:spacing w:val="0"/>
                <w:kern w:val="2"/>
                <w:position w:val="0"/>
                <w:sz w:val="24"/>
                <w:szCs w:val="24"/>
                <w:highlight w:val="none"/>
                <w:lang w:val="en-US" w:eastAsia="zh-CN" w:bidi="ar"/>
              </w:rPr>
              <w:t>—某种污染物的最大地面质量浓度占标率，</w:t>
            </w:r>
            <w:r>
              <w:rPr>
                <w:rFonts w:hint="default" w:ascii="Times New Roman" w:hAnsi="Times New Roman" w:cs="Times New Roman"/>
                <w:color w:val="auto"/>
                <w:spacing w:val="0"/>
                <w:kern w:val="2"/>
                <w:position w:val="0"/>
                <w:sz w:val="24"/>
                <w:szCs w:val="24"/>
                <w:highlight w:val="none"/>
                <w:lang w:val="en-US" w:eastAsia="zh-CN" w:bidi="ar"/>
              </w:rPr>
              <w:t>%</w:t>
            </w:r>
            <w:r>
              <w:rPr>
                <w:rFonts w:hint="eastAsia" w:ascii="宋体" w:hAnsi="宋体" w:eastAsia="宋体" w:cs="宋体"/>
                <w:color w:val="auto"/>
                <w:spacing w:val="0"/>
                <w:kern w:val="2"/>
                <w:position w:val="0"/>
                <w:sz w:val="24"/>
                <w:szCs w:val="24"/>
                <w:highlight w:val="none"/>
                <w:lang w:val="en-US" w:eastAsia="zh-CN" w:bidi="ar"/>
              </w:rPr>
              <w:t>；</w:t>
            </w:r>
          </w:p>
          <w:p w14:paraId="2778274C">
            <w:pPr>
              <w:pStyle w:val="21"/>
              <w:keepNext w:val="0"/>
              <w:keepLines w:val="0"/>
              <w:pageBreakBefore w:val="0"/>
              <w:widowControl w:val="0"/>
              <w:suppressLineNumbers w:val="0"/>
              <w:kinsoku/>
              <w:overflowPunct/>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宋体" w:cs="Times New Roman"/>
                <w:color w:val="auto"/>
                <w:spacing w:val="0"/>
                <w:kern w:val="2"/>
                <w:position w:val="0"/>
                <w:sz w:val="24"/>
                <w:szCs w:val="24"/>
                <w:highlight w:val="none"/>
              </w:rPr>
            </w:pPr>
            <w:r>
              <w:rPr>
                <w:rFonts w:hint="default" w:ascii="Times New Roman" w:hAnsi="宋体" w:cs="Times New Roman"/>
                <w:color w:val="auto"/>
                <w:spacing w:val="0"/>
                <w:kern w:val="2"/>
                <w:position w:val="0"/>
                <w:sz w:val="24"/>
                <w:szCs w:val="24"/>
                <w:highlight w:val="none"/>
                <w:lang w:val="en-US" w:eastAsia="zh-CN" w:bidi="ar"/>
              </w:rPr>
              <w:t>C</w:t>
            </w:r>
            <w:r>
              <w:rPr>
                <w:rFonts w:hint="default" w:ascii="Times New Roman" w:hAnsi="宋体" w:cs="Times New Roman"/>
                <w:color w:val="auto"/>
                <w:spacing w:val="0"/>
                <w:kern w:val="2"/>
                <w:position w:val="0"/>
                <w:sz w:val="24"/>
                <w:szCs w:val="24"/>
                <w:highlight w:val="none"/>
                <w:vertAlign w:val="subscript"/>
                <w:lang w:val="en-US" w:eastAsia="zh-CN" w:bidi="ar"/>
              </w:rPr>
              <w:t>i</w:t>
            </w:r>
            <w:r>
              <w:rPr>
                <w:rFonts w:hint="eastAsia" w:ascii="宋体" w:hAnsi="宋体" w:eastAsia="宋体" w:cs="宋体"/>
                <w:color w:val="auto"/>
                <w:spacing w:val="0"/>
                <w:kern w:val="2"/>
                <w:position w:val="0"/>
                <w:sz w:val="24"/>
                <w:szCs w:val="24"/>
                <w:highlight w:val="none"/>
                <w:lang w:val="en-US" w:eastAsia="zh-CN" w:bidi="ar"/>
              </w:rPr>
              <w:t>—某种污染物的实际监测浓度，</w:t>
            </w:r>
            <w:r>
              <w:rPr>
                <w:rFonts w:hint="default" w:ascii="Times New Roman" w:hAnsi="Times New Roman" w:cs="Times New Roman"/>
                <w:color w:val="auto"/>
                <w:spacing w:val="0"/>
                <w:kern w:val="2"/>
                <w:position w:val="0"/>
                <w:sz w:val="24"/>
                <w:szCs w:val="24"/>
                <w:highlight w:val="none"/>
                <w:lang w:val="en-US" w:eastAsia="zh-CN" w:bidi="ar"/>
              </w:rPr>
              <w:t>mg/m</w:t>
            </w:r>
            <w:r>
              <w:rPr>
                <w:rFonts w:hint="eastAsia" w:ascii="宋体" w:hAnsi="宋体" w:eastAsia="宋体" w:cs="宋体"/>
                <w:color w:val="auto"/>
                <w:spacing w:val="0"/>
                <w:kern w:val="2"/>
                <w:position w:val="0"/>
                <w:sz w:val="24"/>
                <w:szCs w:val="24"/>
                <w:highlight w:val="none"/>
                <w:lang w:val="en-US" w:eastAsia="zh-CN" w:bidi="ar"/>
              </w:rPr>
              <w:t>³；</w:t>
            </w:r>
          </w:p>
          <w:p w14:paraId="555D0C1C">
            <w:pPr>
              <w:pStyle w:val="21"/>
              <w:keepNext w:val="0"/>
              <w:keepLines w:val="0"/>
              <w:pageBreakBefore w:val="0"/>
              <w:widowControl w:val="0"/>
              <w:suppressLineNumbers w:val="0"/>
              <w:kinsoku/>
              <w:overflowPunct/>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宋体" w:cs="Times New Roman"/>
                <w:color w:val="auto"/>
                <w:spacing w:val="0"/>
                <w:kern w:val="2"/>
                <w:position w:val="0"/>
                <w:sz w:val="24"/>
                <w:szCs w:val="24"/>
                <w:highlight w:val="none"/>
              </w:rPr>
            </w:pPr>
            <w:r>
              <w:rPr>
                <w:rFonts w:hint="default" w:ascii="Times New Roman" w:hAnsi="宋体" w:cs="Times New Roman"/>
                <w:color w:val="auto"/>
                <w:spacing w:val="0"/>
                <w:kern w:val="2"/>
                <w:position w:val="0"/>
                <w:sz w:val="24"/>
                <w:szCs w:val="24"/>
                <w:highlight w:val="none"/>
                <w:lang w:val="en-US" w:eastAsia="zh-CN" w:bidi="ar"/>
              </w:rPr>
              <w:t xml:space="preserve">    C</w:t>
            </w:r>
            <w:r>
              <w:rPr>
                <w:rFonts w:hint="default" w:ascii="Times New Roman" w:hAnsi="宋体" w:cs="Times New Roman"/>
                <w:color w:val="auto"/>
                <w:spacing w:val="0"/>
                <w:kern w:val="2"/>
                <w:position w:val="0"/>
                <w:sz w:val="24"/>
                <w:szCs w:val="24"/>
                <w:highlight w:val="none"/>
                <w:vertAlign w:val="subscript"/>
                <w:lang w:val="en-US" w:eastAsia="zh-CN" w:bidi="ar"/>
              </w:rPr>
              <w:t>oi</w:t>
            </w:r>
            <w:r>
              <w:rPr>
                <w:rFonts w:hint="eastAsia" w:ascii="宋体" w:hAnsi="宋体" w:eastAsia="宋体" w:cs="宋体"/>
                <w:color w:val="auto"/>
                <w:spacing w:val="0"/>
                <w:kern w:val="2"/>
                <w:position w:val="0"/>
                <w:sz w:val="24"/>
                <w:szCs w:val="24"/>
                <w:highlight w:val="none"/>
                <w:lang w:val="en-US" w:eastAsia="zh-CN" w:bidi="ar"/>
              </w:rPr>
              <w:t>—某种污染物的环境空气标准浓度，</w:t>
            </w:r>
            <w:r>
              <w:rPr>
                <w:rFonts w:hint="default" w:ascii="Times New Roman" w:hAnsi="Times New Roman" w:cs="Times New Roman"/>
                <w:color w:val="auto"/>
                <w:spacing w:val="0"/>
                <w:kern w:val="2"/>
                <w:position w:val="0"/>
                <w:sz w:val="24"/>
                <w:szCs w:val="24"/>
                <w:highlight w:val="none"/>
                <w:lang w:val="en-US" w:eastAsia="zh-CN" w:bidi="ar"/>
              </w:rPr>
              <w:t>mg/m</w:t>
            </w:r>
            <w:r>
              <w:rPr>
                <w:rFonts w:hint="eastAsia" w:ascii="宋体" w:hAnsi="宋体" w:eastAsia="宋体" w:cs="宋体"/>
                <w:color w:val="auto"/>
                <w:spacing w:val="0"/>
                <w:kern w:val="2"/>
                <w:position w:val="0"/>
                <w:sz w:val="24"/>
                <w:szCs w:val="24"/>
                <w:highlight w:val="none"/>
                <w:lang w:val="en-US" w:eastAsia="zh-CN" w:bidi="ar"/>
              </w:rPr>
              <w:t>³。</w:t>
            </w:r>
          </w:p>
          <w:p w14:paraId="55D59A35">
            <w:pPr>
              <w:pStyle w:val="21"/>
              <w:keepNext w:val="0"/>
              <w:keepLines w:val="0"/>
              <w:pageBreakBefore w:val="0"/>
              <w:widowControl w:val="0"/>
              <w:suppressLineNumbers w:val="0"/>
              <w:kinsoku/>
              <w:overflowPunct/>
              <w:autoSpaceDE/>
              <w:autoSpaceDN/>
              <w:bidi w:val="0"/>
              <w:adjustRightInd/>
              <w:snapToGrid/>
              <w:spacing w:before="0" w:beforeAutospacing="0" w:after="0" w:afterAutospacing="0" w:line="360" w:lineRule="auto"/>
              <w:ind w:left="0" w:right="0" w:firstLine="480" w:firstLineChars="0"/>
              <w:jc w:val="both"/>
              <w:textAlignment w:val="auto"/>
              <w:rPr>
                <w:rFonts w:hint="default" w:ascii="Times New Roman" w:hAnsi="宋体" w:cs="Times New Roman"/>
                <w:b/>
                <w:bCs/>
                <w:color w:val="auto"/>
                <w:spacing w:val="0"/>
                <w:kern w:val="2"/>
                <w:position w:val="0"/>
                <w:sz w:val="24"/>
                <w:szCs w:val="24"/>
                <w:highlight w:val="none"/>
              </w:rPr>
            </w:pPr>
            <w:r>
              <w:rPr>
                <w:rFonts w:hint="default" w:ascii="Times New Roman" w:hAnsi="宋体" w:cs="Times New Roman"/>
                <w:b/>
                <w:bCs/>
                <w:color w:val="auto"/>
                <w:spacing w:val="0"/>
                <w:kern w:val="2"/>
                <w:position w:val="0"/>
                <w:sz w:val="24"/>
                <w:szCs w:val="24"/>
                <w:highlight w:val="none"/>
                <w:lang w:val="en-US" w:eastAsia="zh-CN" w:bidi="ar"/>
              </w:rPr>
              <w:t>1.4</w:t>
            </w:r>
            <w:r>
              <w:rPr>
                <w:rFonts w:hint="eastAsia" w:ascii="宋体" w:hAnsi="宋体" w:eastAsia="宋体" w:cs="宋体"/>
                <w:b/>
                <w:bCs/>
                <w:color w:val="auto"/>
                <w:spacing w:val="0"/>
                <w:kern w:val="2"/>
                <w:position w:val="0"/>
                <w:sz w:val="24"/>
                <w:szCs w:val="24"/>
                <w:highlight w:val="none"/>
                <w:lang w:val="en-US" w:eastAsia="zh-CN" w:bidi="ar"/>
              </w:rPr>
              <w:t>监测结果</w:t>
            </w:r>
          </w:p>
          <w:p w14:paraId="332ED185">
            <w:pPr>
              <w:pStyle w:val="21"/>
              <w:keepNext w:val="0"/>
              <w:keepLines w:val="0"/>
              <w:pageBreakBefore w:val="0"/>
              <w:widowControl w:val="0"/>
              <w:suppressLineNumbers w:val="0"/>
              <w:kinsoku/>
              <w:overflowPunct/>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宋体" w:cs="Times New Roman"/>
                <w:color w:val="auto"/>
                <w:spacing w:val="0"/>
                <w:kern w:val="2"/>
                <w:position w:val="0"/>
                <w:sz w:val="24"/>
                <w:szCs w:val="24"/>
                <w:highlight w:val="none"/>
              </w:rPr>
            </w:pPr>
            <w:r>
              <w:rPr>
                <w:rFonts w:hint="default" w:ascii="Times New Roman" w:hAnsi="宋体" w:cs="Times New Roman"/>
                <w:color w:val="auto"/>
                <w:spacing w:val="0"/>
                <w:kern w:val="2"/>
                <w:position w:val="0"/>
                <w:sz w:val="24"/>
                <w:szCs w:val="24"/>
                <w:highlight w:val="none"/>
                <w:lang w:val="en-US" w:eastAsia="zh-CN" w:bidi="ar"/>
              </w:rPr>
              <w:t>20</w:t>
            </w:r>
            <w:r>
              <w:rPr>
                <w:rFonts w:hint="default" w:ascii="Times New Roman" w:hAnsi="Times New Roman" w:eastAsia="宋体" w:cs="Times New Roman"/>
                <w:color w:val="auto"/>
                <w:spacing w:val="0"/>
                <w:kern w:val="2"/>
                <w:position w:val="0"/>
                <w:sz w:val="24"/>
                <w:szCs w:val="24"/>
                <w:highlight w:val="none"/>
                <w:lang w:val="en-US" w:eastAsia="zh-CN" w:bidi="ar"/>
              </w:rPr>
              <w:t>2</w:t>
            </w:r>
            <w:r>
              <w:rPr>
                <w:rFonts w:hint="eastAsia" w:ascii="Times New Roman" w:hAnsi="Times New Roman" w:eastAsia="宋体" w:cs="Times New Roman"/>
                <w:color w:val="auto"/>
                <w:spacing w:val="0"/>
                <w:kern w:val="2"/>
                <w:position w:val="0"/>
                <w:sz w:val="24"/>
                <w:szCs w:val="24"/>
                <w:highlight w:val="none"/>
                <w:lang w:val="en-US" w:eastAsia="zh-CN" w:bidi="ar"/>
              </w:rPr>
              <w:t>2</w:t>
            </w:r>
            <w:r>
              <w:rPr>
                <w:rFonts w:hint="eastAsia" w:ascii="宋体" w:hAnsi="宋体" w:eastAsia="宋体" w:cs="宋体"/>
                <w:color w:val="auto"/>
                <w:spacing w:val="0"/>
                <w:kern w:val="2"/>
                <w:position w:val="0"/>
                <w:sz w:val="24"/>
                <w:szCs w:val="24"/>
                <w:highlight w:val="none"/>
                <w:lang w:val="en-US" w:eastAsia="zh-CN" w:bidi="ar"/>
              </w:rPr>
              <w:t>年胡杨河空气自动站大气环境监测结果见表</w:t>
            </w:r>
            <w:r>
              <w:rPr>
                <w:rFonts w:hint="eastAsia" w:ascii="Times New Roman" w:hAnsi="Times New Roman" w:eastAsia="宋体" w:cs="Times New Roman"/>
                <w:color w:val="auto"/>
                <w:spacing w:val="0"/>
                <w:kern w:val="2"/>
                <w:position w:val="0"/>
                <w:sz w:val="24"/>
                <w:szCs w:val="24"/>
                <w:highlight w:val="none"/>
                <w:lang w:val="en-US" w:eastAsia="zh-CN" w:bidi="ar"/>
              </w:rPr>
              <w:t>3-1</w:t>
            </w:r>
            <w:r>
              <w:rPr>
                <w:rFonts w:hint="eastAsia" w:ascii="宋体" w:hAnsi="宋体" w:eastAsia="宋体" w:cs="宋体"/>
                <w:color w:val="auto"/>
                <w:spacing w:val="0"/>
                <w:kern w:val="2"/>
                <w:position w:val="0"/>
                <w:sz w:val="24"/>
                <w:szCs w:val="24"/>
                <w:highlight w:val="none"/>
                <w:lang w:val="en-US" w:eastAsia="zh-CN" w:bidi="ar"/>
              </w:rPr>
              <w:t>。</w:t>
            </w:r>
          </w:p>
          <w:p w14:paraId="78AE50FC">
            <w:pPr>
              <w:pStyle w:val="21"/>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Arial"/>
                <w:b/>
                <w:bCs w:val="0"/>
                <w:color w:val="auto"/>
                <w:spacing w:val="0"/>
                <w:kern w:val="2"/>
                <w:position w:val="0"/>
                <w:sz w:val="21"/>
                <w:szCs w:val="21"/>
                <w:highlight w:val="none"/>
              </w:rPr>
            </w:pPr>
            <w:r>
              <w:rPr>
                <w:rFonts w:hint="eastAsia" w:ascii="宋体" w:hAnsi="宋体" w:eastAsia="宋体" w:cs="宋体"/>
                <w:b/>
                <w:bCs w:val="0"/>
                <w:color w:val="auto"/>
                <w:spacing w:val="0"/>
                <w:kern w:val="2"/>
                <w:position w:val="0"/>
                <w:sz w:val="21"/>
                <w:szCs w:val="21"/>
                <w:highlight w:val="none"/>
                <w:lang w:val="en-US" w:eastAsia="zh-CN" w:bidi="ar"/>
              </w:rPr>
              <w:t>表</w:t>
            </w:r>
            <w:r>
              <w:rPr>
                <w:rFonts w:hint="eastAsia" w:ascii="Times New Roman" w:hAnsi="Times New Roman" w:cs="Arial"/>
                <w:b/>
                <w:bCs w:val="0"/>
                <w:color w:val="auto"/>
                <w:spacing w:val="0"/>
                <w:kern w:val="2"/>
                <w:position w:val="0"/>
                <w:sz w:val="21"/>
                <w:szCs w:val="21"/>
                <w:highlight w:val="none"/>
                <w:lang w:val="en-US" w:eastAsia="zh-CN" w:bidi="ar"/>
              </w:rPr>
              <w:t>3-1</w:t>
            </w:r>
            <w:r>
              <w:rPr>
                <w:rFonts w:hint="default" w:ascii="Times New Roman" w:hAnsi="Times New Roman" w:cs="Arial"/>
                <w:b/>
                <w:bCs w:val="0"/>
                <w:color w:val="auto"/>
                <w:spacing w:val="0"/>
                <w:kern w:val="2"/>
                <w:position w:val="0"/>
                <w:sz w:val="21"/>
                <w:szCs w:val="21"/>
                <w:highlight w:val="none"/>
                <w:lang w:val="en-US" w:eastAsia="zh-CN" w:bidi="ar"/>
              </w:rPr>
              <w:t xml:space="preserve">    </w:t>
            </w:r>
            <w:r>
              <w:rPr>
                <w:rFonts w:hint="eastAsia" w:ascii="宋体" w:hAnsi="宋体" w:eastAsia="宋体" w:cs="宋体"/>
                <w:b/>
                <w:bCs w:val="0"/>
                <w:color w:val="auto"/>
                <w:spacing w:val="0"/>
                <w:kern w:val="2"/>
                <w:position w:val="0"/>
                <w:sz w:val="21"/>
                <w:szCs w:val="21"/>
                <w:highlight w:val="none"/>
                <w:lang w:val="en-US" w:eastAsia="zh-CN" w:bidi="ar"/>
              </w:rPr>
              <w:t>胡杨河空气自动站大气环境监测结果</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2722"/>
              <w:gridCol w:w="1334"/>
              <w:gridCol w:w="1190"/>
              <w:gridCol w:w="993"/>
              <w:gridCol w:w="844"/>
            </w:tblGrid>
            <w:tr w14:paraId="56280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0" w:type="dxa"/>
                  <w:tcBorders>
                    <w:tl2br w:val="nil"/>
                    <w:tr2bl w:val="nil"/>
                  </w:tcBorders>
                  <w:noWrap w:val="0"/>
                  <w:vAlign w:val="center"/>
                </w:tcPr>
                <w:p w14:paraId="2C51A1E1">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pacing w:val="0"/>
                      <w:kern w:val="2"/>
                      <w:position w:val="0"/>
                      <w:sz w:val="21"/>
                      <w:szCs w:val="21"/>
                      <w:highlight w:val="none"/>
                    </w:rPr>
                  </w:pPr>
                  <w:r>
                    <w:rPr>
                      <w:rFonts w:hint="default" w:ascii="Times New Roman" w:hAnsi="Times New Roman" w:eastAsia="宋体" w:cs="Times New Roman"/>
                      <w:b/>
                      <w:bCs/>
                      <w:color w:val="auto"/>
                      <w:spacing w:val="0"/>
                      <w:kern w:val="2"/>
                      <w:position w:val="0"/>
                      <w:sz w:val="21"/>
                      <w:szCs w:val="21"/>
                      <w:highlight w:val="none"/>
                      <w:lang w:val="en-US" w:eastAsia="zh-CN" w:bidi="ar"/>
                    </w:rPr>
                    <w:t>污染物</w:t>
                  </w:r>
                </w:p>
                <w:p w14:paraId="2002E944">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pacing w:val="0"/>
                      <w:kern w:val="2"/>
                      <w:position w:val="0"/>
                      <w:sz w:val="21"/>
                      <w:szCs w:val="21"/>
                      <w:highlight w:val="none"/>
                    </w:rPr>
                  </w:pPr>
                  <w:r>
                    <w:rPr>
                      <w:rFonts w:hint="default" w:ascii="Times New Roman" w:hAnsi="Times New Roman" w:eastAsia="宋体" w:cs="Times New Roman"/>
                      <w:b/>
                      <w:bCs/>
                      <w:color w:val="auto"/>
                      <w:spacing w:val="0"/>
                      <w:kern w:val="2"/>
                      <w:position w:val="0"/>
                      <w:sz w:val="21"/>
                      <w:szCs w:val="21"/>
                      <w:highlight w:val="none"/>
                      <w:lang w:val="en-US" w:eastAsia="zh-CN" w:bidi="ar"/>
                    </w:rPr>
                    <w:t>名称</w:t>
                  </w:r>
                </w:p>
              </w:tc>
              <w:tc>
                <w:tcPr>
                  <w:tcW w:w="2648" w:type="dxa"/>
                  <w:tcBorders>
                    <w:tl2br w:val="nil"/>
                    <w:tr2bl w:val="nil"/>
                  </w:tcBorders>
                  <w:noWrap w:val="0"/>
                  <w:vAlign w:val="center"/>
                </w:tcPr>
                <w:p w14:paraId="141FCCED">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pacing w:val="0"/>
                      <w:kern w:val="2"/>
                      <w:position w:val="0"/>
                      <w:sz w:val="21"/>
                      <w:szCs w:val="21"/>
                      <w:highlight w:val="none"/>
                    </w:rPr>
                  </w:pPr>
                  <w:r>
                    <w:rPr>
                      <w:rFonts w:hint="default" w:ascii="Times New Roman" w:hAnsi="Times New Roman" w:eastAsia="宋体" w:cs="Times New Roman"/>
                      <w:b/>
                      <w:bCs/>
                      <w:color w:val="auto"/>
                      <w:spacing w:val="0"/>
                      <w:kern w:val="2"/>
                      <w:position w:val="0"/>
                      <w:sz w:val="21"/>
                      <w:szCs w:val="21"/>
                      <w:highlight w:val="none"/>
                      <w:lang w:val="en-US" w:eastAsia="zh-CN" w:bidi="ar"/>
                    </w:rPr>
                    <w:t>年评价指标</w:t>
                  </w:r>
                </w:p>
              </w:tc>
              <w:tc>
                <w:tcPr>
                  <w:tcW w:w="1298" w:type="dxa"/>
                  <w:tcBorders>
                    <w:tl2br w:val="nil"/>
                    <w:tr2bl w:val="nil"/>
                  </w:tcBorders>
                  <w:noWrap w:val="0"/>
                  <w:vAlign w:val="center"/>
                </w:tcPr>
                <w:p w14:paraId="070B411F">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pacing w:val="0"/>
                      <w:kern w:val="2"/>
                      <w:position w:val="0"/>
                      <w:sz w:val="21"/>
                      <w:szCs w:val="21"/>
                      <w:highlight w:val="none"/>
                    </w:rPr>
                  </w:pPr>
                  <w:r>
                    <w:rPr>
                      <w:rFonts w:hint="default" w:ascii="Times New Roman" w:hAnsi="Times New Roman" w:eastAsia="宋体" w:cs="Times New Roman"/>
                      <w:b/>
                      <w:bCs/>
                      <w:color w:val="auto"/>
                      <w:spacing w:val="0"/>
                      <w:kern w:val="2"/>
                      <w:position w:val="0"/>
                      <w:sz w:val="21"/>
                      <w:szCs w:val="21"/>
                      <w:highlight w:val="none"/>
                      <w:lang w:val="en-US" w:eastAsia="zh-CN" w:bidi="ar"/>
                    </w:rPr>
                    <w:t>评价标准</w:t>
                  </w:r>
                </w:p>
                <w:p w14:paraId="5DFDE25B">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pacing w:val="0"/>
                      <w:kern w:val="2"/>
                      <w:position w:val="0"/>
                      <w:sz w:val="21"/>
                      <w:szCs w:val="21"/>
                      <w:highlight w:val="none"/>
                    </w:rPr>
                  </w:pPr>
                  <w:r>
                    <w:rPr>
                      <w:rFonts w:hint="default" w:ascii="Times New Roman" w:hAnsi="Times New Roman" w:eastAsia="宋体" w:cs="Times New Roman"/>
                      <w:b/>
                      <w:bCs/>
                      <w:color w:val="auto"/>
                      <w:spacing w:val="0"/>
                      <w:kern w:val="2"/>
                      <w:position w:val="0"/>
                      <w:sz w:val="21"/>
                      <w:szCs w:val="21"/>
                      <w:highlight w:val="none"/>
                      <w:lang w:val="en-US" w:eastAsia="zh-CN" w:bidi="ar"/>
                    </w:rPr>
                    <w:t>（μg/m³</w:t>
                  </w:r>
                  <w:r>
                    <w:rPr>
                      <w:rFonts w:hint="eastAsia" w:ascii="宋体" w:hAnsi="宋体" w:eastAsia="宋体" w:cs="宋体"/>
                      <w:b/>
                      <w:bCs/>
                      <w:color w:val="auto"/>
                      <w:spacing w:val="0"/>
                      <w:kern w:val="2"/>
                      <w:position w:val="0"/>
                      <w:sz w:val="21"/>
                      <w:szCs w:val="21"/>
                      <w:highlight w:val="none"/>
                      <w:lang w:val="en-US" w:eastAsia="zh-CN" w:bidi="ar"/>
                    </w:rPr>
                    <w:t>）</w:t>
                  </w:r>
                </w:p>
              </w:tc>
              <w:tc>
                <w:tcPr>
                  <w:tcW w:w="1107" w:type="dxa"/>
                  <w:tcBorders>
                    <w:tl2br w:val="nil"/>
                    <w:tr2bl w:val="nil"/>
                  </w:tcBorders>
                  <w:noWrap w:val="0"/>
                  <w:vAlign w:val="center"/>
                </w:tcPr>
                <w:p w14:paraId="7E0236D4">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pacing w:val="0"/>
                      <w:kern w:val="2"/>
                      <w:position w:val="0"/>
                      <w:sz w:val="21"/>
                      <w:szCs w:val="21"/>
                      <w:highlight w:val="none"/>
                    </w:rPr>
                  </w:pPr>
                  <w:r>
                    <w:rPr>
                      <w:rFonts w:hint="default" w:ascii="Times New Roman" w:hAnsi="Times New Roman" w:eastAsia="宋体" w:cs="Times New Roman"/>
                      <w:b/>
                      <w:bCs/>
                      <w:color w:val="auto"/>
                      <w:spacing w:val="0"/>
                      <w:kern w:val="2"/>
                      <w:position w:val="0"/>
                      <w:sz w:val="21"/>
                      <w:szCs w:val="21"/>
                      <w:highlight w:val="none"/>
                      <w:lang w:val="en-US" w:eastAsia="zh-CN" w:bidi="ar"/>
                    </w:rPr>
                    <w:t>现状浓度</w:t>
                  </w:r>
                </w:p>
                <w:p w14:paraId="2DEABEEB">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pacing w:val="0"/>
                      <w:kern w:val="2"/>
                      <w:position w:val="0"/>
                      <w:sz w:val="21"/>
                      <w:szCs w:val="21"/>
                      <w:highlight w:val="none"/>
                    </w:rPr>
                  </w:pPr>
                  <w:r>
                    <w:rPr>
                      <w:rFonts w:hint="default" w:ascii="Times New Roman" w:hAnsi="Times New Roman" w:eastAsia="宋体" w:cs="Times New Roman"/>
                      <w:b/>
                      <w:bCs/>
                      <w:color w:val="auto"/>
                      <w:spacing w:val="0"/>
                      <w:kern w:val="2"/>
                      <w:position w:val="0"/>
                      <w:sz w:val="21"/>
                      <w:szCs w:val="21"/>
                      <w:highlight w:val="none"/>
                      <w:lang w:val="en-US" w:eastAsia="zh-CN" w:bidi="ar"/>
                    </w:rPr>
                    <w:t>（μg/m³</w:t>
                  </w:r>
                  <w:r>
                    <w:rPr>
                      <w:rFonts w:hint="eastAsia" w:ascii="宋体" w:hAnsi="宋体" w:eastAsia="宋体" w:cs="宋体"/>
                      <w:b/>
                      <w:bCs/>
                      <w:color w:val="auto"/>
                      <w:spacing w:val="0"/>
                      <w:kern w:val="2"/>
                      <w:position w:val="0"/>
                      <w:sz w:val="21"/>
                      <w:szCs w:val="21"/>
                      <w:highlight w:val="none"/>
                      <w:lang w:val="en-US" w:eastAsia="zh-CN" w:bidi="ar"/>
                    </w:rPr>
                    <w:t>）</w:t>
                  </w:r>
                </w:p>
              </w:tc>
              <w:tc>
                <w:tcPr>
                  <w:tcW w:w="966" w:type="dxa"/>
                  <w:tcBorders>
                    <w:tl2br w:val="nil"/>
                    <w:tr2bl w:val="nil"/>
                  </w:tcBorders>
                  <w:noWrap w:val="0"/>
                  <w:vAlign w:val="center"/>
                </w:tcPr>
                <w:p w14:paraId="009A75F8">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pacing w:val="0"/>
                      <w:kern w:val="2"/>
                      <w:position w:val="0"/>
                      <w:sz w:val="21"/>
                      <w:szCs w:val="21"/>
                      <w:highlight w:val="none"/>
                    </w:rPr>
                  </w:pPr>
                  <w:r>
                    <w:rPr>
                      <w:rFonts w:hint="default" w:ascii="Times New Roman" w:hAnsi="Times New Roman" w:eastAsia="宋体" w:cs="Times New Roman"/>
                      <w:b/>
                      <w:bCs/>
                      <w:color w:val="auto"/>
                      <w:spacing w:val="0"/>
                      <w:kern w:val="2"/>
                      <w:position w:val="0"/>
                      <w:sz w:val="21"/>
                      <w:szCs w:val="21"/>
                      <w:highlight w:val="none"/>
                      <w:lang w:val="en-US" w:eastAsia="zh-CN" w:bidi="ar"/>
                    </w:rPr>
                    <w:t>占标率（%</w:t>
                  </w:r>
                  <w:r>
                    <w:rPr>
                      <w:rFonts w:hint="eastAsia" w:ascii="宋体" w:hAnsi="宋体" w:eastAsia="宋体" w:cs="宋体"/>
                      <w:b/>
                      <w:bCs/>
                      <w:color w:val="auto"/>
                      <w:spacing w:val="0"/>
                      <w:kern w:val="2"/>
                      <w:position w:val="0"/>
                      <w:sz w:val="21"/>
                      <w:szCs w:val="21"/>
                      <w:highlight w:val="none"/>
                      <w:lang w:val="en-US" w:eastAsia="zh-CN" w:bidi="ar"/>
                    </w:rPr>
                    <w:t>）</w:t>
                  </w:r>
                </w:p>
              </w:tc>
              <w:tc>
                <w:tcPr>
                  <w:tcW w:w="821" w:type="dxa"/>
                  <w:tcBorders>
                    <w:tl2br w:val="nil"/>
                    <w:tr2bl w:val="nil"/>
                  </w:tcBorders>
                  <w:noWrap w:val="0"/>
                  <w:vAlign w:val="center"/>
                </w:tcPr>
                <w:p w14:paraId="1A940DFA">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pacing w:val="0"/>
                      <w:kern w:val="2"/>
                      <w:position w:val="0"/>
                      <w:sz w:val="21"/>
                      <w:szCs w:val="21"/>
                      <w:highlight w:val="none"/>
                    </w:rPr>
                  </w:pPr>
                  <w:r>
                    <w:rPr>
                      <w:rFonts w:hint="default" w:ascii="Times New Roman" w:hAnsi="Times New Roman" w:eastAsia="宋体" w:cs="Times New Roman"/>
                      <w:b/>
                      <w:bCs/>
                      <w:color w:val="auto"/>
                      <w:spacing w:val="0"/>
                      <w:kern w:val="2"/>
                      <w:position w:val="0"/>
                      <w:sz w:val="21"/>
                      <w:szCs w:val="21"/>
                      <w:highlight w:val="none"/>
                      <w:lang w:val="en-US" w:eastAsia="zh-CN" w:bidi="ar"/>
                    </w:rPr>
                    <w:t>达标情况</w:t>
                  </w:r>
                </w:p>
              </w:tc>
            </w:tr>
            <w:tr w14:paraId="7BEAA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0" w:type="dxa"/>
                  <w:tcBorders>
                    <w:tl2br w:val="nil"/>
                    <w:tr2bl w:val="nil"/>
                  </w:tcBorders>
                  <w:noWrap w:val="0"/>
                  <w:vAlign w:val="center"/>
                </w:tcPr>
                <w:p w14:paraId="3AAFD9DC">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0"/>
                      <w:kern w:val="2"/>
                      <w:position w:val="0"/>
                      <w:sz w:val="21"/>
                      <w:szCs w:val="21"/>
                      <w:highlight w:val="none"/>
                    </w:rPr>
                  </w:pPr>
                  <w:r>
                    <w:rPr>
                      <w:rFonts w:hint="default" w:ascii="Times New Roman" w:hAnsi="Times New Roman" w:eastAsia="宋体" w:cs="Times New Roman"/>
                      <w:color w:val="auto"/>
                      <w:spacing w:val="0"/>
                      <w:kern w:val="2"/>
                      <w:position w:val="0"/>
                      <w:sz w:val="21"/>
                      <w:szCs w:val="21"/>
                      <w:highlight w:val="none"/>
                      <w:lang w:val="en-US" w:eastAsia="zh-CN" w:bidi="ar"/>
                    </w:rPr>
                    <w:t>SO</w:t>
                  </w:r>
                  <w:r>
                    <w:rPr>
                      <w:rFonts w:hint="default" w:ascii="Times New Roman" w:hAnsi="Times New Roman" w:eastAsia="宋体" w:cs="Times New Roman"/>
                      <w:color w:val="auto"/>
                      <w:spacing w:val="0"/>
                      <w:kern w:val="2"/>
                      <w:position w:val="0"/>
                      <w:sz w:val="21"/>
                      <w:szCs w:val="21"/>
                      <w:highlight w:val="none"/>
                      <w:vertAlign w:val="subscript"/>
                      <w:lang w:val="en-US" w:eastAsia="zh-CN" w:bidi="ar"/>
                    </w:rPr>
                    <w:t>2</w:t>
                  </w:r>
                </w:p>
              </w:tc>
              <w:tc>
                <w:tcPr>
                  <w:tcW w:w="2648" w:type="dxa"/>
                  <w:tcBorders>
                    <w:tl2br w:val="nil"/>
                    <w:tr2bl w:val="nil"/>
                  </w:tcBorders>
                  <w:noWrap w:val="0"/>
                  <w:vAlign w:val="center"/>
                </w:tcPr>
                <w:p w14:paraId="1FD146C3">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0"/>
                      <w:kern w:val="2"/>
                      <w:position w:val="0"/>
                      <w:sz w:val="21"/>
                      <w:szCs w:val="21"/>
                      <w:highlight w:val="none"/>
                    </w:rPr>
                  </w:pPr>
                  <w:r>
                    <w:rPr>
                      <w:rFonts w:hint="default" w:ascii="Times New Roman" w:hAnsi="Times New Roman" w:eastAsia="宋体" w:cs="Times New Roman"/>
                      <w:color w:val="auto"/>
                      <w:spacing w:val="0"/>
                      <w:kern w:val="2"/>
                      <w:position w:val="0"/>
                      <w:sz w:val="21"/>
                      <w:szCs w:val="21"/>
                      <w:highlight w:val="none"/>
                      <w:lang w:val="en-US" w:eastAsia="zh-CN" w:bidi="ar"/>
                    </w:rPr>
                    <w:t>年平均</w:t>
                  </w:r>
                </w:p>
              </w:tc>
              <w:tc>
                <w:tcPr>
                  <w:tcW w:w="1298" w:type="dxa"/>
                  <w:tcBorders>
                    <w:tl2br w:val="nil"/>
                    <w:tr2bl w:val="nil"/>
                  </w:tcBorders>
                  <w:noWrap w:val="0"/>
                  <w:vAlign w:val="center"/>
                </w:tcPr>
                <w:p w14:paraId="5C0E2C04">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0"/>
                      <w:kern w:val="2"/>
                      <w:position w:val="0"/>
                      <w:sz w:val="21"/>
                      <w:szCs w:val="21"/>
                      <w:highlight w:val="none"/>
                    </w:rPr>
                  </w:pPr>
                  <w:r>
                    <w:rPr>
                      <w:rFonts w:hint="default" w:ascii="Times New Roman" w:hAnsi="Times New Roman" w:eastAsia="宋体" w:cs="Times New Roman"/>
                      <w:color w:val="auto"/>
                      <w:spacing w:val="0"/>
                      <w:kern w:val="2"/>
                      <w:position w:val="0"/>
                      <w:sz w:val="21"/>
                      <w:szCs w:val="21"/>
                      <w:highlight w:val="none"/>
                      <w:lang w:val="en-US" w:eastAsia="zh-CN" w:bidi="ar"/>
                    </w:rPr>
                    <w:t>60</w:t>
                  </w:r>
                </w:p>
              </w:tc>
              <w:tc>
                <w:tcPr>
                  <w:tcW w:w="1107" w:type="dxa"/>
                  <w:tcBorders>
                    <w:tl2br w:val="nil"/>
                    <w:tr2bl w:val="nil"/>
                  </w:tcBorders>
                  <w:noWrap w:val="0"/>
                  <w:vAlign w:val="center"/>
                </w:tcPr>
                <w:p w14:paraId="0AB755FC">
                  <w:pPr>
                    <w:widowControl/>
                    <w:jc w:val="center"/>
                    <w:textAlignment w:val="center"/>
                    <w:rPr>
                      <w:rFonts w:hint="default" w:ascii="Times New Roman" w:hAnsi="Times New Roman" w:eastAsia="宋体" w:cs="Times New Roman"/>
                      <w:bCs/>
                      <w:color w:val="auto"/>
                      <w:spacing w:val="0"/>
                      <w:kern w:val="2"/>
                      <w:position w:val="0"/>
                      <w:sz w:val="21"/>
                      <w:szCs w:val="21"/>
                      <w:highlight w:val="none"/>
                      <w:lang w:val="en-US" w:eastAsia="zh-CN" w:bidi="ar-SA"/>
                    </w:rPr>
                  </w:pPr>
                  <w:r>
                    <w:rPr>
                      <w:rFonts w:hint="eastAsia" w:ascii="Times New Roman" w:hAnsi="Times New Roman" w:eastAsia="宋体" w:cs="Times New Roman"/>
                      <w:bCs/>
                      <w:color w:val="auto"/>
                      <w:spacing w:val="0"/>
                      <w:kern w:val="2"/>
                      <w:position w:val="0"/>
                      <w:sz w:val="21"/>
                      <w:szCs w:val="21"/>
                      <w:highlight w:val="none"/>
                      <w:lang w:val="en-US" w:eastAsia="zh-CN" w:bidi="ar-SA"/>
                    </w:rPr>
                    <w:t>12</w:t>
                  </w:r>
                </w:p>
              </w:tc>
              <w:tc>
                <w:tcPr>
                  <w:tcW w:w="966" w:type="dxa"/>
                  <w:tcBorders>
                    <w:tl2br w:val="nil"/>
                    <w:tr2bl w:val="nil"/>
                  </w:tcBorders>
                  <w:noWrap w:val="0"/>
                  <w:vAlign w:val="center"/>
                </w:tcPr>
                <w:p w14:paraId="15E7132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eastAsia" w:ascii="Times New Roman" w:hAnsi="Times New Roman" w:eastAsia="宋体" w:cs="Times New Roman"/>
                      <w:b w:val="0"/>
                      <w:bCs w:val="0"/>
                      <w:color w:val="auto"/>
                      <w:spacing w:val="0"/>
                      <w:kern w:val="2"/>
                      <w:position w:val="0"/>
                      <w:sz w:val="21"/>
                      <w:szCs w:val="21"/>
                      <w:highlight w:val="none"/>
                      <w:lang w:val="en-US" w:eastAsia="zh-CN" w:bidi="ar"/>
                    </w:rPr>
                    <w:t>20</w:t>
                  </w:r>
                </w:p>
              </w:tc>
              <w:tc>
                <w:tcPr>
                  <w:tcW w:w="821" w:type="dxa"/>
                  <w:tcBorders>
                    <w:tl2br w:val="nil"/>
                    <w:tr2bl w:val="nil"/>
                  </w:tcBorders>
                  <w:noWrap w:val="0"/>
                  <w:vAlign w:val="center"/>
                </w:tcPr>
                <w:p w14:paraId="20AAD297">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0"/>
                      <w:kern w:val="2"/>
                      <w:position w:val="0"/>
                      <w:sz w:val="21"/>
                      <w:szCs w:val="21"/>
                      <w:highlight w:val="none"/>
                    </w:rPr>
                  </w:pPr>
                  <w:r>
                    <w:rPr>
                      <w:rFonts w:hint="default" w:ascii="Times New Roman" w:hAnsi="Times New Roman" w:eastAsia="宋体" w:cs="Times New Roman"/>
                      <w:color w:val="auto"/>
                      <w:spacing w:val="0"/>
                      <w:kern w:val="2"/>
                      <w:position w:val="0"/>
                      <w:sz w:val="21"/>
                      <w:szCs w:val="21"/>
                      <w:highlight w:val="none"/>
                      <w:lang w:val="en-US" w:eastAsia="zh-CN" w:bidi="ar"/>
                    </w:rPr>
                    <w:t>达标</w:t>
                  </w:r>
                </w:p>
              </w:tc>
            </w:tr>
            <w:tr w14:paraId="33030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0" w:type="dxa"/>
                  <w:tcBorders>
                    <w:tl2br w:val="nil"/>
                    <w:tr2bl w:val="nil"/>
                  </w:tcBorders>
                  <w:noWrap w:val="0"/>
                  <w:vAlign w:val="center"/>
                </w:tcPr>
                <w:p w14:paraId="5CD0FB7E">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0"/>
                      <w:kern w:val="2"/>
                      <w:position w:val="0"/>
                      <w:sz w:val="21"/>
                      <w:szCs w:val="21"/>
                      <w:highlight w:val="none"/>
                    </w:rPr>
                  </w:pPr>
                  <w:r>
                    <w:rPr>
                      <w:rFonts w:hint="default" w:ascii="Times New Roman" w:hAnsi="Times New Roman" w:eastAsia="宋体" w:cs="Times New Roman"/>
                      <w:color w:val="auto"/>
                      <w:spacing w:val="0"/>
                      <w:kern w:val="2"/>
                      <w:position w:val="0"/>
                      <w:sz w:val="21"/>
                      <w:szCs w:val="21"/>
                      <w:highlight w:val="none"/>
                      <w:lang w:val="en-US" w:eastAsia="zh-CN" w:bidi="ar"/>
                    </w:rPr>
                    <w:t>NO</w:t>
                  </w:r>
                  <w:r>
                    <w:rPr>
                      <w:rFonts w:hint="default" w:ascii="Times New Roman" w:hAnsi="Times New Roman" w:eastAsia="宋体" w:cs="Times New Roman"/>
                      <w:color w:val="auto"/>
                      <w:spacing w:val="0"/>
                      <w:kern w:val="2"/>
                      <w:position w:val="0"/>
                      <w:sz w:val="21"/>
                      <w:szCs w:val="21"/>
                      <w:highlight w:val="none"/>
                      <w:vertAlign w:val="subscript"/>
                      <w:lang w:val="en-US" w:eastAsia="zh-CN" w:bidi="ar"/>
                    </w:rPr>
                    <w:t>2</w:t>
                  </w:r>
                </w:p>
              </w:tc>
              <w:tc>
                <w:tcPr>
                  <w:tcW w:w="2648" w:type="dxa"/>
                  <w:tcBorders>
                    <w:tl2br w:val="nil"/>
                    <w:tr2bl w:val="nil"/>
                  </w:tcBorders>
                  <w:noWrap w:val="0"/>
                  <w:vAlign w:val="center"/>
                </w:tcPr>
                <w:p w14:paraId="6691B848">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0"/>
                      <w:kern w:val="2"/>
                      <w:position w:val="0"/>
                      <w:sz w:val="21"/>
                      <w:szCs w:val="21"/>
                      <w:highlight w:val="none"/>
                    </w:rPr>
                  </w:pPr>
                  <w:r>
                    <w:rPr>
                      <w:rFonts w:hint="default" w:ascii="Times New Roman" w:hAnsi="Times New Roman" w:eastAsia="宋体" w:cs="Times New Roman"/>
                      <w:color w:val="auto"/>
                      <w:spacing w:val="0"/>
                      <w:kern w:val="2"/>
                      <w:position w:val="0"/>
                      <w:sz w:val="21"/>
                      <w:szCs w:val="21"/>
                      <w:highlight w:val="none"/>
                      <w:lang w:val="en-US" w:eastAsia="zh-CN" w:bidi="ar"/>
                    </w:rPr>
                    <w:t>年平均</w:t>
                  </w:r>
                </w:p>
              </w:tc>
              <w:tc>
                <w:tcPr>
                  <w:tcW w:w="1298" w:type="dxa"/>
                  <w:tcBorders>
                    <w:tl2br w:val="nil"/>
                    <w:tr2bl w:val="nil"/>
                  </w:tcBorders>
                  <w:noWrap w:val="0"/>
                  <w:vAlign w:val="center"/>
                </w:tcPr>
                <w:p w14:paraId="39B8F6C6">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0"/>
                      <w:kern w:val="2"/>
                      <w:position w:val="0"/>
                      <w:sz w:val="21"/>
                      <w:szCs w:val="21"/>
                      <w:highlight w:val="none"/>
                    </w:rPr>
                  </w:pPr>
                  <w:r>
                    <w:rPr>
                      <w:rFonts w:hint="default" w:ascii="Times New Roman" w:hAnsi="Times New Roman" w:eastAsia="宋体" w:cs="Times New Roman"/>
                      <w:color w:val="auto"/>
                      <w:spacing w:val="0"/>
                      <w:kern w:val="2"/>
                      <w:position w:val="0"/>
                      <w:sz w:val="21"/>
                      <w:szCs w:val="21"/>
                      <w:highlight w:val="none"/>
                      <w:lang w:val="en-US" w:eastAsia="zh-CN" w:bidi="ar"/>
                    </w:rPr>
                    <w:t>40</w:t>
                  </w:r>
                </w:p>
              </w:tc>
              <w:tc>
                <w:tcPr>
                  <w:tcW w:w="1107" w:type="dxa"/>
                  <w:tcBorders>
                    <w:tl2br w:val="nil"/>
                    <w:tr2bl w:val="nil"/>
                  </w:tcBorders>
                  <w:noWrap w:val="0"/>
                  <w:vAlign w:val="center"/>
                </w:tcPr>
                <w:p w14:paraId="1B87B81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eastAsia" w:ascii="Times New Roman" w:hAnsi="Times New Roman" w:eastAsia="宋体" w:cs="Times New Roman"/>
                      <w:b w:val="0"/>
                      <w:bCs w:val="0"/>
                      <w:color w:val="auto"/>
                      <w:spacing w:val="0"/>
                      <w:kern w:val="2"/>
                      <w:position w:val="0"/>
                      <w:sz w:val="21"/>
                      <w:szCs w:val="21"/>
                      <w:highlight w:val="none"/>
                      <w:lang w:val="en-US" w:eastAsia="zh-CN" w:bidi="ar"/>
                    </w:rPr>
                    <w:t>10</w:t>
                  </w:r>
                </w:p>
              </w:tc>
              <w:tc>
                <w:tcPr>
                  <w:tcW w:w="966" w:type="dxa"/>
                  <w:tcBorders>
                    <w:tl2br w:val="nil"/>
                    <w:tr2bl w:val="nil"/>
                  </w:tcBorders>
                  <w:noWrap w:val="0"/>
                  <w:vAlign w:val="center"/>
                </w:tcPr>
                <w:p w14:paraId="132F6C9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eastAsia" w:ascii="Times New Roman" w:hAnsi="Times New Roman" w:eastAsia="宋体" w:cs="Times New Roman"/>
                      <w:b w:val="0"/>
                      <w:bCs w:val="0"/>
                      <w:color w:val="auto"/>
                      <w:spacing w:val="0"/>
                      <w:kern w:val="2"/>
                      <w:position w:val="0"/>
                      <w:sz w:val="21"/>
                      <w:szCs w:val="21"/>
                      <w:highlight w:val="none"/>
                      <w:lang w:val="en-US" w:eastAsia="zh-CN" w:bidi="ar"/>
                    </w:rPr>
                    <w:t>25</w:t>
                  </w:r>
                </w:p>
              </w:tc>
              <w:tc>
                <w:tcPr>
                  <w:tcW w:w="821" w:type="dxa"/>
                  <w:tcBorders>
                    <w:tl2br w:val="nil"/>
                    <w:tr2bl w:val="nil"/>
                  </w:tcBorders>
                  <w:noWrap w:val="0"/>
                  <w:vAlign w:val="center"/>
                </w:tcPr>
                <w:p w14:paraId="7A2FFBE2">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0"/>
                      <w:kern w:val="2"/>
                      <w:position w:val="0"/>
                      <w:sz w:val="21"/>
                      <w:szCs w:val="21"/>
                      <w:highlight w:val="none"/>
                    </w:rPr>
                  </w:pPr>
                  <w:r>
                    <w:rPr>
                      <w:rFonts w:hint="default" w:ascii="Times New Roman" w:hAnsi="Times New Roman" w:eastAsia="宋体" w:cs="Times New Roman"/>
                      <w:color w:val="auto"/>
                      <w:spacing w:val="0"/>
                      <w:kern w:val="2"/>
                      <w:position w:val="0"/>
                      <w:sz w:val="21"/>
                      <w:szCs w:val="21"/>
                      <w:highlight w:val="none"/>
                      <w:lang w:val="en-US" w:eastAsia="zh-CN" w:bidi="ar"/>
                    </w:rPr>
                    <w:t>达标</w:t>
                  </w:r>
                </w:p>
              </w:tc>
            </w:tr>
            <w:tr w14:paraId="16415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0" w:type="dxa"/>
                  <w:tcBorders>
                    <w:tl2br w:val="nil"/>
                    <w:tr2bl w:val="nil"/>
                  </w:tcBorders>
                  <w:noWrap w:val="0"/>
                  <w:vAlign w:val="center"/>
                </w:tcPr>
                <w:p w14:paraId="0B572805">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0"/>
                      <w:kern w:val="2"/>
                      <w:position w:val="0"/>
                      <w:sz w:val="21"/>
                      <w:szCs w:val="21"/>
                      <w:highlight w:val="none"/>
                    </w:rPr>
                  </w:pPr>
                  <w:r>
                    <w:rPr>
                      <w:rFonts w:hint="default" w:ascii="Times New Roman" w:hAnsi="Times New Roman" w:eastAsia="宋体" w:cs="Times New Roman"/>
                      <w:color w:val="auto"/>
                      <w:spacing w:val="0"/>
                      <w:kern w:val="2"/>
                      <w:position w:val="0"/>
                      <w:sz w:val="21"/>
                      <w:szCs w:val="21"/>
                      <w:highlight w:val="none"/>
                      <w:lang w:val="en-US" w:eastAsia="zh-CN" w:bidi="ar"/>
                    </w:rPr>
                    <w:t>PM</w:t>
                  </w:r>
                  <w:r>
                    <w:rPr>
                      <w:rFonts w:hint="default" w:ascii="Times New Roman" w:hAnsi="Times New Roman" w:eastAsia="宋体" w:cs="Times New Roman"/>
                      <w:color w:val="auto"/>
                      <w:spacing w:val="0"/>
                      <w:kern w:val="2"/>
                      <w:position w:val="0"/>
                      <w:sz w:val="21"/>
                      <w:szCs w:val="21"/>
                      <w:highlight w:val="none"/>
                      <w:vertAlign w:val="subscript"/>
                      <w:lang w:val="en-US" w:eastAsia="zh-CN" w:bidi="ar"/>
                    </w:rPr>
                    <w:t>10</w:t>
                  </w:r>
                </w:p>
              </w:tc>
              <w:tc>
                <w:tcPr>
                  <w:tcW w:w="2648" w:type="dxa"/>
                  <w:tcBorders>
                    <w:tl2br w:val="nil"/>
                    <w:tr2bl w:val="nil"/>
                  </w:tcBorders>
                  <w:noWrap w:val="0"/>
                  <w:vAlign w:val="center"/>
                </w:tcPr>
                <w:p w14:paraId="1272891F">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0"/>
                      <w:kern w:val="2"/>
                      <w:position w:val="0"/>
                      <w:sz w:val="21"/>
                      <w:szCs w:val="21"/>
                      <w:highlight w:val="none"/>
                    </w:rPr>
                  </w:pPr>
                  <w:r>
                    <w:rPr>
                      <w:rFonts w:hint="default" w:ascii="Times New Roman" w:hAnsi="Times New Roman" w:eastAsia="宋体" w:cs="Times New Roman"/>
                      <w:color w:val="auto"/>
                      <w:spacing w:val="0"/>
                      <w:kern w:val="2"/>
                      <w:position w:val="0"/>
                      <w:sz w:val="21"/>
                      <w:szCs w:val="21"/>
                      <w:highlight w:val="none"/>
                      <w:lang w:val="en-US" w:eastAsia="zh-CN" w:bidi="ar"/>
                    </w:rPr>
                    <w:t>年平均</w:t>
                  </w:r>
                </w:p>
              </w:tc>
              <w:tc>
                <w:tcPr>
                  <w:tcW w:w="1298" w:type="dxa"/>
                  <w:tcBorders>
                    <w:tl2br w:val="nil"/>
                    <w:tr2bl w:val="nil"/>
                  </w:tcBorders>
                  <w:noWrap w:val="0"/>
                  <w:vAlign w:val="center"/>
                </w:tcPr>
                <w:p w14:paraId="65CF374A">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0"/>
                      <w:kern w:val="2"/>
                      <w:position w:val="0"/>
                      <w:sz w:val="21"/>
                      <w:szCs w:val="21"/>
                      <w:highlight w:val="none"/>
                    </w:rPr>
                  </w:pPr>
                  <w:r>
                    <w:rPr>
                      <w:rFonts w:hint="default" w:ascii="Times New Roman" w:hAnsi="Times New Roman" w:eastAsia="宋体" w:cs="Times New Roman"/>
                      <w:color w:val="auto"/>
                      <w:spacing w:val="0"/>
                      <w:kern w:val="2"/>
                      <w:position w:val="0"/>
                      <w:sz w:val="21"/>
                      <w:szCs w:val="21"/>
                      <w:highlight w:val="none"/>
                      <w:lang w:val="en-US" w:eastAsia="zh-CN" w:bidi="ar"/>
                    </w:rPr>
                    <w:t>70</w:t>
                  </w:r>
                </w:p>
              </w:tc>
              <w:tc>
                <w:tcPr>
                  <w:tcW w:w="1107" w:type="dxa"/>
                  <w:tcBorders>
                    <w:tl2br w:val="nil"/>
                    <w:tr2bl w:val="nil"/>
                  </w:tcBorders>
                  <w:noWrap w:val="0"/>
                  <w:vAlign w:val="center"/>
                </w:tcPr>
                <w:p w14:paraId="69EE1806">
                  <w:pPr>
                    <w:widowControl/>
                    <w:jc w:val="center"/>
                    <w:textAlignment w:val="center"/>
                    <w:rPr>
                      <w:rFonts w:hint="default" w:ascii="Times New Roman" w:hAnsi="Times New Roman" w:eastAsia="宋体" w:cs="Times New Roman"/>
                      <w:bCs/>
                      <w:color w:val="auto"/>
                      <w:spacing w:val="0"/>
                      <w:kern w:val="2"/>
                      <w:position w:val="0"/>
                      <w:sz w:val="21"/>
                      <w:szCs w:val="21"/>
                      <w:highlight w:val="none"/>
                      <w:lang w:val="en-US" w:eastAsia="zh-CN" w:bidi="ar-SA"/>
                    </w:rPr>
                  </w:pPr>
                  <w:r>
                    <w:rPr>
                      <w:rFonts w:hint="eastAsia" w:ascii="Times New Roman" w:hAnsi="Times New Roman" w:eastAsia="宋体" w:cs="Times New Roman"/>
                      <w:bCs/>
                      <w:color w:val="auto"/>
                      <w:spacing w:val="0"/>
                      <w:kern w:val="2"/>
                      <w:position w:val="0"/>
                      <w:sz w:val="21"/>
                      <w:szCs w:val="21"/>
                      <w:highlight w:val="none"/>
                      <w:lang w:val="en-US" w:eastAsia="zh-CN" w:bidi="ar-SA"/>
                    </w:rPr>
                    <w:t>58</w:t>
                  </w:r>
                </w:p>
              </w:tc>
              <w:tc>
                <w:tcPr>
                  <w:tcW w:w="966" w:type="dxa"/>
                  <w:tcBorders>
                    <w:tl2br w:val="nil"/>
                    <w:tr2bl w:val="nil"/>
                  </w:tcBorders>
                  <w:noWrap w:val="0"/>
                  <w:vAlign w:val="center"/>
                </w:tcPr>
                <w:p w14:paraId="24A23C7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82.86</w:t>
                  </w:r>
                </w:p>
              </w:tc>
              <w:tc>
                <w:tcPr>
                  <w:tcW w:w="821" w:type="dxa"/>
                  <w:tcBorders>
                    <w:tl2br w:val="nil"/>
                    <w:tr2bl w:val="nil"/>
                  </w:tcBorders>
                  <w:noWrap w:val="0"/>
                  <w:vAlign w:val="center"/>
                </w:tcPr>
                <w:p w14:paraId="516786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0"/>
                      <w:kern w:val="2"/>
                      <w:position w:val="0"/>
                      <w:sz w:val="21"/>
                      <w:szCs w:val="21"/>
                      <w:highlight w:val="none"/>
                    </w:rPr>
                  </w:pPr>
                  <w:r>
                    <w:rPr>
                      <w:rFonts w:hint="default" w:ascii="Times New Roman" w:hAnsi="Times New Roman" w:eastAsia="宋体" w:cs="Times New Roman"/>
                      <w:color w:val="auto"/>
                      <w:spacing w:val="0"/>
                      <w:kern w:val="2"/>
                      <w:position w:val="0"/>
                      <w:sz w:val="21"/>
                      <w:szCs w:val="21"/>
                      <w:highlight w:val="none"/>
                      <w:lang w:val="en-US" w:eastAsia="zh-CN" w:bidi="ar"/>
                    </w:rPr>
                    <w:t>达标</w:t>
                  </w:r>
                </w:p>
              </w:tc>
            </w:tr>
            <w:tr w14:paraId="73E5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0" w:type="dxa"/>
                  <w:tcBorders>
                    <w:tl2br w:val="nil"/>
                    <w:tr2bl w:val="nil"/>
                  </w:tcBorders>
                  <w:noWrap w:val="0"/>
                  <w:vAlign w:val="center"/>
                </w:tcPr>
                <w:p w14:paraId="4EB1266D">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0"/>
                      <w:kern w:val="2"/>
                      <w:position w:val="0"/>
                      <w:sz w:val="21"/>
                      <w:szCs w:val="21"/>
                      <w:highlight w:val="none"/>
                    </w:rPr>
                  </w:pPr>
                  <w:r>
                    <w:rPr>
                      <w:rFonts w:hint="default" w:ascii="Times New Roman" w:hAnsi="Times New Roman" w:eastAsia="宋体" w:cs="Times New Roman"/>
                      <w:color w:val="auto"/>
                      <w:spacing w:val="0"/>
                      <w:kern w:val="2"/>
                      <w:position w:val="0"/>
                      <w:sz w:val="21"/>
                      <w:szCs w:val="21"/>
                      <w:highlight w:val="none"/>
                      <w:lang w:val="en-US" w:eastAsia="zh-CN" w:bidi="ar"/>
                    </w:rPr>
                    <w:t>PM</w:t>
                  </w:r>
                  <w:r>
                    <w:rPr>
                      <w:rFonts w:hint="default" w:ascii="Times New Roman" w:hAnsi="Times New Roman" w:eastAsia="宋体" w:cs="Times New Roman"/>
                      <w:color w:val="auto"/>
                      <w:spacing w:val="0"/>
                      <w:kern w:val="2"/>
                      <w:position w:val="0"/>
                      <w:sz w:val="21"/>
                      <w:szCs w:val="21"/>
                      <w:highlight w:val="none"/>
                      <w:vertAlign w:val="subscript"/>
                      <w:lang w:val="en-US" w:eastAsia="zh-CN" w:bidi="ar"/>
                    </w:rPr>
                    <w:t>2.5</w:t>
                  </w:r>
                </w:p>
              </w:tc>
              <w:tc>
                <w:tcPr>
                  <w:tcW w:w="2648" w:type="dxa"/>
                  <w:tcBorders>
                    <w:tl2br w:val="nil"/>
                    <w:tr2bl w:val="nil"/>
                  </w:tcBorders>
                  <w:noWrap w:val="0"/>
                  <w:vAlign w:val="center"/>
                </w:tcPr>
                <w:p w14:paraId="302B413E">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0"/>
                      <w:kern w:val="2"/>
                      <w:position w:val="0"/>
                      <w:sz w:val="21"/>
                      <w:szCs w:val="21"/>
                      <w:highlight w:val="none"/>
                    </w:rPr>
                  </w:pPr>
                  <w:r>
                    <w:rPr>
                      <w:rFonts w:hint="default" w:ascii="Times New Roman" w:hAnsi="Times New Roman" w:eastAsia="宋体" w:cs="Times New Roman"/>
                      <w:color w:val="auto"/>
                      <w:spacing w:val="0"/>
                      <w:kern w:val="2"/>
                      <w:position w:val="0"/>
                      <w:sz w:val="21"/>
                      <w:szCs w:val="21"/>
                      <w:highlight w:val="none"/>
                      <w:lang w:val="en-US" w:eastAsia="zh-CN" w:bidi="ar"/>
                    </w:rPr>
                    <w:t>年平均</w:t>
                  </w:r>
                </w:p>
              </w:tc>
              <w:tc>
                <w:tcPr>
                  <w:tcW w:w="1298" w:type="dxa"/>
                  <w:tcBorders>
                    <w:tl2br w:val="nil"/>
                    <w:tr2bl w:val="nil"/>
                  </w:tcBorders>
                  <w:noWrap w:val="0"/>
                  <w:vAlign w:val="center"/>
                </w:tcPr>
                <w:p w14:paraId="7155D75F">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0"/>
                      <w:kern w:val="2"/>
                      <w:position w:val="0"/>
                      <w:sz w:val="21"/>
                      <w:szCs w:val="21"/>
                      <w:highlight w:val="none"/>
                    </w:rPr>
                  </w:pPr>
                  <w:r>
                    <w:rPr>
                      <w:rFonts w:hint="default" w:ascii="Times New Roman" w:hAnsi="Times New Roman" w:eastAsia="宋体" w:cs="Times New Roman"/>
                      <w:color w:val="auto"/>
                      <w:spacing w:val="0"/>
                      <w:kern w:val="2"/>
                      <w:position w:val="0"/>
                      <w:sz w:val="21"/>
                      <w:szCs w:val="21"/>
                      <w:highlight w:val="none"/>
                      <w:lang w:val="en-US" w:eastAsia="zh-CN" w:bidi="ar"/>
                    </w:rPr>
                    <w:t>35</w:t>
                  </w:r>
                </w:p>
              </w:tc>
              <w:tc>
                <w:tcPr>
                  <w:tcW w:w="1107" w:type="dxa"/>
                  <w:tcBorders>
                    <w:tl2br w:val="nil"/>
                    <w:tr2bl w:val="nil"/>
                  </w:tcBorders>
                  <w:noWrap w:val="0"/>
                  <w:vAlign w:val="center"/>
                </w:tcPr>
                <w:p w14:paraId="5B49EFF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eastAsia" w:ascii="Times New Roman" w:hAnsi="Times New Roman" w:eastAsia="宋体" w:cs="Times New Roman"/>
                      <w:b w:val="0"/>
                      <w:bCs w:val="0"/>
                      <w:color w:val="auto"/>
                      <w:spacing w:val="0"/>
                      <w:kern w:val="2"/>
                      <w:position w:val="0"/>
                      <w:sz w:val="21"/>
                      <w:szCs w:val="21"/>
                      <w:highlight w:val="none"/>
                      <w:lang w:val="en-US" w:eastAsia="zh-CN" w:bidi="ar"/>
                    </w:rPr>
                    <w:t>32</w:t>
                  </w:r>
                </w:p>
              </w:tc>
              <w:tc>
                <w:tcPr>
                  <w:tcW w:w="966" w:type="dxa"/>
                  <w:tcBorders>
                    <w:tl2br w:val="nil"/>
                    <w:tr2bl w:val="nil"/>
                  </w:tcBorders>
                  <w:noWrap w:val="0"/>
                  <w:vAlign w:val="center"/>
                </w:tcPr>
                <w:p w14:paraId="466E180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default" w:ascii="Times New Roman" w:hAnsi="Times New Roman" w:eastAsia="宋体" w:cs="Times New Roman"/>
                      <w:b w:val="0"/>
                      <w:bCs w:val="0"/>
                      <w:color w:val="auto"/>
                      <w:spacing w:val="0"/>
                      <w:kern w:val="2"/>
                      <w:position w:val="0"/>
                      <w:sz w:val="21"/>
                      <w:szCs w:val="21"/>
                      <w:highlight w:val="none"/>
                      <w:lang w:val="en-US" w:eastAsia="zh-CN" w:bidi="ar"/>
                    </w:rPr>
                    <w:t>91.43</w:t>
                  </w:r>
                </w:p>
              </w:tc>
              <w:tc>
                <w:tcPr>
                  <w:tcW w:w="821" w:type="dxa"/>
                  <w:tcBorders>
                    <w:tl2br w:val="nil"/>
                    <w:tr2bl w:val="nil"/>
                  </w:tcBorders>
                  <w:noWrap w:val="0"/>
                  <w:vAlign w:val="center"/>
                </w:tcPr>
                <w:p w14:paraId="109606A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0"/>
                      <w:kern w:val="2"/>
                      <w:position w:val="0"/>
                      <w:sz w:val="21"/>
                      <w:szCs w:val="21"/>
                      <w:highlight w:val="none"/>
                    </w:rPr>
                  </w:pPr>
                  <w:r>
                    <w:rPr>
                      <w:rFonts w:hint="default" w:ascii="Times New Roman" w:hAnsi="Times New Roman" w:eastAsia="宋体" w:cs="Times New Roman"/>
                      <w:color w:val="auto"/>
                      <w:spacing w:val="0"/>
                      <w:kern w:val="2"/>
                      <w:position w:val="0"/>
                      <w:sz w:val="21"/>
                      <w:szCs w:val="21"/>
                      <w:highlight w:val="none"/>
                      <w:lang w:val="en-US" w:eastAsia="zh-CN" w:bidi="ar"/>
                    </w:rPr>
                    <w:t>达标</w:t>
                  </w:r>
                </w:p>
              </w:tc>
            </w:tr>
            <w:tr w14:paraId="68B6D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0" w:type="dxa"/>
                  <w:tcBorders>
                    <w:tl2br w:val="nil"/>
                    <w:tr2bl w:val="nil"/>
                  </w:tcBorders>
                  <w:noWrap w:val="0"/>
                  <w:vAlign w:val="center"/>
                </w:tcPr>
                <w:p w14:paraId="709E66F3">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0"/>
                      <w:kern w:val="2"/>
                      <w:position w:val="0"/>
                      <w:sz w:val="21"/>
                      <w:szCs w:val="21"/>
                      <w:highlight w:val="none"/>
                    </w:rPr>
                  </w:pPr>
                  <w:r>
                    <w:rPr>
                      <w:rFonts w:hint="default" w:ascii="Times New Roman" w:hAnsi="Times New Roman" w:eastAsia="宋体" w:cs="Times New Roman"/>
                      <w:color w:val="auto"/>
                      <w:spacing w:val="0"/>
                      <w:kern w:val="2"/>
                      <w:position w:val="0"/>
                      <w:sz w:val="21"/>
                      <w:szCs w:val="21"/>
                      <w:highlight w:val="none"/>
                      <w:lang w:val="en-US" w:eastAsia="zh-CN" w:bidi="ar"/>
                    </w:rPr>
                    <w:t>CO</w:t>
                  </w:r>
                </w:p>
              </w:tc>
              <w:tc>
                <w:tcPr>
                  <w:tcW w:w="2648" w:type="dxa"/>
                  <w:tcBorders>
                    <w:tl2br w:val="nil"/>
                    <w:tr2bl w:val="nil"/>
                  </w:tcBorders>
                  <w:noWrap w:val="0"/>
                  <w:vAlign w:val="center"/>
                </w:tcPr>
                <w:p w14:paraId="1D27FF33">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0"/>
                      <w:kern w:val="2"/>
                      <w:position w:val="0"/>
                      <w:sz w:val="21"/>
                      <w:szCs w:val="21"/>
                      <w:highlight w:val="none"/>
                    </w:rPr>
                  </w:pPr>
                  <w:r>
                    <w:rPr>
                      <w:rFonts w:hint="default" w:ascii="Times New Roman" w:hAnsi="Times New Roman" w:eastAsia="宋体" w:cs="Times New Roman"/>
                      <w:color w:val="auto"/>
                      <w:spacing w:val="0"/>
                      <w:kern w:val="2"/>
                      <w:position w:val="0"/>
                      <w:sz w:val="21"/>
                      <w:szCs w:val="21"/>
                      <w:highlight w:val="none"/>
                      <w:lang w:val="en-US" w:eastAsia="zh-CN" w:bidi="ar"/>
                    </w:rPr>
                    <w:t>24h</w:t>
                  </w:r>
                  <w:r>
                    <w:rPr>
                      <w:rFonts w:hint="eastAsia" w:ascii="宋体" w:hAnsi="宋体" w:eastAsia="宋体" w:cs="宋体"/>
                      <w:color w:val="auto"/>
                      <w:spacing w:val="0"/>
                      <w:kern w:val="2"/>
                      <w:position w:val="0"/>
                      <w:sz w:val="21"/>
                      <w:szCs w:val="21"/>
                      <w:highlight w:val="none"/>
                      <w:lang w:val="en-US" w:eastAsia="zh-CN" w:bidi="ar"/>
                    </w:rPr>
                    <w:t>平均第</w:t>
                  </w:r>
                  <w:r>
                    <w:rPr>
                      <w:rFonts w:hint="default" w:ascii="Times New Roman" w:hAnsi="Times New Roman" w:eastAsia="宋体" w:cs="Times New Roman"/>
                      <w:color w:val="auto"/>
                      <w:spacing w:val="0"/>
                      <w:kern w:val="2"/>
                      <w:position w:val="0"/>
                      <w:sz w:val="21"/>
                      <w:szCs w:val="21"/>
                      <w:highlight w:val="none"/>
                      <w:lang w:val="en-US" w:eastAsia="zh-CN" w:bidi="ar"/>
                    </w:rPr>
                    <w:t>95</w:t>
                  </w:r>
                  <w:r>
                    <w:rPr>
                      <w:rFonts w:hint="eastAsia" w:ascii="宋体" w:hAnsi="宋体" w:eastAsia="宋体" w:cs="宋体"/>
                      <w:color w:val="auto"/>
                      <w:spacing w:val="0"/>
                      <w:kern w:val="2"/>
                      <w:position w:val="0"/>
                      <w:sz w:val="21"/>
                      <w:szCs w:val="21"/>
                      <w:highlight w:val="none"/>
                      <w:lang w:val="en-US" w:eastAsia="zh-CN" w:bidi="ar"/>
                    </w:rPr>
                    <w:t>百分位数</w:t>
                  </w:r>
                </w:p>
              </w:tc>
              <w:tc>
                <w:tcPr>
                  <w:tcW w:w="1298" w:type="dxa"/>
                  <w:tcBorders>
                    <w:tl2br w:val="nil"/>
                    <w:tr2bl w:val="nil"/>
                  </w:tcBorders>
                  <w:noWrap w:val="0"/>
                  <w:vAlign w:val="center"/>
                </w:tcPr>
                <w:p w14:paraId="5BD27F8F">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0"/>
                      <w:kern w:val="2"/>
                      <w:position w:val="0"/>
                      <w:sz w:val="21"/>
                      <w:szCs w:val="21"/>
                      <w:highlight w:val="none"/>
                    </w:rPr>
                  </w:pPr>
                  <w:r>
                    <w:rPr>
                      <w:rFonts w:hint="default" w:ascii="Times New Roman" w:hAnsi="Times New Roman" w:eastAsia="宋体" w:cs="Times New Roman"/>
                      <w:color w:val="auto"/>
                      <w:spacing w:val="0"/>
                      <w:kern w:val="2"/>
                      <w:position w:val="0"/>
                      <w:sz w:val="21"/>
                      <w:szCs w:val="21"/>
                      <w:highlight w:val="none"/>
                      <w:lang w:val="en-US" w:eastAsia="zh-CN" w:bidi="ar"/>
                    </w:rPr>
                    <w:t>4000</w:t>
                  </w:r>
                </w:p>
              </w:tc>
              <w:tc>
                <w:tcPr>
                  <w:tcW w:w="1107" w:type="dxa"/>
                  <w:tcBorders>
                    <w:tl2br w:val="nil"/>
                    <w:tr2bl w:val="nil"/>
                  </w:tcBorders>
                  <w:noWrap w:val="0"/>
                  <w:vAlign w:val="center"/>
                </w:tcPr>
                <w:p w14:paraId="34522C5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eastAsia" w:ascii="Times New Roman" w:hAnsi="Times New Roman" w:eastAsia="宋体" w:cs="Times New Roman"/>
                      <w:b w:val="0"/>
                      <w:bCs w:val="0"/>
                      <w:color w:val="auto"/>
                      <w:spacing w:val="0"/>
                      <w:kern w:val="2"/>
                      <w:position w:val="0"/>
                      <w:sz w:val="21"/>
                      <w:szCs w:val="21"/>
                      <w:highlight w:val="none"/>
                      <w:lang w:val="en-US" w:eastAsia="zh-CN" w:bidi="ar"/>
                    </w:rPr>
                    <w:t>2200</w:t>
                  </w:r>
                </w:p>
              </w:tc>
              <w:tc>
                <w:tcPr>
                  <w:tcW w:w="966" w:type="dxa"/>
                  <w:tcBorders>
                    <w:tl2br w:val="nil"/>
                    <w:tr2bl w:val="nil"/>
                  </w:tcBorders>
                  <w:noWrap w:val="0"/>
                  <w:vAlign w:val="center"/>
                </w:tcPr>
                <w:p w14:paraId="518D415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eastAsia" w:ascii="Times New Roman" w:hAnsi="Times New Roman" w:eastAsia="宋体" w:cs="Times New Roman"/>
                      <w:b w:val="0"/>
                      <w:bCs w:val="0"/>
                      <w:color w:val="auto"/>
                      <w:spacing w:val="0"/>
                      <w:kern w:val="2"/>
                      <w:position w:val="0"/>
                      <w:sz w:val="21"/>
                      <w:szCs w:val="21"/>
                      <w:highlight w:val="none"/>
                      <w:lang w:val="en-US" w:eastAsia="zh-CN" w:bidi="ar"/>
                    </w:rPr>
                    <w:t>55</w:t>
                  </w:r>
                </w:p>
              </w:tc>
              <w:tc>
                <w:tcPr>
                  <w:tcW w:w="821" w:type="dxa"/>
                  <w:tcBorders>
                    <w:tl2br w:val="nil"/>
                    <w:tr2bl w:val="nil"/>
                  </w:tcBorders>
                  <w:noWrap w:val="0"/>
                  <w:vAlign w:val="center"/>
                </w:tcPr>
                <w:p w14:paraId="364B1EA7">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0"/>
                      <w:kern w:val="2"/>
                      <w:position w:val="0"/>
                      <w:sz w:val="21"/>
                      <w:szCs w:val="21"/>
                      <w:highlight w:val="none"/>
                    </w:rPr>
                  </w:pPr>
                  <w:r>
                    <w:rPr>
                      <w:rFonts w:hint="default" w:ascii="Times New Roman" w:hAnsi="Times New Roman" w:eastAsia="宋体" w:cs="Times New Roman"/>
                      <w:color w:val="auto"/>
                      <w:spacing w:val="0"/>
                      <w:kern w:val="2"/>
                      <w:position w:val="0"/>
                      <w:sz w:val="21"/>
                      <w:szCs w:val="21"/>
                      <w:highlight w:val="none"/>
                      <w:lang w:val="en-US" w:eastAsia="zh-CN" w:bidi="ar"/>
                    </w:rPr>
                    <w:t>达标</w:t>
                  </w:r>
                </w:p>
              </w:tc>
            </w:tr>
            <w:tr w14:paraId="6C1E4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0" w:type="dxa"/>
                  <w:tcBorders>
                    <w:tl2br w:val="nil"/>
                    <w:tr2bl w:val="nil"/>
                  </w:tcBorders>
                  <w:noWrap w:val="0"/>
                  <w:vAlign w:val="center"/>
                </w:tcPr>
                <w:p w14:paraId="740D78E8">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0"/>
                      <w:kern w:val="2"/>
                      <w:position w:val="0"/>
                      <w:sz w:val="21"/>
                      <w:szCs w:val="21"/>
                      <w:highlight w:val="none"/>
                    </w:rPr>
                  </w:pPr>
                  <w:r>
                    <w:rPr>
                      <w:rFonts w:hint="default" w:ascii="Times New Roman" w:hAnsi="Times New Roman" w:eastAsia="宋体" w:cs="Times New Roman"/>
                      <w:color w:val="auto"/>
                      <w:spacing w:val="0"/>
                      <w:kern w:val="2"/>
                      <w:position w:val="0"/>
                      <w:sz w:val="21"/>
                      <w:szCs w:val="21"/>
                      <w:highlight w:val="none"/>
                      <w:lang w:val="en-US" w:eastAsia="zh-CN" w:bidi="ar"/>
                    </w:rPr>
                    <w:t>O</w:t>
                  </w:r>
                  <w:r>
                    <w:rPr>
                      <w:rFonts w:hint="default" w:ascii="Times New Roman" w:hAnsi="Times New Roman" w:eastAsia="宋体" w:cs="Times New Roman"/>
                      <w:color w:val="auto"/>
                      <w:spacing w:val="0"/>
                      <w:kern w:val="2"/>
                      <w:position w:val="0"/>
                      <w:sz w:val="21"/>
                      <w:szCs w:val="21"/>
                      <w:highlight w:val="none"/>
                      <w:vertAlign w:val="subscript"/>
                      <w:lang w:val="en-US" w:eastAsia="zh-CN" w:bidi="ar"/>
                    </w:rPr>
                    <w:t>3</w:t>
                  </w:r>
                </w:p>
              </w:tc>
              <w:tc>
                <w:tcPr>
                  <w:tcW w:w="2648" w:type="dxa"/>
                  <w:tcBorders>
                    <w:tl2br w:val="nil"/>
                    <w:tr2bl w:val="nil"/>
                  </w:tcBorders>
                  <w:noWrap w:val="0"/>
                  <w:vAlign w:val="center"/>
                </w:tcPr>
                <w:p w14:paraId="60608EDD">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0"/>
                      <w:kern w:val="2"/>
                      <w:position w:val="0"/>
                      <w:sz w:val="21"/>
                      <w:szCs w:val="21"/>
                      <w:highlight w:val="none"/>
                    </w:rPr>
                  </w:pPr>
                  <w:r>
                    <w:rPr>
                      <w:rFonts w:hint="default" w:ascii="Times New Roman" w:hAnsi="Times New Roman" w:eastAsia="宋体" w:cs="Times New Roman"/>
                      <w:color w:val="auto"/>
                      <w:spacing w:val="0"/>
                      <w:kern w:val="2"/>
                      <w:position w:val="0"/>
                      <w:sz w:val="21"/>
                      <w:szCs w:val="21"/>
                      <w:highlight w:val="none"/>
                      <w:lang w:val="en-US" w:eastAsia="zh-CN" w:bidi="ar"/>
                    </w:rPr>
                    <w:t>日最大8h</w:t>
                  </w:r>
                  <w:r>
                    <w:rPr>
                      <w:rFonts w:hint="eastAsia" w:ascii="宋体" w:hAnsi="宋体" w:eastAsia="宋体" w:cs="宋体"/>
                      <w:color w:val="auto"/>
                      <w:spacing w:val="0"/>
                      <w:kern w:val="2"/>
                      <w:position w:val="0"/>
                      <w:sz w:val="21"/>
                      <w:szCs w:val="21"/>
                      <w:highlight w:val="none"/>
                      <w:lang w:val="en-US" w:eastAsia="zh-CN" w:bidi="ar"/>
                    </w:rPr>
                    <w:t>平均第</w:t>
                  </w:r>
                  <w:r>
                    <w:rPr>
                      <w:rFonts w:hint="default" w:ascii="Times New Roman" w:hAnsi="Times New Roman" w:eastAsia="宋体" w:cs="Times New Roman"/>
                      <w:color w:val="auto"/>
                      <w:spacing w:val="0"/>
                      <w:kern w:val="2"/>
                      <w:position w:val="0"/>
                      <w:sz w:val="21"/>
                      <w:szCs w:val="21"/>
                      <w:highlight w:val="none"/>
                      <w:lang w:val="en-US" w:eastAsia="zh-CN" w:bidi="ar"/>
                    </w:rPr>
                    <w:t>90</w:t>
                  </w:r>
                  <w:r>
                    <w:rPr>
                      <w:rFonts w:hint="eastAsia" w:ascii="宋体" w:hAnsi="宋体" w:eastAsia="宋体" w:cs="宋体"/>
                      <w:color w:val="auto"/>
                      <w:spacing w:val="0"/>
                      <w:kern w:val="2"/>
                      <w:position w:val="0"/>
                      <w:sz w:val="21"/>
                      <w:szCs w:val="21"/>
                      <w:highlight w:val="none"/>
                      <w:lang w:val="en-US" w:eastAsia="zh-CN" w:bidi="ar"/>
                    </w:rPr>
                    <w:t>百分位数</w:t>
                  </w:r>
                </w:p>
              </w:tc>
              <w:tc>
                <w:tcPr>
                  <w:tcW w:w="1298" w:type="dxa"/>
                  <w:tcBorders>
                    <w:tl2br w:val="nil"/>
                    <w:tr2bl w:val="nil"/>
                  </w:tcBorders>
                  <w:noWrap w:val="0"/>
                  <w:vAlign w:val="center"/>
                </w:tcPr>
                <w:p w14:paraId="5F548B0D">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0"/>
                      <w:kern w:val="2"/>
                      <w:position w:val="0"/>
                      <w:sz w:val="21"/>
                      <w:szCs w:val="21"/>
                      <w:highlight w:val="none"/>
                    </w:rPr>
                  </w:pPr>
                  <w:r>
                    <w:rPr>
                      <w:rFonts w:hint="default" w:ascii="Times New Roman" w:hAnsi="Times New Roman" w:eastAsia="宋体" w:cs="Times New Roman"/>
                      <w:color w:val="auto"/>
                      <w:spacing w:val="0"/>
                      <w:kern w:val="2"/>
                      <w:position w:val="0"/>
                      <w:sz w:val="21"/>
                      <w:szCs w:val="21"/>
                      <w:highlight w:val="none"/>
                      <w:lang w:val="en-US" w:eastAsia="zh-CN" w:bidi="ar"/>
                    </w:rPr>
                    <w:t>160</w:t>
                  </w:r>
                </w:p>
              </w:tc>
              <w:tc>
                <w:tcPr>
                  <w:tcW w:w="1107" w:type="dxa"/>
                  <w:tcBorders>
                    <w:tl2br w:val="nil"/>
                    <w:tr2bl w:val="nil"/>
                  </w:tcBorders>
                  <w:noWrap w:val="0"/>
                  <w:vAlign w:val="center"/>
                </w:tcPr>
                <w:p w14:paraId="2475C5D9">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宋体" w:cs="Times New Roman"/>
                      <w:b w:val="0"/>
                      <w:bCs w:val="0"/>
                      <w:color w:val="auto"/>
                      <w:spacing w:val="0"/>
                      <w:kern w:val="2"/>
                      <w:position w:val="0"/>
                      <w:sz w:val="21"/>
                      <w:szCs w:val="21"/>
                      <w:highlight w:val="none"/>
                      <w:lang w:val="en-US" w:eastAsia="zh-CN" w:bidi="ar"/>
                    </w:rPr>
                  </w:pPr>
                  <w:r>
                    <w:rPr>
                      <w:rFonts w:hint="eastAsia" w:ascii="Times New Roman" w:hAnsi="Times New Roman" w:eastAsia="宋体" w:cs="Times New Roman"/>
                      <w:b w:val="0"/>
                      <w:bCs w:val="0"/>
                      <w:color w:val="auto"/>
                      <w:spacing w:val="0"/>
                      <w:kern w:val="2"/>
                      <w:position w:val="0"/>
                      <w:sz w:val="21"/>
                      <w:szCs w:val="21"/>
                      <w:highlight w:val="none"/>
                      <w:lang w:val="en-US" w:eastAsia="zh-CN" w:bidi="ar"/>
                    </w:rPr>
                    <w:t>127</w:t>
                  </w:r>
                </w:p>
              </w:tc>
              <w:tc>
                <w:tcPr>
                  <w:tcW w:w="966" w:type="dxa"/>
                  <w:tcBorders>
                    <w:tl2br w:val="nil"/>
                    <w:tr2bl w:val="nil"/>
                  </w:tcBorders>
                  <w:noWrap w:val="0"/>
                  <w:vAlign w:val="center"/>
                </w:tcPr>
                <w:p w14:paraId="0E8758D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spacing w:val="0"/>
                      <w:kern w:val="2"/>
                      <w:position w:val="0"/>
                      <w:sz w:val="21"/>
                      <w:szCs w:val="21"/>
                      <w:highlight w:val="none"/>
                      <w:lang w:val="en-US" w:eastAsia="zh-CN" w:bidi="ar"/>
                    </w:rPr>
                  </w:pPr>
                  <w:r>
                    <w:rPr>
                      <w:rFonts w:hint="eastAsia" w:ascii="Times New Roman" w:hAnsi="Times New Roman" w:eastAsia="宋体" w:cs="Times New Roman"/>
                      <w:b w:val="0"/>
                      <w:bCs w:val="0"/>
                      <w:color w:val="auto"/>
                      <w:spacing w:val="0"/>
                      <w:kern w:val="2"/>
                      <w:position w:val="0"/>
                      <w:sz w:val="21"/>
                      <w:szCs w:val="21"/>
                      <w:highlight w:val="none"/>
                      <w:lang w:val="en-US" w:eastAsia="zh-CN" w:bidi="ar"/>
                    </w:rPr>
                    <w:t>79.38</w:t>
                  </w:r>
                </w:p>
              </w:tc>
              <w:tc>
                <w:tcPr>
                  <w:tcW w:w="821" w:type="dxa"/>
                  <w:tcBorders>
                    <w:tl2br w:val="nil"/>
                    <w:tr2bl w:val="nil"/>
                  </w:tcBorders>
                  <w:noWrap w:val="0"/>
                  <w:vAlign w:val="center"/>
                </w:tcPr>
                <w:p w14:paraId="7AB5C873">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0"/>
                      <w:kern w:val="2"/>
                      <w:position w:val="0"/>
                      <w:sz w:val="21"/>
                      <w:szCs w:val="21"/>
                      <w:highlight w:val="none"/>
                    </w:rPr>
                  </w:pPr>
                  <w:r>
                    <w:rPr>
                      <w:rFonts w:hint="default" w:ascii="Times New Roman" w:hAnsi="Times New Roman" w:eastAsia="宋体" w:cs="Times New Roman"/>
                      <w:color w:val="auto"/>
                      <w:spacing w:val="0"/>
                      <w:kern w:val="2"/>
                      <w:position w:val="0"/>
                      <w:sz w:val="21"/>
                      <w:szCs w:val="21"/>
                      <w:highlight w:val="none"/>
                      <w:lang w:val="en-US" w:eastAsia="zh-CN" w:bidi="ar"/>
                    </w:rPr>
                    <w:t>达标</w:t>
                  </w:r>
                </w:p>
              </w:tc>
            </w:tr>
          </w:tbl>
          <w:p w14:paraId="5D80AD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pacing w:val="0"/>
                <w:kern w:val="2"/>
                <w:position w:val="0"/>
                <w:sz w:val="24"/>
                <w:szCs w:val="24"/>
                <w:highlight w:val="none"/>
              </w:rPr>
            </w:pPr>
            <w:r>
              <w:rPr>
                <w:rFonts w:hint="default" w:ascii="Times New Roman" w:hAnsi="Times New Roman" w:eastAsia="宋体" w:cs="Times New Roman"/>
                <w:color w:val="auto"/>
                <w:spacing w:val="0"/>
                <w:position w:val="0"/>
                <w:sz w:val="24"/>
                <w:szCs w:val="24"/>
                <w:highlight w:val="none"/>
                <w:lang w:val="en-US" w:eastAsia="zh-CN"/>
              </w:rPr>
              <w:t>由上表可知，项目所在区域胡杨河市大气环境中SO</w:t>
            </w:r>
            <w:r>
              <w:rPr>
                <w:rFonts w:hint="default" w:ascii="Times New Roman" w:hAnsi="Times New Roman" w:eastAsia="宋体" w:cs="Times New Roman"/>
                <w:color w:val="auto"/>
                <w:spacing w:val="0"/>
                <w:position w:val="0"/>
                <w:sz w:val="24"/>
                <w:szCs w:val="24"/>
                <w:highlight w:val="none"/>
                <w:vertAlign w:val="subscript"/>
                <w:lang w:val="en-US" w:eastAsia="zh-CN"/>
              </w:rPr>
              <w:t>2</w:t>
            </w:r>
            <w:r>
              <w:rPr>
                <w:rFonts w:hint="default" w:ascii="Times New Roman" w:hAnsi="Times New Roman" w:eastAsia="宋体" w:cs="Times New Roman"/>
                <w:color w:val="auto"/>
                <w:spacing w:val="0"/>
                <w:position w:val="0"/>
                <w:sz w:val="24"/>
                <w:szCs w:val="24"/>
                <w:highlight w:val="none"/>
                <w:lang w:val="en-US" w:eastAsia="zh-CN"/>
              </w:rPr>
              <w:t>、NO</w:t>
            </w:r>
            <w:r>
              <w:rPr>
                <w:rFonts w:hint="default" w:ascii="Times New Roman" w:hAnsi="Times New Roman" w:eastAsia="宋体" w:cs="Times New Roman"/>
                <w:color w:val="auto"/>
                <w:spacing w:val="0"/>
                <w:position w:val="0"/>
                <w:sz w:val="24"/>
                <w:szCs w:val="24"/>
                <w:highlight w:val="none"/>
                <w:vertAlign w:val="subscript"/>
                <w:lang w:val="en-US" w:eastAsia="zh-CN"/>
              </w:rPr>
              <w:t>2</w:t>
            </w:r>
            <w:r>
              <w:rPr>
                <w:rFonts w:hint="default" w:ascii="Times New Roman" w:hAnsi="Times New Roman" w:eastAsia="宋体" w:cs="Times New Roman"/>
                <w:color w:val="auto"/>
                <w:spacing w:val="0"/>
                <w:position w:val="0"/>
                <w:sz w:val="24"/>
                <w:szCs w:val="24"/>
                <w:highlight w:val="none"/>
                <w:lang w:val="en-US" w:eastAsia="zh-CN"/>
              </w:rPr>
              <w:t>、PM</w:t>
            </w:r>
            <w:r>
              <w:rPr>
                <w:rFonts w:hint="default" w:ascii="Times New Roman" w:hAnsi="Times New Roman" w:eastAsia="宋体" w:cs="Times New Roman"/>
                <w:color w:val="auto"/>
                <w:spacing w:val="0"/>
                <w:position w:val="0"/>
                <w:sz w:val="24"/>
                <w:szCs w:val="24"/>
                <w:highlight w:val="none"/>
                <w:vertAlign w:val="subscript"/>
                <w:lang w:val="en-US" w:eastAsia="zh-CN"/>
              </w:rPr>
              <w:t>10</w:t>
            </w:r>
            <w:r>
              <w:rPr>
                <w:rFonts w:hint="default" w:ascii="Times New Roman" w:hAnsi="Times New Roman" w:eastAsia="宋体" w:cs="Times New Roman"/>
                <w:color w:val="auto"/>
                <w:spacing w:val="0"/>
                <w:position w:val="0"/>
                <w:sz w:val="24"/>
                <w:szCs w:val="24"/>
                <w:highlight w:val="none"/>
                <w:lang w:val="en-US" w:eastAsia="zh-CN"/>
              </w:rPr>
              <w:t>、PM</w:t>
            </w:r>
            <w:r>
              <w:rPr>
                <w:rFonts w:hint="default" w:ascii="Times New Roman" w:hAnsi="Times New Roman" w:eastAsia="宋体" w:cs="Times New Roman"/>
                <w:color w:val="auto"/>
                <w:spacing w:val="0"/>
                <w:position w:val="0"/>
                <w:sz w:val="24"/>
                <w:szCs w:val="24"/>
                <w:highlight w:val="none"/>
                <w:vertAlign w:val="subscript"/>
                <w:lang w:val="en-US" w:eastAsia="zh-CN"/>
              </w:rPr>
              <w:t>2.5</w:t>
            </w:r>
            <w:r>
              <w:rPr>
                <w:rFonts w:hint="default" w:ascii="Times New Roman" w:hAnsi="Times New Roman" w:eastAsia="宋体" w:cs="Times New Roman"/>
                <w:color w:val="auto"/>
                <w:spacing w:val="0"/>
                <w:position w:val="0"/>
                <w:sz w:val="24"/>
                <w:szCs w:val="24"/>
                <w:highlight w:val="none"/>
                <w:lang w:val="en-US" w:eastAsia="zh-CN"/>
              </w:rPr>
              <w:t>的年平均质量浓度均满足《环境空气质量标准》（GB3095-2012及其修改单）二级标准限值要求。CO日平均第95百分位数和O</w:t>
            </w:r>
            <w:r>
              <w:rPr>
                <w:rFonts w:hint="default" w:ascii="Times New Roman" w:hAnsi="Times New Roman" w:eastAsia="宋体" w:cs="Times New Roman"/>
                <w:color w:val="auto"/>
                <w:spacing w:val="0"/>
                <w:position w:val="0"/>
                <w:sz w:val="24"/>
                <w:szCs w:val="24"/>
                <w:highlight w:val="none"/>
                <w:vertAlign w:val="subscript"/>
                <w:lang w:val="en-US" w:eastAsia="zh-CN"/>
              </w:rPr>
              <w:t>3</w:t>
            </w:r>
            <w:r>
              <w:rPr>
                <w:rFonts w:hint="default" w:ascii="Times New Roman" w:hAnsi="Times New Roman" w:eastAsia="宋体" w:cs="Times New Roman"/>
                <w:color w:val="auto"/>
                <w:spacing w:val="0"/>
                <w:position w:val="0"/>
                <w:sz w:val="24"/>
                <w:szCs w:val="24"/>
                <w:highlight w:val="none"/>
                <w:lang w:val="en-US" w:eastAsia="zh-CN"/>
              </w:rPr>
              <w:t>日8小时最大平均第90百分位数浓度均满足《环境空气质量标准》（GB3095-2012及其修改单）二级标准限值要求。</w:t>
            </w:r>
            <w:r>
              <w:rPr>
                <w:rFonts w:hint="default" w:ascii="Times New Roman" w:hAnsi="Times New Roman" w:eastAsia="宋体" w:cs="Times New Roman"/>
                <w:color w:val="auto"/>
                <w:spacing w:val="0"/>
                <w:kern w:val="2"/>
                <w:position w:val="0"/>
                <w:sz w:val="24"/>
                <w:szCs w:val="24"/>
                <w:highlight w:val="none"/>
                <w:lang w:val="en-US" w:eastAsia="zh-CN" w:bidi="ar"/>
              </w:rPr>
              <w:t>所以项目所在区域为空气质量达标区。</w:t>
            </w:r>
          </w:p>
          <w:p w14:paraId="75CAA256">
            <w:pPr>
              <w:autoSpaceDE w:val="0"/>
              <w:autoSpaceDN w:val="0"/>
              <w:spacing w:line="360" w:lineRule="auto"/>
              <w:ind w:firstLine="480" w:firstLineChars="200"/>
              <w:textAlignment w:val="baseline"/>
              <w:rPr>
                <w:color w:val="000000" w:themeColor="text1"/>
                <w:sz w:val="24"/>
                <w:szCs w:val="24"/>
              </w:rPr>
            </w:pPr>
            <w:r>
              <w:rPr>
                <w:color w:val="000000" w:themeColor="text1"/>
                <w:sz w:val="24"/>
                <w:szCs w:val="24"/>
              </w:rPr>
              <w:t>（2）特征污染物质量现状调查及评价</w:t>
            </w:r>
          </w:p>
          <w:p w14:paraId="3F252DC2">
            <w:pPr>
              <w:spacing w:line="360" w:lineRule="auto"/>
              <w:ind w:firstLine="480" w:firstLineChars="200"/>
              <w:rPr>
                <w:sz w:val="24"/>
                <w:szCs w:val="24"/>
              </w:rPr>
            </w:pPr>
            <w:r>
              <w:rPr>
                <w:sz w:val="24"/>
                <w:szCs w:val="24"/>
              </w:rPr>
              <w:t>1）概述</w:t>
            </w:r>
          </w:p>
          <w:p w14:paraId="33DB1B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ascii="Times New Roman" w:cs="Times New Roman"/>
                <w:color w:val="auto"/>
                <w:spacing w:val="0"/>
                <w:position w:val="0"/>
                <w:sz w:val="24"/>
                <w:szCs w:val="24"/>
                <w:highlight w:val="none"/>
                <w:lang w:eastAsia="zh-CN"/>
              </w:rPr>
              <w:t>本次评价</w:t>
            </w:r>
            <w:r>
              <w:rPr>
                <w:rFonts w:hint="eastAsia" w:ascii="Times New Roman" w:cs="Times New Roman"/>
                <w:color w:val="auto"/>
                <w:spacing w:val="0"/>
                <w:position w:val="0"/>
                <w:sz w:val="24"/>
                <w:szCs w:val="24"/>
                <w:highlight w:val="none"/>
                <w:lang w:val="en-US" w:eastAsia="zh-CN"/>
              </w:rPr>
              <w:t>TSP现状浓度</w:t>
            </w:r>
            <w:r>
              <w:rPr>
                <w:rFonts w:hint="eastAsia" w:cs="Times New Roman"/>
                <w:color w:val="auto"/>
                <w:spacing w:val="0"/>
                <w:position w:val="0"/>
                <w:sz w:val="24"/>
                <w:szCs w:val="24"/>
                <w:highlight w:val="none"/>
                <w:lang w:val="en-US" w:eastAsia="zh-CN"/>
              </w:rPr>
              <w:t>采</w:t>
            </w:r>
            <w:r>
              <w:rPr>
                <w:rFonts w:hint="eastAsia" w:ascii="Times New Roman" w:cs="Times New Roman"/>
                <w:color w:val="auto"/>
                <w:spacing w:val="0"/>
                <w:position w:val="0"/>
                <w:sz w:val="24"/>
                <w:szCs w:val="24"/>
                <w:highlight w:val="none"/>
                <w:lang w:val="en-US" w:eastAsia="zh-CN"/>
              </w:rPr>
              <w:t>用新疆</w:t>
            </w:r>
            <w:r>
              <w:rPr>
                <w:rFonts w:hint="eastAsia" w:cs="Times New Roman"/>
                <w:color w:val="auto"/>
                <w:spacing w:val="0"/>
                <w:position w:val="0"/>
                <w:sz w:val="24"/>
                <w:szCs w:val="24"/>
                <w:highlight w:val="none"/>
                <w:lang w:val="en-US" w:eastAsia="zh-CN"/>
              </w:rPr>
              <w:t>国科检测</w:t>
            </w:r>
            <w:r>
              <w:rPr>
                <w:rFonts w:hint="eastAsia" w:ascii="Times New Roman" w:cs="Times New Roman"/>
                <w:color w:val="auto"/>
                <w:spacing w:val="0"/>
                <w:position w:val="0"/>
                <w:sz w:val="24"/>
                <w:szCs w:val="24"/>
                <w:highlight w:val="none"/>
                <w:lang w:val="en-US" w:eastAsia="zh-CN"/>
              </w:rPr>
              <w:t>有限公司202</w:t>
            </w:r>
            <w:r>
              <w:rPr>
                <w:rFonts w:hint="eastAsia" w:cs="Times New Roman"/>
                <w:color w:val="auto"/>
                <w:spacing w:val="0"/>
                <w:position w:val="0"/>
                <w:sz w:val="24"/>
                <w:szCs w:val="24"/>
                <w:highlight w:val="none"/>
                <w:lang w:val="en-US" w:eastAsia="zh-CN"/>
              </w:rPr>
              <w:t>5</w:t>
            </w:r>
            <w:r>
              <w:rPr>
                <w:rFonts w:hint="eastAsia" w:ascii="Times New Roman" w:cs="Times New Roman"/>
                <w:color w:val="auto"/>
                <w:spacing w:val="0"/>
                <w:position w:val="0"/>
                <w:sz w:val="24"/>
                <w:szCs w:val="24"/>
                <w:highlight w:val="none"/>
                <w:lang w:val="en-US" w:eastAsia="zh-CN"/>
              </w:rPr>
              <w:t>年</w:t>
            </w:r>
            <w:r>
              <w:rPr>
                <w:rFonts w:hint="eastAsia" w:cs="Times New Roman"/>
                <w:color w:val="auto"/>
                <w:spacing w:val="0"/>
                <w:position w:val="0"/>
                <w:sz w:val="24"/>
                <w:szCs w:val="24"/>
                <w:highlight w:val="none"/>
                <w:lang w:val="en-US" w:eastAsia="zh-CN"/>
              </w:rPr>
              <w:t>5</w:t>
            </w:r>
            <w:r>
              <w:rPr>
                <w:rFonts w:hint="eastAsia" w:ascii="Times New Roman" w:cs="Times New Roman"/>
                <w:color w:val="auto"/>
                <w:spacing w:val="0"/>
                <w:position w:val="0"/>
                <w:sz w:val="24"/>
                <w:szCs w:val="24"/>
                <w:highlight w:val="none"/>
                <w:lang w:val="en-US" w:eastAsia="zh-CN"/>
              </w:rPr>
              <w:t>月1</w:t>
            </w:r>
            <w:r>
              <w:rPr>
                <w:rFonts w:hint="eastAsia" w:cs="Times New Roman"/>
                <w:color w:val="auto"/>
                <w:spacing w:val="0"/>
                <w:position w:val="0"/>
                <w:sz w:val="24"/>
                <w:szCs w:val="24"/>
                <w:highlight w:val="none"/>
                <w:lang w:val="en-US" w:eastAsia="zh-CN"/>
              </w:rPr>
              <w:t>6</w:t>
            </w:r>
            <w:r>
              <w:rPr>
                <w:rFonts w:hint="eastAsia" w:ascii="Times New Roman" w:cs="Times New Roman"/>
                <w:color w:val="auto"/>
                <w:spacing w:val="0"/>
                <w:position w:val="0"/>
                <w:sz w:val="24"/>
                <w:szCs w:val="24"/>
                <w:highlight w:val="none"/>
                <w:lang w:val="en-US" w:eastAsia="zh-CN"/>
              </w:rPr>
              <w:t>日—</w:t>
            </w:r>
            <w:r>
              <w:rPr>
                <w:rFonts w:hint="eastAsia" w:cs="Times New Roman"/>
                <w:color w:val="auto"/>
                <w:spacing w:val="0"/>
                <w:position w:val="0"/>
                <w:sz w:val="24"/>
                <w:szCs w:val="24"/>
                <w:highlight w:val="none"/>
                <w:lang w:val="en-US" w:eastAsia="zh-CN"/>
              </w:rPr>
              <w:t>19</w:t>
            </w:r>
            <w:r>
              <w:rPr>
                <w:rFonts w:hint="eastAsia" w:ascii="Times New Roman" w:cs="Times New Roman"/>
                <w:color w:val="auto"/>
                <w:spacing w:val="0"/>
                <w:position w:val="0"/>
                <w:sz w:val="24"/>
                <w:szCs w:val="24"/>
                <w:highlight w:val="none"/>
                <w:lang w:val="en-US" w:eastAsia="zh-CN"/>
              </w:rPr>
              <w:t>日（连续3天）</w:t>
            </w:r>
            <w:r>
              <w:rPr>
                <w:rFonts w:hint="eastAsia" w:cs="Times New Roman"/>
                <w:color w:val="auto"/>
                <w:spacing w:val="0"/>
                <w:position w:val="0"/>
                <w:sz w:val="24"/>
                <w:szCs w:val="24"/>
                <w:highlight w:val="none"/>
                <w:lang w:val="en-US" w:eastAsia="zh-CN"/>
              </w:rPr>
              <w:t>对本项目</w:t>
            </w:r>
            <w:r>
              <w:rPr>
                <w:rFonts w:hint="eastAsia" w:ascii="Times New Roman" w:cs="Times New Roman"/>
                <w:color w:val="auto"/>
                <w:spacing w:val="0"/>
                <w:position w:val="0"/>
                <w:sz w:val="24"/>
                <w:szCs w:val="24"/>
                <w:highlight w:val="none"/>
                <w:lang w:val="en-US" w:eastAsia="zh-CN"/>
              </w:rPr>
              <w:t>监测的</w:t>
            </w:r>
            <w:r>
              <w:rPr>
                <w:rFonts w:hint="eastAsia" w:ascii="Times New Roman" w:cs="Times New Roman"/>
                <w:color w:val="auto"/>
                <w:spacing w:val="0"/>
                <w:position w:val="0"/>
                <w:sz w:val="24"/>
                <w:szCs w:val="24"/>
                <w:highlight w:val="none"/>
                <w:lang w:eastAsia="zh-CN"/>
              </w:rPr>
              <w:t>环境空气数据</w:t>
            </w:r>
            <w:r>
              <w:rPr>
                <w:rFonts w:ascii="Times New Roman" w:cs="Times New Roman"/>
                <w:color w:val="auto"/>
                <w:spacing w:val="0"/>
                <w:position w:val="0"/>
                <w:sz w:val="24"/>
                <w:szCs w:val="24"/>
                <w:highlight w:val="none"/>
              </w:rPr>
              <w:t>。</w:t>
            </w:r>
            <w:r>
              <w:rPr>
                <w:rFonts w:hint="eastAsia" w:ascii="Times New Roman" w:cs="Times New Roman"/>
                <w:color w:val="auto"/>
                <w:spacing w:val="0"/>
                <w:position w:val="0"/>
                <w:sz w:val="24"/>
                <w:szCs w:val="24"/>
                <w:highlight w:val="none"/>
                <w:lang w:val="en-US" w:eastAsia="zh-CN"/>
              </w:rPr>
              <w:t>非甲烷总烃现状浓度引用新疆蓝庆坤环保科技有限公司2023年5月9日—11日（连续3天）监测的</w:t>
            </w:r>
            <w:r>
              <w:rPr>
                <w:rFonts w:hint="eastAsia" w:ascii="Times New Roman" w:cs="Times New Roman"/>
                <w:color w:val="auto"/>
                <w:spacing w:val="0"/>
                <w:position w:val="0"/>
                <w:sz w:val="24"/>
                <w:szCs w:val="24"/>
                <w:highlight w:val="none"/>
                <w:lang w:eastAsia="zh-CN"/>
              </w:rPr>
              <w:t>《</w:t>
            </w:r>
            <w:r>
              <w:rPr>
                <w:rFonts w:hint="eastAsia"/>
                <w:color w:val="auto"/>
                <w:spacing w:val="0"/>
                <w:position w:val="0"/>
                <w:sz w:val="24"/>
                <w:szCs w:val="24"/>
                <w:highlight w:val="none"/>
                <w:lang w:val="en-US" w:eastAsia="zh-CN"/>
              </w:rPr>
              <w:t>均质自保温砌块生产线项目</w:t>
            </w:r>
            <w:r>
              <w:rPr>
                <w:rFonts w:hint="eastAsia" w:ascii="Times New Roman" w:cs="Times New Roman"/>
                <w:color w:val="auto"/>
                <w:spacing w:val="0"/>
                <w:position w:val="0"/>
                <w:sz w:val="24"/>
                <w:szCs w:val="24"/>
                <w:highlight w:val="none"/>
                <w:lang w:eastAsia="zh-CN"/>
              </w:rPr>
              <w:t>环境质量现状监测》环境空气数据</w:t>
            </w:r>
            <w:r>
              <w:rPr>
                <w:rFonts w:hint="eastAsia" w:cs="Times New Roman"/>
                <w:color w:val="auto"/>
                <w:spacing w:val="0"/>
                <w:position w:val="0"/>
                <w:sz w:val="24"/>
                <w:szCs w:val="24"/>
                <w:highlight w:val="none"/>
                <w:lang w:val="en-US" w:eastAsia="zh-CN"/>
              </w:rPr>
              <w:t>，</w:t>
            </w:r>
            <w:r>
              <w:rPr>
                <w:sz w:val="24"/>
                <w:szCs w:val="24"/>
              </w:rPr>
              <w:t>其监测结果作为评价本项目区域大气环境质量现状的分析资料数据。</w:t>
            </w:r>
          </w:p>
          <w:p w14:paraId="2FDF041A">
            <w:pPr>
              <w:spacing w:line="360" w:lineRule="auto"/>
              <w:ind w:firstLine="480" w:firstLineChars="200"/>
              <w:rPr>
                <w:sz w:val="24"/>
                <w:szCs w:val="24"/>
              </w:rPr>
            </w:pPr>
            <w:r>
              <w:rPr>
                <w:sz w:val="24"/>
                <w:szCs w:val="24"/>
              </w:rPr>
              <w:t>2）监测项目及频率</w:t>
            </w:r>
          </w:p>
          <w:p w14:paraId="60F639B2">
            <w:pPr>
              <w:pStyle w:val="13"/>
              <w:topLinePunct/>
              <w:spacing w:line="360" w:lineRule="auto"/>
              <w:ind w:firstLine="480" w:firstLineChars="200"/>
              <w:rPr>
                <w:rFonts w:hint="default" w:ascii="Times New Roman" w:hAnsi="Times New Roman" w:eastAsia="宋体"/>
                <w:color w:val="000000" w:themeColor="text1"/>
                <w:sz w:val="24"/>
                <w:szCs w:val="24"/>
              </w:rPr>
            </w:pPr>
            <w:r>
              <w:rPr>
                <w:rFonts w:hint="default" w:ascii="Times New Roman" w:hAnsi="Times New Roman" w:eastAsia="宋体"/>
                <w:color w:val="000000" w:themeColor="text1"/>
                <w:sz w:val="24"/>
                <w:szCs w:val="24"/>
              </w:rPr>
              <w:t>监测项目：TSP</w:t>
            </w:r>
            <w:r>
              <w:rPr>
                <w:rFonts w:hint="eastAsia" w:ascii="Times New Roman" w:hAnsi="Times New Roman" w:eastAsia="宋体"/>
                <w:color w:val="000000" w:themeColor="text1"/>
                <w:sz w:val="24"/>
                <w:szCs w:val="24"/>
                <w:lang w:eastAsia="zh-CN"/>
              </w:rPr>
              <w:t>、</w:t>
            </w:r>
            <w:r>
              <w:rPr>
                <w:rFonts w:hint="eastAsia" w:ascii="Times New Roman" w:hAnsi="Times New Roman" w:eastAsia="宋体"/>
                <w:color w:val="000000" w:themeColor="text1"/>
                <w:sz w:val="24"/>
                <w:szCs w:val="24"/>
                <w:lang w:val="en-US" w:eastAsia="zh-CN"/>
              </w:rPr>
              <w:t>非甲烷总烃</w:t>
            </w:r>
            <w:r>
              <w:rPr>
                <w:rFonts w:hint="default" w:ascii="Times New Roman" w:hAnsi="Times New Roman" w:eastAsia="宋体"/>
                <w:color w:val="000000" w:themeColor="text1"/>
                <w:sz w:val="24"/>
                <w:szCs w:val="24"/>
              </w:rPr>
              <w:t>。</w:t>
            </w:r>
          </w:p>
          <w:p w14:paraId="25FECA59">
            <w:pPr>
              <w:spacing w:line="360" w:lineRule="auto"/>
              <w:ind w:firstLine="480" w:firstLineChars="200"/>
              <w:rPr>
                <w:sz w:val="24"/>
                <w:szCs w:val="24"/>
              </w:rPr>
            </w:pPr>
            <w:r>
              <w:rPr>
                <w:sz w:val="24"/>
                <w:szCs w:val="24"/>
              </w:rPr>
              <w:t>监测频率：连续采样</w:t>
            </w:r>
            <w:r>
              <w:rPr>
                <w:rFonts w:hint="eastAsia"/>
                <w:sz w:val="24"/>
                <w:szCs w:val="24"/>
              </w:rPr>
              <w:t>3</w:t>
            </w:r>
            <w:r>
              <w:rPr>
                <w:sz w:val="24"/>
                <w:szCs w:val="24"/>
              </w:rPr>
              <w:t>天。</w:t>
            </w:r>
          </w:p>
          <w:p w14:paraId="4230210D">
            <w:pPr>
              <w:spacing w:line="360" w:lineRule="auto"/>
              <w:ind w:firstLine="480" w:firstLineChars="200"/>
              <w:rPr>
                <w:sz w:val="24"/>
                <w:szCs w:val="24"/>
              </w:rPr>
            </w:pPr>
            <w:r>
              <w:rPr>
                <w:sz w:val="24"/>
                <w:szCs w:val="24"/>
              </w:rPr>
              <w:t>3）评价标准及方法</w:t>
            </w:r>
          </w:p>
          <w:p w14:paraId="252EF5FE">
            <w:pPr>
              <w:keepNext w:val="0"/>
              <w:keepLines w:val="0"/>
              <w:pageBreakBefore w:val="0"/>
              <w:widowControl w:val="0"/>
              <w:kinsoku/>
              <w:wordWrap/>
              <w:overflowPunct/>
              <w:topLinePunct w:val="0"/>
              <w:bidi w:val="0"/>
              <w:spacing w:line="480" w:lineRule="exact"/>
              <w:ind w:firstLine="480" w:firstLineChars="200"/>
              <w:textAlignment w:val="auto"/>
              <w:rPr>
                <w:color w:val="auto"/>
                <w:spacing w:val="0"/>
                <w:position w:val="0"/>
                <w:sz w:val="24"/>
                <w:highlight w:val="none"/>
              </w:rPr>
            </w:pPr>
            <w:r>
              <w:rPr>
                <w:rFonts w:ascii="Times New Roman" w:hAnsi="Times New Roman"/>
                <w:sz w:val="24"/>
                <w:szCs w:val="24"/>
              </w:rPr>
              <w:t>评价标准：</w:t>
            </w:r>
            <w:r>
              <w:rPr>
                <w:rFonts w:ascii="Times New Roman" w:hAnsi="Times New Roman"/>
                <w:kern w:val="2"/>
                <w:sz w:val="24"/>
                <w:szCs w:val="24"/>
              </w:rPr>
              <w:t>TSP</w:t>
            </w:r>
            <w:r>
              <w:rPr>
                <w:rFonts w:ascii="Times New Roman" w:hAnsi="Times New Roman"/>
                <w:color w:val="000000"/>
                <w:sz w:val="24"/>
                <w:szCs w:val="24"/>
              </w:rPr>
              <w:t>执行《环境空气质量标准》（GB 3095-2012）</w:t>
            </w:r>
            <w:r>
              <w:rPr>
                <w:rFonts w:hint="eastAsia"/>
                <w:color w:val="000000"/>
                <w:sz w:val="24"/>
                <w:szCs w:val="24"/>
              </w:rPr>
              <w:t>表</w:t>
            </w:r>
            <w:r>
              <w:rPr>
                <w:rFonts w:ascii="Times New Roman" w:hAnsi="Times New Roman"/>
                <w:color w:val="000000"/>
                <w:sz w:val="24"/>
                <w:szCs w:val="24"/>
              </w:rPr>
              <w:t>2</w:t>
            </w:r>
            <w:r>
              <w:rPr>
                <w:rFonts w:hint="eastAsia"/>
                <w:color w:val="000000"/>
                <w:sz w:val="24"/>
                <w:szCs w:val="24"/>
              </w:rPr>
              <w:t>中的</w:t>
            </w:r>
            <w:r>
              <w:rPr>
                <w:rFonts w:ascii="Times New Roman" w:hAnsi="Times New Roman"/>
                <w:color w:val="000000"/>
                <w:sz w:val="24"/>
                <w:szCs w:val="24"/>
              </w:rPr>
              <w:t>二级浓度限</w:t>
            </w:r>
            <w:r>
              <w:rPr>
                <w:rFonts w:hint="eastAsia"/>
                <w:color w:val="000000"/>
                <w:sz w:val="24"/>
                <w:szCs w:val="24"/>
              </w:rPr>
              <w:t>值</w:t>
            </w:r>
            <w:r>
              <w:rPr>
                <w:rFonts w:hint="eastAsia"/>
                <w:color w:val="auto"/>
                <w:spacing w:val="0"/>
                <w:position w:val="0"/>
                <w:sz w:val="24"/>
                <w:highlight w:val="none"/>
                <w:lang w:eastAsia="zh-CN"/>
              </w:rPr>
              <w:t>，</w:t>
            </w:r>
            <w:r>
              <w:rPr>
                <w:rFonts w:hint="eastAsia"/>
                <w:color w:val="auto"/>
                <w:spacing w:val="0"/>
                <w:position w:val="0"/>
                <w:sz w:val="24"/>
                <w:highlight w:val="none"/>
                <w:lang w:val="en-US" w:eastAsia="zh-CN"/>
              </w:rPr>
              <w:t>非甲烷总烃执行《大气污染物综合排放标准详解》中要求限值</w:t>
            </w:r>
            <w:r>
              <w:rPr>
                <w:color w:val="auto"/>
                <w:spacing w:val="0"/>
                <w:position w:val="0"/>
                <w:sz w:val="24"/>
                <w:highlight w:val="none"/>
              </w:rPr>
              <w:t>。</w:t>
            </w:r>
          </w:p>
          <w:p w14:paraId="6D405B12">
            <w:pPr>
              <w:pStyle w:val="21"/>
              <w:widowControl w:val="0"/>
              <w:spacing w:before="0" w:beforeAutospacing="0" w:after="0" w:afterAutospacing="0" w:line="360" w:lineRule="auto"/>
              <w:ind w:firstLine="480" w:firstLineChars="200"/>
              <w:jc w:val="both"/>
              <w:rPr>
                <w:rFonts w:ascii="Times New Roman" w:hAnsi="Times New Roman"/>
                <w:sz w:val="24"/>
                <w:szCs w:val="24"/>
              </w:rPr>
            </w:pPr>
            <w:r>
              <w:rPr>
                <w:rFonts w:ascii="Times New Roman" w:hAnsi="Times New Roman"/>
                <w:sz w:val="24"/>
                <w:szCs w:val="24"/>
              </w:rPr>
              <w:t>评价标准见</w:t>
            </w:r>
            <w:r>
              <w:rPr>
                <w:rFonts w:hint="eastAsia" w:ascii="Times New Roman" w:hAnsi="Times New Roman"/>
                <w:sz w:val="24"/>
                <w:szCs w:val="24"/>
              </w:rPr>
              <w:t>下表</w:t>
            </w:r>
            <w:r>
              <w:rPr>
                <w:rFonts w:ascii="Times New Roman" w:hAnsi="Times New Roman"/>
                <w:sz w:val="24"/>
                <w:szCs w:val="24"/>
              </w:rPr>
              <w:t>。</w:t>
            </w:r>
          </w:p>
          <w:p w14:paraId="56C0B361">
            <w:pPr>
              <w:pStyle w:val="21"/>
              <w:widowControl w:val="0"/>
              <w:spacing w:before="0" w:beforeAutospacing="0" w:after="0" w:afterAutospacing="0"/>
              <w:jc w:val="center"/>
              <w:rPr>
                <w:rFonts w:ascii="Times New Roman" w:hAnsi="Times New Roman"/>
                <w:sz w:val="21"/>
                <w:szCs w:val="21"/>
              </w:rPr>
            </w:pPr>
            <w:r>
              <w:rPr>
                <w:rFonts w:ascii="Times New Roman" w:hAnsi="Times New Roman"/>
                <w:b/>
                <w:sz w:val="21"/>
                <w:szCs w:val="21"/>
              </w:rPr>
              <w:t>表</w:t>
            </w:r>
            <w:r>
              <w:rPr>
                <w:rFonts w:hint="eastAsia" w:ascii="Times New Roman" w:hAnsi="Times New Roman"/>
                <w:b/>
                <w:sz w:val="21"/>
                <w:szCs w:val="21"/>
              </w:rPr>
              <w:t>3-</w:t>
            </w:r>
            <w:r>
              <w:rPr>
                <w:rFonts w:hint="eastAsia" w:ascii="Times New Roman" w:hAnsi="Times New Roman"/>
                <w:b/>
                <w:sz w:val="21"/>
                <w:szCs w:val="21"/>
                <w:lang w:val="en-US" w:eastAsia="zh-CN"/>
              </w:rPr>
              <w:t>2</w:t>
            </w:r>
            <w:r>
              <w:rPr>
                <w:rFonts w:ascii="Times New Roman" w:hAnsi="Times New Roman"/>
                <w:b/>
                <w:sz w:val="21"/>
                <w:szCs w:val="21"/>
              </w:rPr>
              <w:t xml:space="preserve">  大气环境质量标准 单位：</w:t>
            </w:r>
            <w:r>
              <w:rPr>
                <w:rFonts w:hint="eastAsia" w:ascii="Times New Roman" w:hAnsi="Times New Roman"/>
                <w:b/>
                <w:sz w:val="21"/>
                <w:szCs w:val="21"/>
                <w:lang w:val="en-US" w:eastAsia="zh-CN"/>
              </w:rPr>
              <w:t>m</w:t>
            </w:r>
            <w:r>
              <w:rPr>
                <w:rFonts w:ascii="Times New Roman" w:hAnsi="Times New Roman"/>
                <w:b/>
                <w:sz w:val="21"/>
                <w:szCs w:val="21"/>
              </w:rPr>
              <w:t>g/m</w:t>
            </w:r>
            <w:r>
              <w:rPr>
                <w:rFonts w:ascii="Times New Roman" w:hAnsi="Times New Roman"/>
                <w:b/>
                <w:sz w:val="21"/>
                <w:szCs w:val="21"/>
                <w:vertAlign w:val="superscript"/>
              </w:rPr>
              <w:t>3</w:t>
            </w:r>
          </w:p>
          <w:tbl>
            <w:tblPr>
              <w:tblStyle w:val="24"/>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 w:type="dxa"/>
                <w:bottom w:w="0" w:type="dxa"/>
                <w:right w:w="3" w:type="dxa"/>
              </w:tblCellMar>
            </w:tblPr>
            <w:tblGrid>
              <w:gridCol w:w="2294"/>
              <w:gridCol w:w="3020"/>
              <w:gridCol w:w="3020"/>
            </w:tblGrid>
            <w:tr w14:paraId="5C770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249" w:hRule="atLeast"/>
              </w:trPr>
              <w:tc>
                <w:tcPr>
                  <w:tcW w:w="1376" w:type="pct"/>
                  <w:vMerge w:val="restart"/>
                  <w:tcBorders>
                    <w:tl2br w:val="nil"/>
                    <w:tr2bl w:val="nil"/>
                  </w:tcBorders>
                  <w:noWrap/>
                  <w:vAlign w:val="center"/>
                </w:tcPr>
                <w:p w14:paraId="2784C8FA">
                  <w:pPr>
                    <w:pStyle w:val="51"/>
                    <w:adjustRightInd/>
                    <w:snapToGrid/>
                    <w:rPr>
                      <w:sz w:val="21"/>
                      <w:szCs w:val="21"/>
                    </w:rPr>
                  </w:pPr>
                  <w:r>
                    <w:rPr>
                      <w:b/>
                      <w:bCs/>
                      <w:sz w:val="21"/>
                      <w:szCs w:val="21"/>
                    </w:rPr>
                    <w:t>污染物名称</w:t>
                  </w:r>
                </w:p>
              </w:tc>
              <w:tc>
                <w:tcPr>
                  <w:tcW w:w="1811" w:type="pct"/>
                  <w:tcBorders>
                    <w:tl2br w:val="nil"/>
                    <w:tr2bl w:val="nil"/>
                  </w:tcBorders>
                  <w:noWrap/>
                  <w:vAlign w:val="center"/>
                </w:tcPr>
                <w:p w14:paraId="37810126">
                  <w:pPr>
                    <w:pStyle w:val="51"/>
                    <w:adjustRightInd/>
                    <w:snapToGrid/>
                    <w:rPr>
                      <w:b/>
                      <w:bCs/>
                      <w:sz w:val="21"/>
                      <w:szCs w:val="21"/>
                    </w:rPr>
                  </w:pPr>
                  <w:r>
                    <w:rPr>
                      <w:b/>
                      <w:bCs/>
                      <w:sz w:val="21"/>
                      <w:szCs w:val="21"/>
                    </w:rPr>
                    <w:t>TSP</w:t>
                  </w:r>
                </w:p>
              </w:tc>
              <w:tc>
                <w:tcPr>
                  <w:tcW w:w="1811" w:type="pct"/>
                  <w:vMerge w:val="restart"/>
                  <w:tcBorders>
                    <w:tl2br w:val="nil"/>
                    <w:tr2bl w:val="nil"/>
                  </w:tcBorders>
                  <w:noWrap/>
                  <w:vAlign w:val="center"/>
                </w:tcPr>
                <w:p w14:paraId="5D2D2669">
                  <w:pPr>
                    <w:pStyle w:val="51"/>
                    <w:adjustRightInd/>
                    <w:snapToGrid/>
                    <w:rPr>
                      <w:rFonts w:hint="eastAsia" w:eastAsia="宋体"/>
                      <w:b/>
                      <w:bCs/>
                      <w:sz w:val="21"/>
                      <w:szCs w:val="21"/>
                      <w:lang w:val="en-US" w:eastAsia="zh-CN"/>
                    </w:rPr>
                  </w:pPr>
                  <w:r>
                    <w:rPr>
                      <w:rFonts w:hint="eastAsia"/>
                      <w:b/>
                      <w:bCs/>
                      <w:sz w:val="21"/>
                      <w:szCs w:val="21"/>
                      <w:lang w:val="en-US" w:eastAsia="zh-CN"/>
                    </w:rPr>
                    <w:t>非甲烷总烃</w:t>
                  </w:r>
                </w:p>
              </w:tc>
            </w:tr>
            <w:tr w14:paraId="7EB2B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249" w:hRule="atLeast"/>
              </w:trPr>
              <w:tc>
                <w:tcPr>
                  <w:tcW w:w="1376" w:type="pct"/>
                  <w:vMerge w:val="continue"/>
                  <w:tcBorders>
                    <w:tl2br w:val="nil"/>
                    <w:tr2bl w:val="nil"/>
                  </w:tcBorders>
                  <w:noWrap/>
                  <w:vAlign w:val="center"/>
                </w:tcPr>
                <w:p w14:paraId="0701AB88">
                  <w:pPr>
                    <w:pStyle w:val="51"/>
                    <w:adjustRightInd/>
                    <w:snapToGrid/>
                    <w:rPr>
                      <w:sz w:val="21"/>
                      <w:szCs w:val="21"/>
                    </w:rPr>
                  </w:pPr>
                </w:p>
              </w:tc>
              <w:tc>
                <w:tcPr>
                  <w:tcW w:w="1811" w:type="pct"/>
                  <w:tcBorders>
                    <w:tl2br w:val="nil"/>
                    <w:tr2bl w:val="nil"/>
                  </w:tcBorders>
                  <w:noWrap/>
                  <w:vAlign w:val="center"/>
                </w:tcPr>
                <w:p w14:paraId="0E360796">
                  <w:pPr>
                    <w:pStyle w:val="51"/>
                    <w:adjustRightInd/>
                    <w:snapToGrid/>
                    <w:rPr>
                      <w:sz w:val="21"/>
                      <w:szCs w:val="21"/>
                    </w:rPr>
                  </w:pPr>
                  <w:r>
                    <w:rPr>
                      <w:sz w:val="21"/>
                      <w:szCs w:val="21"/>
                    </w:rPr>
                    <w:t>24</w:t>
                  </w:r>
                  <w:r>
                    <w:rPr>
                      <w:rFonts w:hint="eastAsia"/>
                      <w:sz w:val="21"/>
                      <w:szCs w:val="21"/>
                    </w:rPr>
                    <w:t>h</w:t>
                  </w:r>
                  <w:r>
                    <w:rPr>
                      <w:sz w:val="21"/>
                      <w:szCs w:val="21"/>
                    </w:rPr>
                    <w:t>平均值</w:t>
                  </w:r>
                </w:p>
              </w:tc>
              <w:tc>
                <w:tcPr>
                  <w:tcW w:w="1811" w:type="pct"/>
                  <w:vMerge w:val="continue"/>
                  <w:tcBorders>
                    <w:tl2br w:val="nil"/>
                    <w:tr2bl w:val="nil"/>
                  </w:tcBorders>
                  <w:noWrap/>
                  <w:vAlign w:val="center"/>
                </w:tcPr>
                <w:p w14:paraId="23FBB655">
                  <w:pPr>
                    <w:pStyle w:val="51"/>
                    <w:adjustRightInd/>
                    <w:snapToGrid/>
                    <w:rPr>
                      <w:sz w:val="21"/>
                      <w:szCs w:val="21"/>
                    </w:rPr>
                  </w:pPr>
                </w:p>
              </w:tc>
            </w:tr>
            <w:tr w14:paraId="16584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249" w:hRule="atLeast"/>
              </w:trPr>
              <w:tc>
                <w:tcPr>
                  <w:tcW w:w="1376" w:type="pct"/>
                  <w:tcBorders>
                    <w:tl2br w:val="nil"/>
                    <w:tr2bl w:val="nil"/>
                  </w:tcBorders>
                  <w:noWrap/>
                  <w:vAlign w:val="center"/>
                </w:tcPr>
                <w:p w14:paraId="195D3EDE">
                  <w:pPr>
                    <w:pStyle w:val="51"/>
                    <w:adjustRightInd/>
                    <w:snapToGrid/>
                    <w:rPr>
                      <w:sz w:val="21"/>
                      <w:szCs w:val="21"/>
                    </w:rPr>
                  </w:pPr>
                  <w:r>
                    <w:rPr>
                      <w:sz w:val="21"/>
                      <w:szCs w:val="21"/>
                    </w:rPr>
                    <w:t>浓度限值</w:t>
                  </w:r>
                </w:p>
              </w:tc>
              <w:tc>
                <w:tcPr>
                  <w:tcW w:w="1811" w:type="pct"/>
                  <w:tcBorders>
                    <w:tl2br w:val="nil"/>
                    <w:tr2bl w:val="nil"/>
                  </w:tcBorders>
                  <w:noWrap/>
                  <w:vAlign w:val="center"/>
                </w:tcPr>
                <w:p w14:paraId="4886AA22">
                  <w:pPr>
                    <w:pStyle w:val="51"/>
                    <w:adjustRightInd/>
                    <w:snapToGrid/>
                    <w:rPr>
                      <w:sz w:val="21"/>
                      <w:szCs w:val="21"/>
                    </w:rPr>
                  </w:pPr>
                  <w:r>
                    <w:rPr>
                      <w:rFonts w:hint="eastAsia"/>
                      <w:sz w:val="21"/>
                      <w:szCs w:val="21"/>
                    </w:rPr>
                    <w:t>3</w:t>
                  </w:r>
                </w:p>
              </w:tc>
              <w:tc>
                <w:tcPr>
                  <w:tcW w:w="1811" w:type="pct"/>
                  <w:tcBorders>
                    <w:tl2br w:val="nil"/>
                    <w:tr2bl w:val="nil"/>
                  </w:tcBorders>
                  <w:noWrap/>
                  <w:vAlign w:val="center"/>
                </w:tcPr>
                <w:p w14:paraId="500AEC74">
                  <w:pPr>
                    <w:pStyle w:val="51"/>
                    <w:adjustRightInd/>
                    <w:snapToGrid/>
                    <w:rPr>
                      <w:rFonts w:hint="default" w:eastAsia="宋体"/>
                      <w:sz w:val="21"/>
                      <w:szCs w:val="21"/>
                      <w:lang w:val="en-US" w:eastAsia="zh-CN"/>
                    </w:rPr>
                  </w:pPr>
                  <w:r>
                    <w:rPr>
                      <w:rFonts w:hint="eastAsia"/>
                      <w:sz w:val="21"/>
                      <w:szCs w:val="21"/>
                      <w:lang w:val="en-US" w:eastAsia="zh-CN"/>
                    </w:rPr>
                    <w:t>4</w:t>
                  </w:r>
                </w:p>
              </w:tc>
            </w:tr>
          </w:tbl>
          <w:p w14:paraId="7F0C3DE8">
            <w:pPr>
              <w:spacing w:line="360" w:lineRule="auto"/>
              <w:ind w:firstLine="420" w:firstLineChars="200"/>
            </w:pPr>
            <w:r>
              <w:t>4）现状监测及评价结果</w:t>
            </w:r>
          </w:p>
          <w:p w14:paraId="7B70C634">
            <w:pPr>
              <w:pStyle w:val="13"/>
              <w:topLinePunct/>
              <w:spacing w:line="360" w:lineRule="auto"/>
              <w:ind w:firstLine="420" w:firstLineChars="200"/>
              <w:rPr>
                <w:rFonts w:hint="default" w:ascii="Times New Roman" w:hAnsi="Times New Roman" w:eastAsia="宋体"/>
                <w:sz w:val="21"/>
                <w:szCs w:val="21"/>
              </w:rPr>
            </w:pPr>
            <w:r>
              <w:rPr>
                <w:rFonts w:hint="default" w:ascii="Times New Roman" w:hAnsi="Times New Roman" w:eastAsia="宋体"/>
                <w:sz w:val="21"/>
                <w:szCs w:val="21"/>
              </w:rPr>
              <w:t>大气环境质量现状监测结果见</w:t>
            </w:r>
            <w:r>
              <w:rPr>
                <w:rFonts w:ascii="Times New Roman" w:hAnsi="Times New Roman" w:eastAsia="宋体"/>
                <w:sz w:val="21"/>
                <w:szCs w:val="21"/>
              </w:rPr>
              <w:t>下表</w:t>
            </w:r>
            <w:r>
              <w:rPr>
                <w:rFonts w:hint="default" w:ascii="Times New Roman" w:hAnsi="Times New Roman" w:eastAsia="宋体"/>
                <w:sz w:val="21"/>
                <w:szCs w:val="21"/>
              </w:rPr>
              <w:t>。</w:t>
            </w:r>
          </w:p>
          <w:p w14:paraId="5CD39E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Cs/>
                <w:sz w:val="21"/>
                <w:szCs w:val="21"/>
                <w:vertAlign w:val="superscript"/>
              </w:rPr>
            </w:pPr>
            <w:r>
              <w:rPr>
                <w:b/>
                <w:sz w:val="21"/>
                <w:szCs w:val="21"/>
              </w:rPr>
              <w:t>表</w:t>
            </w:r>
            <w:r>
              <w:rPr>
                <w:rFonts w:hint="eastAsia"/>
                <w:b/>
                <w:sz w:val="21"/>
                <w:szCs w:val="21"/>
              </w:rPr>
              <w:t>3-</w:t>
            </w:r>
            <w:r>
              <w:rPr>
                <w:rFonts w:hint="eastAsia"/>
                <w:b/>
                <w:sz w:val="21"/>
                <w:szCs w:val="21"/>
                <w:lang w:val="en-US" w:eastAsia="zh-CN"/>
              </w:rPr>
              <w:t>3</w:t>
            </w:r>
            <w:r>
              <w:rPr>
                <w:b/>
                <w:sz w:val="21"/>
                <w:szCs w:val="21"/>
              </w:rPr>
              <w:t xml:space="preserve">  大气环境质量现状监测日均浓度统计结果</w:t>
            </w:r>
            <w:r>
              <w:rPr>
                <w:b/>
                <w:bCs/>
                <w:color w:val="auto"/>
                <w:spacing w:val="0"/>
                <w:position w:val="0"/>
                <w:sz w:val="21"/>
                <w:szCs w:val="21"/>
                <w:highlight w:val="none"/>
              </w:rPr>
              <w:t xml:space="preserve"> 单位：mg/m³</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3104"/>
              <w:gridCol w:w="1488"/>
              <w:gridCol w:w="2022"/>
            </w:tblGrid>
            <w:tr w14:paraId="133CE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2" w:type="pct"/>
                  <w:tcBorders>
                    <w:tl2br w:val="nil"/>
                    <w:tr2bl w:val="nil"/>
                  </w:tcBorders>
                  <w:noWrap w:val="0"/>
                  <w:vAlign w:val="center"/>
                </w:tcPr>
                <w:p w14:paraId="52CC5AC6">
                  <w:pPr>
                    <w:keepNext w:val="0"/>
                    <w:keepLines w:val="0"/>
                    <w:pageBreakBefore w:val="0"/>
                    <w:kinsoku/>
                    <w:wordWrap w:val="0"/>
                    <w:overflowPunct/>
                    <w:topLinePunct w:val="0"/>
                    <w:autoSpaceDE/>
                    <w:autoSpaceDN/>
                    <w:bidi w:val="0"/>
                    <w:adjustRightInd/>
                    <w:snapToGrid/>
                    <w:jc w:val="center"/>
                    <w:rPr>
                      <w:b/>
                      <w:bCs/>
                      <w:color w:val="auto"/>
                      <w:spacing w:val="0"/>
                      <w:position w:val="0"/>
                      <w:sz w:val="21"/>
                      <w:szCs w:val="21"/>
                      <w:highlight w:val="none"/>
                    </w:rPr>
                  </w:pPr>
                  <w:r>
                    <w:rPr>
                      <w:b/>
                      <w:bCs/>
                      <w:color w:val="auto"/>
                      <w:spacing w:val="0"/>
                      <w:position w:val="0"/>
                      <w:sz w:val="21"/>
                      <w:szCs w:val="21"/>
                      <w:highlight w:val="none"/>
                    </w:rPr>
                    <w:t>采样点名称</w:t>
                  </w:r>
                </w:p>
              </w:tc>
              <w:tc>
                <w:tcPr>
                  <w:tcW w:w="1862" w:type="pct"/>
                  <w:tcBorders>
                    <w:tl2br w:val="nil"/>
                    <w:tr2bl w:val="nil"/>
                  </w:tcBorders>
                  <w:noWrap w:val="0"/>
                  <w:vAlign w:val="center"/>
                </w:tcPr>
                <w:p w14:paraId="7546D3B1">
                  <w:pPr>
                    <w:keepNext w:val="0"/>
                    <w:keepLines w:val="0"/>
                    <w:pageBreakBefore w:val="0"/>
                    <w:kinsoku/>
                    <w:wordWrap w:val="0"/>
                    <w:overflowPunct/>
                    <w:topLinePunct w:val="0"/>
                    <w:autoSpaceDE/>
                    <w:autoSpaceDN/>
                    <w:bidi w:val="0"/>
                    <w:adjustRightInd/>
                    <w:snapToGrid/>
                    <w:jc w:val="center"/>
                    <w:rPr>
                      <w:b/>
                      <w:bCs/>
                      <w:color w:val="auto"/>
                      <w:spacing w:val="0"/>
                      <w:position w:val="0"/>
                      <w:sz w:val="21"/>
                      <w:szCs w:val="21"/>
                      <w:highlight w:val="none"/>
                    </w:rPr>
                  </w:pPr>
                  <w:r>
                    <w:rPr>
                      <w:b/>
                      <w:bCs/>
                      <w:color w:val="auto"/>
                      <w:spacing w:val="0"/>
                      <w:position w:val="0"/>
                      <w:sz w:val="21"/>
                      <w:szCs w:val="21"/>
                      <w:highlight w:val="none"/>
                    </w:rPr>
                    <w:t>项   目</w:t>
                  </w:r>
                </w:p>
              </w:tc>
              <w:tc>
                <w:tcPr>
                  <w:tcW w:w="893" w:type="pct"/>
                  <w:tcBorders>
                    <w:tl2br w:val="nil"/>
                    <w:tr2bl w:val="nil"/>
                  </w:tcBorders>
                  <w:noWrap w:val="0"/>
                  <w:vAlign w:val="center"/>
                </w:tcPr>
                <w:p w14:paraId="3443446D">
                  <w:pPr>
                    <w:keepNext w:val="0"/>
                    <w:keepLines w:val="0"/>
                    <w:pageBreakBefore w:val="0"/>
                    <w:kinsoku/>
                    <w:wordWrap w:val="0"/>
                    <w:overflowPunct/>
                    <w:topLinePunct w:val="0"/>
                    <w:autoSpaceDE/>
                    <w:autoSpaceDN/>
                    <w:bidi w:val="0"/>
                    <w:adjustRightInd/>
                    <w:snapToGrid/>
                    <w:jc w:val="center"/>
                    <w:rPr>
                      <w:rFonts w:hint="default" w:eastAsia="宋体"/>
                      <w:b/>
                      <w:bCs/>
                      <w:color w:val="auto"/>
                      <w:spacing w:val="0"/>
                      <w:position w:val="0"/>
                      <w:sz w:val="21"/>
                      <w:szCs w:val="21"/>
                      <w:highlight w:val="none"/>
                      <w:lang w:val="en-US" w:eastAsia="zh-CN"/>
                    </w:rPr>
                  </w:pPr>
                  <w:r>
                    <w:rPr>
                      <w:rFonts w:hint="eastAsia" w:eastAsia="宋体"/>
                      <w:b/>
                      <w:bCs/>
                      <w:color w:val="auto"/>
                      <w:spacing w:val="0"/>
                      <w:position w:val="0"/>
                      <w:sz w:val="21"/>
                      <w:szCs w:val="21"/>
                      <w:highlight w:val="none"/>
                      <w:lang w:val="en-US" w:eastAsia="zh-CN"/>
                    </w:rPr>
                    <w:t>监测结果</w:t>
                  </w:r>
                </w:p>
              </w:tc>
              <w:tc>
                <w:tcPr>
                  <w:tcW w:w="1212" w:type="pct"/>
                  <w:tcBorders>
                    <w:tl2br w:val="nil"/>
                    <w:tr2bl w:val="nil"/>
                  </w:tcBorders>
                  <w:noWrap w:val="0"/>
                  <w:vAlign w:val="center"/>
                </w:tcPr>
                <w:p w14:paraId="6197AFC4">
                  <w:pPr>
                    <w:keepNext w:val="0"/>
                    <w:keepLines w:val="0"/>
                    <w:pageBreakBefore w:val="0"/>
                    <w:kinsoku/>
                    <w:wordWrap w:val="0"/>
                    <w:overflowPunct/>
                    <w:topLinePunct w:val="0"/>
                    <w:autoSpaceDE/>
                    <w:autoSpaceDN/>
                    <w:bidi w:val="0"/>
                    <w:adjustRightInd/>
                    <w:snapToGrid/>
                    <w:jc w:val="center"/>
                    <w:rPr>
                      <w:b/>
                      <w:bCs/>
                      <w:color w:val="auto"/>
                      <w:spacing w:val="0"/>
                      <w:position w:val="0"/>
                      <w:sz w:val="21"/>
                      <w:szCs w:val="21"/>
                      <w:highlight w:val="none"/>
                    </w:rPr>
                  </w:pPr>
                  <w:r>
                    <w:rPr>
                      <w:b/>
                      <w:bCs/>
                      <w:color w:val="auto"/>
                      <w:spacing w:val="0"/>
                      <w:position w:val="0"/>
                      <w:sz w:val="21"/>
                      <w:szCs w:val="21"/>
                      <w:highlight w:val="none"/>
                    </w:rPr>
                    <w:t>占标率P</w:t>
                  </w:r>
                  <w:r>
                    <w:rPr>
                      <w:b/>
                      <w:bCs/>
                      <w:color w:val="auto"/>
                      <w:spacing w:val="0"/>
                      <w:position w:val="0"/>
                      <w:sz w:val="21"/>
                      <w:szCs w:val="21"/>
                      <w:highlight w:val="none"/>
                      <w:vertAlign w:val="subscript"/>
                    </w:rPr>
                    <w:t>i</w:t>
                  </w:r>
                  <w:r>
                    <w:rPr>
                      <w:b/>
                      <w:bCs/>
                      <w:color w:val="auto"/>
                      <w:spacing w:val="0"/>
                      <w:position w:val="0"/>
                      <w:sz w:val="21"/>
                      <w:szCs w:val="21"/>
                      <w:highlight w:val="none"/>
                    </w:rPr>
                    <w:t>（％）</w:t>
                  </w:r>
                </w:p>
              </w:tc>
            </w:tr>
            <w:tr w14:paraId="07E9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tcBorders>
                    <w:tl2br w:val="nil"/>
                    <w:tr2bl w:val="nil"/>
                  </w:tcBorders>
                  <w:noWrap w:val="0"/>
                  <w:vAlign w:val="center"/>
                </w:tcPr>
                <w:p w14:paraId="39D4E56E">
                  <w:pPr>
                    <w:keepNext w:val="0"/>
                    <w:keepLines w:val="0"/>
                    <w:pageBreakBefore w:val="0"/>
                    <w:kinsoku/>
                    <w:wordWrap w:val="0"/>
                    <w:overflowPunct/>
                    <w:topLinePunct w:val="0"/>
                    <w:autoSpaceDE/>
                    <w:autoSpaceDN/>
                    <w:bidi w:val="0"/>
                    <w:adjustRightInd/>
                    <w:snapToGrid/>
                    <w:jc w:val="center"/>
                    <w:rPr>
                      <w:b/>
                      <w:bCs/>
                      <w:color w:val="auto"/>
                      <w:spacing w:val="0"/>
                      <w:position w:val="0"/>
                      <w:sz w:val="21"/>
                      <w:szCs w:val="21"/>
                      <w:highlight w:val="none"/>
                    </w:rPr>
                  </w:pPr>
                  <w:r>
                    <w:rPr>
                      <w:rFonts w:hint="eastAsia"/>
                      <w:b/>
                      <w:bCs/>
                      <w:color w:val="auto"/>
                      <w:spacing w:val="0"/>
                      <w:position w:val="0"/>
                      <w:sz w:val="21"/>
                      <w:szCs w:val="21"/>
                      <w:highlight w:val="none"/>
                      <w:lang w:val="en-US" w:eastAsia="zh-CN"/>
                    </w:rPr>
                    <w:t>TSP</w:t>
                  </w:r>
                </w:p>
              </w:tc>
            </w:tr>
            <w:tr w14:paraId="3E016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2" w:type="pct"/>
                  <w:vMerge w:val="restart"/>
                  <w:tcBorders>
                    <w:tl2br w:val="nil"/>
                    <w:tr2bl w:val="nil"/>
                  </w:tcBorders>
                  <w:noWrap w:val="0"/>
                  <w:vAlign w:val="center"/>
                </w:tcPr>
                <w:p w14:paraId="502612A9">
                  <w:pPr>
                    <w:keepNext w:val="0"/>
                    <w:keepLines w:val="0"/>
                    <w:pageBreakBefore w:val="0"/>
                    <w:kinsoku/>
                    <w:wordWrap w:val="0"/>
                    <w:overflowPunct/>
                    <w:topLinePunct w:val="0"/>
                    <w:autoSpaceDE/>
                    <w:autoSpaceDN/>
                    <w:bidi w:val="0"/>
                    <w:adjustRightInd/>
                    <w:snapToGrid/>
                    <w:jc w:val="center"/>
                    <w:rPr>
                      <w:color w:val="auto"/>
                      <w:spacing w:val="0"/>
                      <w:position w:val="0"/>
                      <w:sz w:val="21"/>
                      <w:szCs w:val="21"/>
                      <w:highlight w:val="none"/>
                    </w:rPr>
                  </w:pPr>
                  <w:r>
                    <w:rPr>
                      <w:rFonts w:hint="eastAsia" w:cs="Times New Roman"/>
                      <w:color w:val="auto"/>
                      <w:spacing w:val="0"/>
                      <w:position w:val="0"/>
                      <w:sz w:val="21"/>
                      <w:szCs w:val="21"/>
                      <w:highlight w:val="none"/>
                      <w:lang w:val="en-US" w:eastAsia="zh-CN"/>
                    </w:rPr>
                    <w:t>监测点位：</w:t>
                  </w:r>
                  <w:r>
                    <w:rPr>
                      <w:rFonts w:hint="default" w:ascii="Times New Roman" w:hAnsi="Times New Roman" w:cs="Times New Roman"/>
                      <w:color w:val="auto"/>
                      <w:spacing w:val="0"/>
                      <w:position w:val="0"/>
                      <w:sz w:val="21"/>
                      <w:szCs w:val="21"/>
                      <w:highlight w:val="none"/>
                      <w:lang w:val="en-US" w:eastAsia="zh-CN"/>
                    </w:rPr>
                    <w:t>E84°5</w:t>
                  </w:r>
                  <w:r>
                    <w:rPr>
                      <w:rFonts w:hint="eastAsia" w:cs="Times New Roman"/>
                      <w:color w:val="auto"/>
                      <w:spacing w:val="0"/>
                      <w:position w:val="0"/>
                      <w:sz w:val="21"/>
                      <w:szCs w:val="21"/>
                      <w:highlight w:val="none"/>
                      <w:lang w:val="en-US" w:eastAsia="zh-CN"/>
                    </w:rPr>
                    <w:t>2</w:t>
                  </w:r>
                  <w:r>
                    <w:rPr>
                      <w:rFonts w:hint="default" w:ascii="Times New Roman" w:hAnsi="Times New Roman" w:cs="Times New Roman"/>
                      <w:color w:val="auto"/>
                      <w:spacing w:val="0"/>
                      <w:position w:val="0"/>
                      <w:sz w:val="21"/>
                      <w:szCs w:val="21"/>
                      <w:highlight w:val="none"/>
                      <w:lang w:val="en-US" w:eastAsia="zh-CN"/>
                    </w:rPr>
                    <w:t>′</w:t>
                  </w:r>
                  <w:r>
                    <w:rPr>
                      <w:rFonts w:hint="eastAsia" w:cs="Times New Roman"/>
                      <w:color w:val="auto"/>
                      <w:spacing w:val="0"/>
                      <w:position w:val="0"/>
                      <w:sz w:val="21"/>
                      <w:szCs w:val="21"/>
                      <w:highlight w:val="none"/>
                      <w:lang w:val="en-US" w:eastAsia="zh-CN"/>
                    </w:rPr>
                    <w:t>11.956</w:t>
                  </w:r>
                  <w:r>
                    <w:rPr>
                      <w:rFonts w:hint="default" w:ascii="Times New Roman" w:hAnsi="Times New Roman" w:cs="Times New Roman"/>
                      <w:color w:val="auto"/>
                      <w:spacing w:val="0"/>
                      <w:position w:val="0"/>
                      <w:sz w:val="21"/>
                      <w:szCs w:val="21"/>
                      <w:highlight w:val="none"/>
                      <w:lang w:val="en-US" w:eastAsia="zh-CN"/>
                    </w:rPr>
                    <w:t>″，N44°47′</w:t>
                  </w:r>
                  <w:r>
                    <w:rPr>
                      <w:rFonts w:hint="eastAsia" w:cs="Times New Roman"/>
                      <w:color w:val="auto"/>
                      <w:spacing w:val="0"/>
                      <w:position w:val="0"/>
                      <w:sz w:val="21"/>
                      <w:szCs w:val="21"/>
                      <w:highlight w:val="none"/>
                      <w:lang w:val="en-US" w:eastAsia="zh-CN"/>
                    </w:rPr>
                    <w:t>46.651</w:t>
                  </w:r>
                  <w:r>
                    <w:rPr>
                      <w:rFonts w:hint="default" w:ascii="Times New Roman" w:hAnsi="Times New Roman" w:cs="Times New Roman"/>
                      <w:color w:val="auto"/>
                      <w:spacing w:val="0"/>
                      <w:position w:val="0"/>
                      <w:sz w:val="21"/>
                      <w:szCs w:val="21"/>
                      <w:highlight w:val="none"/>
                      <w:lang w:val="en-US" w:eastAsia="zh-CN"/>
                    </w:rPr>
                    <w:t>″）</w:t>
                  </w:r>
                </w:p>
              </w:tc>
              <w:tc>
                <w:tcPr>
                  <w:tcW w:w="1862" w:type="pct"/>
                  <w:tcBorders>
                    <w:tl2br w:val="nil"/>
                    <w:tr2bl w:val="nil"/>
                  </w:tcBorders>
                  <w:noWrap w:val="0"/>
                  <w:vAlign w:val="center"/>
                </w:tcPr>
                <w:p w14:paraId="4DD3E99B">
                  <w:pPr>
                    <w:keepNext w:val="0"/>
                    <w:keepLines w:val="0"/>
                    <w:pageBreakBefore w:val="0"/>
                    <w:kinsoku/>
                    <w:wordWrap w:val="0"/>
                    <w:overflowPunct/>
                    <w:topLinePunct w:val="0"/>
                    <w:autoSpaceDE/>
                    <w:autoSpaceDN/>
                    <w:bidi w:val="0"/>
                    <w:adjustRightInd/>
                    <w:snapToGrid/>
                    <w:jc w:val="center"/>
                    <w:rPr>
                      <w:rFonts w:hint="eastAsia"/>
                      <w:color w:val="auto"/>
                      <w:spacing w:val="0"/>
                      <w:position w:val="0"/>
                      <w:sz w:val="21"/>
                      <w:szCs w:val="21"/>
                      <w:highlight w:val="none"/>
                    </w:rPr>
                  </w:pPr>
                  <w:r>
                    <w:rPr>
                      <w:rFonts w:hint="eastAsia"/>
                      <w:color w:val="auto"/>
                      <w:spacing w:val="0"/>
                      <w:position w:val="0"/>
                      <w:sz w:val="21"/>
                      <w:szCs w:val="21"/>
                      <w:highlight w:val="none"/>
                      <w:lang w:val="en-US" w:eastAsia="zh-CN"/>
                    </w:rPr>
                    <w:t>2025年5</w:t>
                  </w:r>
                  <w:r>
                    <w:rPr>
                      <w:color w:val="auto"/>
                      <w:spacing w:val="0"/>
                      <w:position w:val="0"/>
                      <w:sz w:val="21"/>
                      <w:szCs w:val="21"/>
                      <w:highlight w:val="none"/>
                    </w:rPr>
                    <w:t>月</w:t>
                  </w:r>
                  <w:r>
                    <w:rPr>
                      <w:rFonts w:hint="eastAsia"/>
                      <w:color w:val="auto"/>
                      <w:spacing w:val="0"/>
                      <w:position w:val="0"/>
                      <w:sz w:val="21"/>
                      <w:szCs w:val="21"/>
                      <w:highlight w:val="none"/>
                      <w:lang w:val="en-US" w:eastAsia="zh-CN"/>
                    </w:rPr>
                    <w:t>16</w:t>
                  </w:r>
                  <w:r>
                    <w:rPr>
                      <w:color w:val="auto"/>
                      <w:spacing w:val="0"/>
                      <w:position w:val="0"/>
                      <w:sz w:val="21"/>
                      <w:szCs w:val="21"/>
                      <w:highlight w:val="none"/>
                    </w:rPr>
                    <w:t>日</w:t>
                  </w:r>
                  <w:r>
                    <w:rPr>
                      <w:rFonts w:hint="eastAsia"/>
                      <w:color w:val="auto"/>
                      <w:spacing w:val="0"/>
                      <w:position w:val="0"/>
                      <w:sz w:val="21"/>
                      <w:szCs w:val="21"/>
                      <w:highlight w:val="none"/>
                    </w:rPr>
                    <w:t>-</w:t>
                  </w:r>
                  <w:r>
                    <w:rPr>
                      <w:rFonts w:hint="eastAsia"/>
                      <w:color w:val="auto"/>
                      <w:spacing w:val="0"/>
                      <w:position w:val="0"/>
                      <w:sz w:val="21"/>
                      <w:szCs w:val="21"/>
                      <w:highlight w:val="none"/>
                      <w:lang w:val="en-US" w:eastAsia="zh-CN"/>
                    </w:rPr>
                    <w:t>5</w:t>
                  </w:r>
                  <w:r>
                    <w:rPr>
                      <w:rFonts w:hint="eastAsia"/>
                      <w:color w:val="auto"/>
                      <w:spacing w:val="0"/>
                      <w:position w:val="0"/>
                      <w:sz w:val="21"/>
                      <w:szCs w:val="21"/>
                      <w:highlight w:val="none"/>
                    </w:rPr>
                    <w:t>月</w:t>
                  </w:r>
                  <w:r>
                    <w:rPr>
                      <w:rFonts w:hint="eastAsia"/>
                      <w:color w:val="auto"/>
                      <w:spacing w:val="0"/>
                      <w:position w:val="0"/>
                      <w:sz w:val="21"/>
                      <w:szCs w:val="21"/>
                      <w:highlight w:val="none"/>
                      <w:lang w:val="en-US" w:eastAsia="zh-CN"/>
                    </w:rPr>
                    <w:t>17</w:t>
                  </w:r>
                  <w:r>
                    <w:rPr>
                      <w:rFonts w:hint="eastAsia"/>
                      <w:color w:val="auto"/>
                      <w:spacing w:val="0"/>
                      <w:position w:val="0"/>
                      <w:sz w:val="21"/>
                      <w:szCs w:val="21"/>
                      <w:highlight w:val="none"/>
                    </w:rPr>
                    <w:t>日</w:t>
                  </w:r>
                </w:p>
              </w:tc>
              <w:tc>
                <w:tcPr>
                  <w:tcW w:w="893" w:type="pct"/>
                  <w:tcBorders>
                    <w:tl2br w:val="nil"/>
                    <w:tr2bl w:val="nil"/>
                  </w:tcBorders>
                  <w:noWrap w:val="0"/>
                  <w:vAlign w:val="center"/>
                </w:tcPr>
                <w:p w14:paraId="30197118">
                  <w:pPr>
                    <w:keepNext w:val="0"/>
                    <w:keepLines w:val="0"/>
                    <w:pageBreakBefore w:val="0"/>
                    <w:kinsoku/>
                    <w:wordWrap w:val="0"/>
                    <w:overflowPunct/>
                    <w:topLinePunct w:val="0"/>
                    <w:autoSpaceDE/>
                    <w:autoSpaceDN/>
                    <w:bidi w:val="0"/>
                    <w:adjustRightInd/>
                    <w:snapToGrid/>
                    <w:jc w:val="center"/>
                    <w:rPr>
                      <w:rFonts w:hint="default" w:eastAsia="宋体"/>
                      <w:color w:val="auto"/>
                      <w:spacing w:val="0"/>
                      <w:position w:val="0"/>
                      <w:sz w:val="21"/>
                      <w:szCs w:val="21"/>
                      <w:highlight w:val="none"/>
                      <w:lang w:val="en-US" w:eastAsia="zh-CN"/>
                    </w:rPr>
                  </w:pPr>
                  <w:r>
                    <w:rPr>
                      <w:rFonts w:hint="eastAsia"/>
                    </w:rPr>
                    <w:t>0.219</w:t>
                  </w:r>
                </w:p>
              </w:tc>
              <w:tc>
                <w:tcPr>
                  <w:tcW w:w="1212" w:type="pct"/>
                  <w:tcBorders>
                    <w:tl2br w:val="nil"/>
                    <w:tr2bl w:val="nil"/>
                  </w:tcBorders>
                  <w:noWrap w:val="0"/>
                  <w:vAlign w:val="center"/>
                </w:tcPr>
                <w:p w14:paraId="4D2BE591">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pacing w:val="0"/>
                      <w:kern w:val="2"/>
                      <w:position w:val="0"/>
                      <w:sz w:val="21"/>
                      <w:szCs w:val="21"/>
                      <w:highlight w:val="none"/>
                      <w:u w:val="none"/>
                      <w:lang w:val="en-US" w:eastAsia="zh-CN" w:bidi="ar-SA"/>
                    </w:rPr>
                  </w:pPr>
                  <w:r>
                    <w:rPr>
                      <w:rFonts w:hint="eastAsia" w:cs="Times New Roman"/>
                      <w:i w:val="0"/>
                      <w:iCs w:val="0"/>
                      <w:color w:val="auto"/>
                      <w:spacing w:val="0"/>
                      <w:kern w:val="0"/>
                      <w:position w:val="0"/>
                      <w:sz w:val="21"/>
                      <w:szCs w:val="21"/>
                      <w:highlight w:val="none"/>
                      <w:u w:val="none"/>
                      <w:lang w:val="en-US" w:eastAsia="zh-CN" w:bidi="ar"/>
                    </w:rPr>
                    <w:t>73.00</w:t>
                  </w:r>
                </w:p>
              </w:tc>
            </w:tr>
            <w:tr w14:paraId="6751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2" w:type="pct"/>
                  <w:vMerge w:val="continue"/>
                  <w:tcBorders>
                    <w:tl2br w:val="nil"/>
                    <w:tr2bl w:val="nil"/>
                  </w:tcBorders>
                  <w:noWrap w:val="0"/>
                  <w:vAlign w:val="center"/>
                </w:tcPr>
                <w:p w14:paraId="01B1440E">
                  <w:pPr>
                    <w:keepNext w:val="0"/>
                    <w:keepLines w:val="0"/>
                    <w:pageBreakBefore w:val="0"/>
                    <w:kinsoku/>
                    <w:wordWrap w:val="0"/>
                    <w:overflowPunct/>
                    <w:topLinePunct w:val="0"/>
                    <w:autoSpaceDE/>
                    <w:autoSpaceDN/>
                    <w:bidi w:val="0"/>
                    <w:adjustRightInd/>
                    <w:snapToGrid/>
                    <w:jc w:val="center"/>
                    <w:rPr>
                      <w:color w:val="auto"/>
                      <w:spacing w:val="0"/>
                      <w:position w:val="0"/>
                      <w:sz w:val="21"/>
                      <w:szCs w:val="21"/>
                      <w:highlight w:val="none"/>
                    </w:rPr>
                  </w:pPr>
                </w:p>
              </w:tc>
              <w:tc>
                <w:tcPr>
                  <w:tcW w:w="1862" w:type="pct"/>
                  <w:tcBorders>
                    <w:tl2br w:val="nil"/>
                    <w:tr2bl w:val="nil"/>
                  </w:tcBorders>
                  <w:noWrap w:val="0"/>
                  <w:vAlign w:val="center"/>
                </w:tcPr>
                <w:p w14:paraId="5833D384">
                  <w:pPr>
                    <w:keepNext w:val="0"/>
                    <w:keepLines w:val="0"/>
                    <w:pageBreakBefore w:val="0"/>
                    <w:kinsoku/>
                    <w:wordWrap w:val="0"/>
                    <w:overflowPunct/>
                    <w:topLinePunct w:val="0"/>
                    <w:autoSpaceDE/>
                    <w:autoSpaceDN/>
                    <w:bidi w:val="0"/>
                    <w:adjustRightInd/>
                    <w:snapToGrid/>
                    <w:jc w:val="center"/>
                    <w:rPr>
                      <w:color w:val="auto"/>
                      <w:spacing w:val="0"/>
                      <w:position w:val="0"/>
                      <w:sz w:val="21"/>
                      <w:szCs w:val="21"/>
                      <w:highlight w:val="none"/>
                    </w:rPr>
                  </w:pPr>
                  <w:r>
                    <w:rPr>
                      <w:rFonts w:hint="eastAsia"/>
                      <w:color w:val="auto"/>
                      <w:spacing w:val="0"/>
                      <w:position w:val="0"/>
                      <w:sz w:val="21"/>
                      <w:szCs w:val="21"/>
                      <w:highlight w:val="none"/>
                      <w:lang w:val="en-US" w:eastAsia="zh-CN"/>
                    </w:rPr>
                    <w:t>2025年5</w:t>
                  </w:r>
                  <w:r>
                    <w:rPr>
                      <w:color w:val="auto"/>
                      <w:spacing w:val="0"/>
                      <w:position w:val="0"/>
                      <w:sz w:val="21"/>
                      <w:szCs w:val="21"/>
                      <w:highlight w:val="none"/>
                    </w:rPr>
                    <w:t>月</w:t>
                  </w:r>
                  <w:r>
                    <w:rPr>
                      <w:rFonts w:hint="eastAsia"/>
                      <w:color w:val="auto"/>
                      <w:spacing w:val="0"/>
                      <w:position w:val="0"/>
                      <w:sz w:val="21"/>
                      <w:szCs w:val="21"/>
                      <w:highlight w:val="none"/>
                      <w:lang w:val="en-US" w:eastAsia="zh-CN"/>
                    </w:rPr>
                    <w:t>17</w:t>
                  </w:r>
                  <w:r>
                    <w:rPr>
                      <w:color w:val="auto"/>
                      <w:spacing w:val="0"/>
                      <w:position w:val="0"/>
                      <w:sz w:val="21"/>
                      <w:szCs w:val="21"/>
                      <w:highlight w:val="none"/>
                    </w:rPr>
                    <w:t>日-</w:t>
                  </w:r>
                  <w:r>
                    <w:rPr>
                      <w:rFonts w:hint="eastAsia"/>
                      <w:color w:val="auto"/>
                      <w:spacing w:val="0"/>
                      <w:position w:val="0"/>
                      <w:sz w:val="21"/>
                      <w:szCs w:val="21"/>
                      <w:highlight w:val="none"/>
                      <w:lang w:val="en-US" w:eastAsia="zh-CN"/>
                    </w:rPr>
                    <w:t>5</w:t>
                  </w:r>
                  <w:r>
                    <w:rPr>
                      <w:color w:val="auto"/>
                      <w:spacing w:val="0"/>
                      <w:position w:val="0"/>
                      <w:sz w:val="21"/>
                      <w:szCs w:val="21"/>
                      <w:highlight w:val="none"/>
                    </w:rPr>
                    <w:t>月</w:t>
                  </w:r>
                  <w:r>
                    <w:rPr>
                      <w:rFonts w:hint="eastAsia"/>
                      <w:color w:val="auto"/>
                      <w:spacing w:val="0"/>
                      <w:position w:val="0"/>
                      <w:sz w:val="21"/>
                      <w:szCs w:val="21"/>
                      <w:highlight w:val="none"/>
                      <w:lang w:val="en-US" w:eastAsia="zh-CN"/>
                    </w:rPr>
                    <w:t>18</w:t>
                  </w:r>
                  <w:r>
                    <w:rPr>
                      <w:color w:val="auto"/>
                      <w:spacing w:val="0"/>
                      <w:position w:val="0"/>
                      <w:sz w:val="21"/>
                      <w:szCs w:val="21"/>
                      <w:highlight w:val="none"/>
                    </w:rPr>
                    <w:t>日</w:t>
                  </w:r>
                </w:p>
              </w:tc>
              <w:tc>
                <w:tcPr>
                  <w:tcW w:w="893" w:type="pct"/>
                  <w:tcBorders>
                    <w:tl2br w:val="nil"/>
                    <w:tr2bl w:val="nil"/>
                  </w:tcBorders>
                  <w:noWrap w:val="0"/>
                  <w:vAlign w:val="center"/>
                </w:tcPr>
                <w:p w14:paraId="37328827">
                  <w:pPr>
                    <w:keepNext w:val="0"/>
                    <w:keepLines w:val="0"/>
                    <w:pageBreakBefore w:val="0"/>
                    <w:kinsoku/>
                    <w:wordWrap w:val="0"/>
                    <w:overflowPunct/>
                    <w:topLinePunct w:val="0"/>
                    <w:autoSpaceDE/>
                    <w:autoSpaceDN/>
                    <w:bidi w:val="0"/>
                    <w:adjustRightInd/>
                    <w:snapToGrid/>
                    <w:jc w:val="center"/>
                    <w:rPr>
                      <w:rFonts w:hint="default" w:eastAsia="宋体"/>
                      <w:color w:val="auto"/>
                      <w:spacing w:val="0"/>
                      <w:position w:val="0"/>
                      <w:sz w:val="21"/>
                      <w:szCs w:val="21"/>
                      <w:highlight w:val="none"/>
                      <w:lang w:val="en-US" w:eastAsia="zh-CN"/>
                    </w:rPr>
                  </w:pPr>
                  <w:r>
                    <w:rPr>
                      <w:rFonts w:hint="eastAsia"/>
                    </w:rPr>
                    <w:t>0.218</w:t>
                  </w:r>
                </w:p>
              </w:tc>
              <w:tc>
                <w:tcPr>
                  <w:tcW w:w="1212" w:type="pct"/>
                  <w:tcBorders>
                    <w:tl2br w:val="nil"/>
                    <w:tr2bl w:val="nil"/>
                  </w:tcBorders>
                  <w:noWrap w:val="0"/>
                  <w:vAlign w:val="center"/>
                </w:tcPr>
                <w:p w14:paraId="6BE2B65C">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pacing w:val="0"/>
                      <w:kern w:val="2"/>
                      <w:position w:val="0"/>
                      <w:sz w:val="21"/>
                      <w:szCs w:val="21"/>
                      <w:highlight w:val="none"/>
                      <w:u w:val="none"/>
                      <w:lang w:val="en-US" w:eastAsia="zh-CN" w:bidi="ar-SA"/>
                    </w:rPr>
                  </w:pPr>
                  <w:r>
                    <w:rPr>
                      <w:rFonts w:hint="eastAsia" w:cs="Times New Roman"/>
                      <w:i w:val="0"/>
                      <w:iCs w:val="0"/>
                      <w:color w:val="auto"/>
                      <w:spacing w:val="0"/>
                      <w:kern w:val="0"/>
                      <w:position w:val="0"/>
                      <w:sz w:val="21"/>
                      <w:szCs w:val="21"/>
                      <w:highlight w:val="none"/>
                      <w:u w:val="none"/>
                      <w:lang w:val="en-US" w:eastAsia="zh-CN" w:bidi="ar"/>
                    </w:rPr>
                    <w:t>72.67</w:t>
                  </w:r>
                </w:p>
              </w:tc>
            </w:tr>
            <w:tr w14:paraId="6153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2" w:type="pct"/>
                  <w:vMerge w:val="continue"/>
                  <w:tcBorders>
                    <w:tl2br w:val="nil"/>
                    <w:tr2bl w:val="nil"/>
                  </w:tcBorders>
                  <w:noWrap w:val="0"/>
                  <w:vAlign w:val="center"/>
                </w:tcPr>
                <w:p w14:paraId="4B0FB5A9">
                  <w:pPr>
                    <w:keepNext w:val="0"/>
                    <w:keepLines w:val="0"/>
                    <w:pageBreakBefore w:val="0"/>
                    <w:kinsoku/>
                    <w:wordWrap w:val="0"/>
                    <w:overflowPunct/>
                    <w:topLinePunct w:val="0"/>
                    <w:autoSpaceDE/>
                    <w:autoSpaceDN/>
                    <w:bidi w:val="0"/>
                    <w:adjustRightInd/>
                    <w:snapToGrid/>
                    <w:jc w:val="center"/>
                    <w:rPr>
                      <w:color w:val="auto"/>
                      <w:spacing w:val="0"/>
                      <w:position w:val="0"/>
                      <w:sz w:val="21"/>
                      <w:szCs w:val="21"/>
                      <w:highlight w:val="none"/>
                    </w:rPr>
                  </w:pPr>
                </w:p>
              </w:tc>
              <w:tc>
                <w:tcPr>
                  <w:tcW w:w="1862" w:type="pct"/>
                  <w:tcBorders>
                    <w:tl2br w:val="nil"/>
                    <w:tr2bl w:val="nil"/>
                  </w:tcBorders>
                  <w:noWrap w:val="0"/>
                  <w:vAlign w:val="center"/>
                </w:tcPr>
                <w:p w14:paraId="5D44A310">
                  <w:pPr>
                    <w:keepNext w:val="0"/>
                    <w:keepLines w:val="0"/>
                    <w:pageBreakBefore w:val="0"/>
                    <w:kinsoku/>
                    <w:wordWrap w:val="0"/>
                    <w:overflowPunct/>
                    <w:topLinePunct w:val="0"/>
                    <w:autoSpaceDE/>
                    <w:autoSpaceDN/>
                    <w:bidi w:val="0"/>
                    <w:adjustRightInd/>
                    <w:snapToGrid/>
                    <w:jc w:val="center"/>
                    <w:rPr>
                      <w:color w:val="auto"/>
                      <w:spacing w:val="0"/>
                      <w:position w:val="0"/>
                      <w:sz w:val="21"/>
                      <w:szCs w:val="21"/>
                      <w:highlight w:val="none"/>
                    </w:rPr>
                  </w:pPr>
                  <w:r>
                    <w:rPr>
                      <w:rFonts w:hint="eastAsia"/>
                      <w:color w:val="auto"/>
                      <w:spacing w:val="0"/>
                      <w:position w:val="0"/>
                      <w:sz w:val="21"/>
                      <w:szCs w:val="21"/>
                      <w:highlight w:val="none"/>
                      <w:lang w:val="en-US" w:eastAsia="zh-CN"/>
                    </w:rPr>
                    <w:t>2025年5</w:t>
                  </w:r>
                  <w:r>
                    <w:rPr>
                      <w:color w:val="auto"/>
                      <w:spacing w:val="0"/>
                      <w:position w:val="0"/>
                      <w:sz w:val="21"/>
                      <w:szCs w:val="21"/>
                      <w:highlight w:val="none"/>
                    </w:rPr>
                    <w:t>月</w:t>
                  </w:r>
                  <w:r>
                    <w:rPr>
                      <w:rFonts w:hint="eastAsia"/>
                      <w:color w:val="auto"/>
                      <w:spacing w:val="0"/>
                      <w:position w:val="0"/>
                      <w:sz w:val="21"/>
                      <w:szCs w:val="21"/>
                      <w:highlight w:val="none"/>
                      <w:lang w:val="en-US" w:eastAsia="zh-CN"/>
                    </w:rPr>
                    <w:t>18</w:t>
                  </w:r>
                  <w:r>
                    <w:rPr>
                      <w:color w:val="auto"/>
                      <w:spacing w:val="0"/>
                      <w:position w:val="0"/>
                      <w:sz w:val="21"/>
                      <w:szCs w:val="21"/>
                      <w:highlight w:val="none"/>
                    </w:rPr>
                    <w:t>日-</w:t>
                  </w:r>
                  <w:r>
                    <w:rPr>
                      <w:rFonts w:hint="eastAsia"/>
                      <w:color w:val="auto"/>
                      <w:spacing w:val="0"/>
                      <w:position w:val="0"/>
                      <w:sz w:val="21"/>
                      <w:szCs w:val="21"/>
                      <w:highlight w:val="none"/>
                      <w:lang w:val="en-US" w:eastAsia="zh-CN"/>
                    </w:rPr>
                    <w:t>5</w:t>
                  </w:r>
                  <w:r>
                    <w:rPr>
                      <w:color w:val="auto"/>
                      <w:spacing w:val="0"/>
                      <w:position w:val="0"/>
                      <w:sz w:val="21"/>
                      <w:szCs w:val="21"/>
                      <w:highlight w:val="none"/>
                    </w:rPr>
                    <w:t>月</w:t>
                  </w:r>
                  <w:r>
                    <w:rPr>
                      <w:rFonts w:hint="eastAsia"/>
                      <w:color w:val="auto"/>
                      <w:spacing w:val="0"/>
                      <w:position w:val="0"/>
                      <w:sz w:val="21"/>
                      <w:szCs w:val="21"/>
                      <w:highlight w:val="none"/>
                      <w:lang w:val="en-US" w:eastAsia="zh-CN"/>
                    </w:rPr>
                    <w:t>19</w:t>
                  </w:r>
                  <w:r>
                    <w:rPr>
                      <w:color w:val="auto"/>
                      <w:spacing w:val="0"/>
                      <w:position w:val="0"/>
                      <w:sz w:val="21"/>
                      <w:szCs w:val="21"/>
                      <w:highlight w:val="none"/>
                    </w:rPr>
                    <w:t>日</w:t>
                  </w:r>
                </w:p>
              </w:tc>
              <w:tc>
                <w:tcPr>
                  <w:tcW w:w="893" w:type="pct"/>
                  <w:tcBorders>
                    <w:tl2br w:val="nil"/>
                    <w:tr2bl w:val="nil"/>
                  </w:tcBorders>
                  <w:noWrap w:val="0"/>
                  <w:vAlign w:val="center"/>
                </w:tcPr>
                <w:p w14:paraId="3371D272">
                  <w:pPr>
                    <w:keepNext w:val="0"/>
                    <w:keepLines w:val="0"/>
                    <w:pageBreakBefore w:val="0"/>
                    <w:kinsoku/>
                    <w:wordWrap w:val="0"/>
                    <w:overflowPunct/>
                    <w:topLinePunct w:val="0"/>
                    <w:autoSpaceDE/>
                    <w:autoSpaceDN/>
                    <w:bidi w:val="0"/>
                    <w:adjustRightInd/>
                    <w:snapToGrid/>
                    <w:jc w:val="center"/>
                    <w:rPr>
                      <w:rFonts w:hint="default" w:eastAsia="宋体"/>
                      <w:color w:val="auto"/>
                      <w:spacing w:val="0"/>
                      <w:position w:val="0"/>
                      <w:sz w:val="21"/>
                      <w:szCs w:val="21"/>
                      <w:highlight w:val="none"/>
                      <w:lang w:val="en-US" w:eastAsia="zh-CN"/>
                    </w:rPr>
                  </w:pPr>
                  <w:r>
                    <w:rPr>
                      <w:rFonts w:hint="eastAsia"/>
                    </w:rPr>
                    <w:t>0220</w:t>
                  </w:r>
                </w:p>
              </w:tc>
              <w:tc>
                <w:tcPr>
                  <w:tcW w:w="1212" w:type="pct"/>
                  <w:tcBorders>
                    <w:tl2br w:val="nil"/>
                    <w:tr2bl w:val="nil"/>
                  </w:tcBorders>
                  <w:noWrap w:val="0"/>
                  <w:vAlign w:val="center"/>
                </w:tcPr>
                <w:p w14:paraId="3003639A">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pacing w:val="0"/>
                      <w:kern w:val="2"/>
                      <w:position w:val="0"/>
                      <w:sz w:val="21"/>
                      <w:szCs w:val="21"/>
                      <w:highlight w:val="none"/>
                      <w:u w:val="none"/>
                      <w:lang w:val="en-US" w:eastAsia="zh-CN" w:bidi="ar-SA"/>
                    </w:rPr>
                  </w:pPr>
                  <w:r>
                    <w:rPr>
                      <w:rFonts w:hint="eastAsia" w:cs="Times New Roman"/>
                      <w:i w:val="0"/>
                      <w:iCs w:val="0"/>
                      <w:color w:val="auto"/>
                      <w:spacing w:val="0"/>
                      <w:kern w:val="0"/>
                      <w:position w:val="0"/>
                      <w:sz w:val="21"/>
                      <w:szCs w:val="21"/>
                      <w:highlight w:val="none"/>
                      <w:u w:val="none"/>
                      <w:lang w:val="en-US" w:eastAsia="zh-CN" w:bidi="ar"/>
                    </w:rPr>
                    <w:t>73.33</w:t>
                  </w:r>
                </w:p>
              </w:tc>
            </w:tr>
            <w:tr w14:paraId="039FF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2" w:type="pct"/>
                  <w:vMerge w:val="continue"/>
                  <w:tcBorders>
                    <w:tl2br w:val="nil"/>
                    <w:tr2bl w:val="nil"/>
                  </w:tcBorders>
                  <w:noWrap w:val="0"/>
                  <w:vAlign w:val="center"/>
                </w:tcPr>
                <w:p w14:paraId="27C90DB7">
                  <w:pPr>
                    <w:keepNext w:val="0"/>
                    <w:keepLines w:val="0"/>
                    <w:pageBreakBefore w:val="0"/>
                    <w:kinsoku/>
                    <w:wordWrap w:val="0"/>
                    <w:overflowPunct/>
                    <w:topLinePunct w:val="0"/>
                    <w:autoSpaceDE/>
                    <w:autoSpaceDN/>
                    <w:bidi w:val="0"/>
                    <w:adjustRightInd/>
                    <w:snapToGrid/>
                    <w:jc w:val="center"/>
                    <w:rPr>
                      <w:color w:val="auto"/>
                      <w:spacing w:val="0"/>
                      <w:position w:val="0"/>
                      <w:sz w:val="21"/>
                      <w:szCs w:val="21"/>
                      <w:highlight w:val="none"/>
                    </w:rPr>
                  </w:pPr>
                </w:p>
              </w:tc>
              <w:tc>
                <w:tcPr>
                  <w:tcW w:w="1862" w:type="pct"/>
                  <w:tcBorders>
                    <w:tl2br w:val="nil"/>
                    <w:tr2bl w:val="nil"/>
                  </w:tcBorders>
                  <w:noWrap w:val="0"/>
                  <w:vAlign w:val="center"/>
                </w:tcPr>
                <w:p w14:paraId="5110AA62">
                  <w:pPr>
                    <w:keepNext w:val="0"/>
                    <w:keepLines w:val="0"/>
                    <w:pageBreakBefore w:val="0"/>
                    <w:kinsoku/>
                    <w:wordWrap w:val="0"/>
                    <w:overflowPunct/>
                    <w:topLinePunct w:val="0"/>
                    <w:autoSpaceDE/>
                    <w:autoSpaceDN/>
                    <w:bidi w:val="0"/>
                    <w:adjustRightInd/>
                    <w:snapToGrid/>
                    <w:jc w:val="center"/>
                    <w:rPr>
                      <w:color w:val="auto"/>
                      <w:spacing w:val="0"/>
                      <w:position w:val="0"/>
                      <w:sz w:val="21"/>
                      <w:szCs w:val="21"/>
                      <w:highlight w:val="none"/>
                    </w:rPr>
                  </w:pPr>
                  <w:r>
                    <w:rPr>
                      <w:color w:val="auto"/>
                      <w:spacing w:val="0"/>
                      <w:position w:val="0"/>
                      <w:sz w:val="21"/>
                      <w:szCs w:val="21"/>
                      <w:highlight w:val="none"/>
                    </w:rPr>
                    <w:t>标准值</w:t>
                  </w:r>
                </w:p>
              </w:tc>
              <w:tc>
                <w:tcPr>
                  <w:tcW w:w="893" w:type="pct"/>
                  <w:tcBorders>
                    <w:tl2br w:val="nil"/>
                    <w:tr2bl w:val="nil"/>
                  </w:tcBorders>
                  <w:noWrap w:val="0"/>
                  <w:vAlign w:val="center"/>
                </w:tcPr>
                <w:p w14:paraId="5F93E00C">
                  <w:pPr>
                    <w:keepNext w:val="0"/>
                    <w:keepLines w:val="0"/>
                    <w:pageBreakBefore w:val="0"/>
                    <w:kinsoku/>
                    <w:wordWrap w:val="0"/>
                    <w:overflowPunct/>
                    <w:topLinePunct w:val="0"/>
                    <w:autoSpaceDE/>
                    <w:autoSpaceDN/>
                    <w:bidi w:val="0"/>
                    <w:adjustRightInd/>
                    <w:snapToGrid/>
                    <w:jc w:val="center"/>
                    <w:rPr>
                      <w:color w:val="auto"/>
                      <w:spacing w:val="0"/>
                      <w:position w:val="0"/>
                      <w:sz w:val="21"/>
                      <w:szCs w:val="21"/>
                      <w:highlight w:val="none"/>
                    </w:rPr>
                  </w:pPr>
                  <w:r>
                    <w:rPr>
                      <w:rFonts w:hint="eastAsia"/>
                      <w:color w:val="auto"/>
                      <w:spacing w:val="0"/>
                      <w:position w:val="0"/>
                      <w:sz w:val="21"/>
                      <w:szCs w:val="21"/>
                      <w:highlight w:val="none"/>
                    </w:rPr>
                    <w:t>0.300</w:t>
                  </w:r>
                </w:p>
              </w:tc>
              <w:tc>
                <w:tcPr>
                  <w:tcW w:w="1212" w:type="pct"/>
                  <w:tcBorders>
                    <w:tl2br w:val="nil"/>
                    <w:tr2bl w:val="nil"/>
                  </w:tcBorders>
                  <w:noWrap w:val="0"/>
                  <w:vAlign w:val="center"/>
                </w:tcPr>
                <w:p w14:paraId="16721B52">
                  <w:pPr>
                    <w:keepNext w:val="0"/>
                    <w:keepLines w:val="0"/>
                    <w:pageBreakBefore w:val="0"/>
                    <w:kinsoku/>
                    <w:wordWrap w:val="0"/>
                    <w:overflowPunct/>
                    <w:topLinePunct w:val="0"/>
                    <w:autoSpaceDE/>
                    <w:autoSpaceDN/>
                    <w:bidi w:val="0"/>
                    <w:adjustRightInd/>
                    <w:snapToGrid/>
                    <w:jc w:val="center"/>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w:t>
                  </w:r>
                </w:p>
              </w:tc>
            </w:tr>
            <w:tr w14:paraId="394E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2" w:type="pct"/>
                  <w:vMerge w:val="continue"/>
                  <w:tcBorders>
                    <w:tl2br w:val="nil"/>
                    <w:tr2bl w:val="nil"/>
                  </w:tcBorders>
                  <w:noWrap w:val="0"/>
                  <w:vAlign w:val="center"/>
                </w:tcPr>
                <w:p w14:paraId="36A7CF84">
                  <w:pPr>
                    <w:keepNext w:val="0"/>
                    <w:keepLines w:val="0"/>
                    <w:pageBreakBefore w:val="0"/>
                    <w:kinsoku/>
                    <w:wordWrap w:val="0"/>
                    <w:overflowPunct/>
                    <w:topLinePunct w:val="0"/>
                    <w:autoSpaceDE/>
                    <w:autoSpaceDN/>
                    <w:bidi w:val="0"/>
                    <w:adjustRightInd/>
                    <w:snapToGrid/>
                    <w:jc w:val="center"/>
                    <w:rPr>
                      <w:color w:val="auto"/>
                      <w:spacing w:val="0"/>
                      <w:position w:val="0"/>
                      <w:sz w:val="21"/>
                      <w:szCs w:val="21"/>
                      <w:highlight w:val="none"/>
                    </w:rPr>
                  </w:pPr>
                </w:p>
              </w:tc>
              <w:tc>
                <w:tcPr>
                  <w:tcW w:w="1862" w:type="pct"/>
                  <w:tcBorders>
                    <w:tl2br w:val="nil"/>
                    <w:tr2bl w:val="nil"/>
                  </w:tcBorders>
                  <w:noWrap w:val="0"/>
                  <w:vAlign w:val="center"/>
                </w:tcPr>
                <w:p w14:paraId="3632514E">
                  <w:pPr>
                    <w:keepNext w:val="0"/>
                    <w:keepLines w:val="0"/>
                    <w:pageBreakBefore w:val="0"/>
                    <w:kinsoku/>
                    <w:wordWrap w:val="0"/>
                    <w:overflowPunct/>
                    <w:topLinePunct w:val="0"/>
                    <w:autoSpaceDE/>
                    <w:autoSpaceDN/>
                    <w:bidi w:val="0"/>
                    <w:adjustRightInd/>
                    <w:snapToGrid/>
                    <w:jc w:val="center"/>
                    <w:rPr>
                      <w:rFonts w:hint="eastAsia" w:eastAsia="宋体"/>
                      <w:color w:val="auto"/>
                      <w:spacing w:val="0"/>
                      <w:position w:val="0"/>
                      <w:sz w:val="21"/>
                      <w:szCs w:val="21"/>
                      <w:highlight w:val="none"/>
                      <w:lang w:eastAsia="zh-CN"/>
                    </w:rPr>
                  </w:pPr>
                  <w:r>
                    <w:rPr>
                      <w:color w:val="auto"/>
                      <w:spacing w:val="0"/>
                      <w:position w:val="0"/>
                      <w:sz w:val="21"/>
                      <w:szCs w:val="21"/>
                      <w:highlight w:val="none"/>
                    </w:rPr>
                    <w:t>超标率</w:t>
                  </w:r>
                  <w:r>
                    <w:rPr>
                      <w:rFonts w:hint="eastAsia"/>
                      <w:color w:val="auto"/>
                      <w:spacing w:val="0"/>
                      <w:position w:val="0"/>
                      <w:sz w:val="21"/>
                      <w:szCs w:val="21"/>
                      <w:highlight w:val="none"/>
                      <w:lang w:eastAsia="zh-CN"/>
                    </w:rPr>
                    <w:t>（</w:t>
                  </w:r>
                  <w:r>
                    <w:rPr>
                      <w:color w:val="auto"/>
                      <w:spacing w:val="0"/>
                      <w:position w:val="0"/>
                      <w:sz w:val="21"/>
                      <w:szCs w:val="21"/>
                      <w:highlight w:val="none"/>
                    </w:rPr>
                    <w:t>%</w:t>
                  </w:r>
                  <w:r>
                    <w:rPr>
                      <w:rFonts w:hint="eastAsia"/>
                      <w:color w:val="auto"/>
                      <w:spacing w:val="0"/>
                      <w:position w:val="0"/>
                      <w:sz w:val="21"/>
                      <w:szCs w:val="21"/>
                      <w:highlight w:val="none"/>
                      <w:lang w:eastAsia="zh-CN"/>
                    </w:rPr>
                    <w:t>）</w:t>
                  </w:r>
                </w:p>
              </w:tc>
              <w:tc>
                <w:tcPr>
                  <w:tcW w:w="893" w:type="pct"/>
                  <w:tcBorders>
                    <w:tl2br w:val="nil"/>
                    <w:tr2bl w:val="nil"/>
                  </w:tcBorders>
                  <w:noWrap w:val="0"/>
                  <w:vAlign w:val="center"/>
                </w:tcPr>
                <w:p w14:paraId="3177DB0B">
                  <w:pPr>
                    <w:keepNext w:val="0"/>
                    <w:keepLines w:val="0"/>
                    <w:pageBreakBefore w:val="0"/>
                    <w:kinsoku/>
                    <w:wordWrap w:val="0"/>
                    <w:overflowPunct/>
                    <w:topLinePunct w:val="0"/>
                    <w:autoSpaceDE/>
                    <w:autoSpaceDN/>
                    <w:bidi w:val="0"/>
                    <w:adjustRightInd/>
                    <w:snapToGrid/>
                    <w:jc w:val="center"/>
                    <w:rPr>
                      <w:color w:val="auto"/>
                      <w:spacing w:val="0"/>
                      <w:position w:val="0"/>
                      <w:sz w:val="21"/>
                      <w:szCs w:val="21"/>
                      <w:highlight w:val="none"/>
                    </w:rPr>
                  </w:pPr>
                  <w:r>
                    <w:rPr>
                      <w:rFonts w:hint="eastAsia"/>
                      <w:color w:val="auto"/>
                      <w:spacing w:val="0"/>
                      <w:position w:val="0"/>
                      <w:sz w:val="21"/>
                      <w:szCs w:val="21"/>
                      <w:highlight w:val="none"/>
                    </w:rPr>
                    <w:t>-</w:t>
                  </w:r>
                </w:p>
              </w:tc>
              <w:tc>
                <w:tcPr>
                  <w:tcW w:w="1212" w:type="pct"/>
                  <w:tcBorders>
                    <w:tl2br w:val="nil"/>
                    <w:tr2bl w:val="nil"/>
                  </w:tcBorders>
                  <w:noWrap w:val="0"/>
                  <w:vAlign w:val="center"/>
                </w:tcPr>
                <w:p w14:paraId="552F5A6D">
                  <w:pPr>
                    <w:keepNext w:val="0"/>
                    <w:keepLines w:val="0"/>
                    <w:pageBreakBefore w:val="0"/>
                    <w:kinsoku/>
                    <w:wordWrap w:val="0"/>
                    <w:overflowPunct/>
                    <w:topLinePunct w:val="0"/>
                    <w:autoSpaceDE/>
                    <w:autoSpaceDN/>
                    <w:bidi w:val="0"/>
                    <w:adjustRightInd/>
                    <w:snapToGrid/>
                    <w:jc w:val="center"/>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0</w:t>
                  </w:r>
                </w:p>
              </w:tc>
            </w:tr>
            <w:tr w14:paraId="2D74F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2" w:type="pct"/>
                  <w:vMerge w:val="continue"/>
                  <w:tcBorders>
                    <w:tl2br w:val="nil"/>
                    <w:tr2bl w:val="nil"/>
                  </w:tcBorders>
                  <w:noWrap w:val="0"/>
                  <w:vAlign w:val="center"/>
                </w:tcPr>
                <w:p w14:paraId="08C80892">
                  <w:pPr>
                    <w:keepNext w:val="0"/>
                    <w:keepLines w:val="0"/>
                    <w:pageBreakBefore w:val="0"/>
                    <w:kinsoku/>
                    <w:wordWrap w:val="0"/>
                    <w:overflowPunct/>
                    <w:topLinePunct w:val="0"/>
                    <w:autoSpaceDE/>
                    <w:autoSpaceDN/>
                    <w:bidi w:val="0"/>
                    <w:adjustRightInd/>
                    <w:snapToGrid/>
                    <w:jc w:val="center"/>
                    <w:rPr>
                      <w:color w:val="auto"/>
                      <w:spacing w:val="0"/>
                      <w:position w:val="0"/>
                      <w:sz w:val="21"/>
                      <w:szCs w:val="21"/>
                      <w:highlight w:val="none"/>
                    </w:rPr>
                  </w:pPr>
                </w:p>
              </w:tc>
              <w:tc>
                <w:tcPr>
                  <w:tcW w:w="1862" w:type="pct"/>
                  <w:tcBorders>
                    <w:tl2br w:val="nil"/>
                    <w:tr2bl w:val="nil"/>
                  </w:tcBorders>
                  <w:noWrap w:val="0"/>
                  <w:vAlign w:val="center"/>
                </w:tcPr>
                <w:p w14:paraId="63DCF371">
                  <w:pPr>
                    <w:keepNext w:val="0"/>
                    <w:keepLines w:val="0"/>
                    <w:pageBreakBefore w:val="0"/>
                    <w:kinsoku/>
                    <w:wordWrap w:val="0"/>
                    <w:overflowPunct/>
                    <w:topLinePunct w:val="0"/>
                    <w:autoSpaceDE/>
                    <w:autoSpaceDN/>
                    <w:bidi w:val="0"/>
                    <w:adjustRightInd/>
                    <w:snapToGrid/>
                    <w:jc w:val="center"/>
                    <w:rPr>
                      <w:color w:val="auto"/>
                      <w:spacing w:val="0"/>
                      <w:position w:val="0"/>
                      <w:sz w:val="21"/>
                      <w:szCs w:val="21"/>
                      <w:highlight w:val="none"/>
                    </w:rPr>
                  </w:pPr>
                  <w:r>
                    <w:rPr>
                      <w:color w:val="auto"/>
                      <w:spacing w:val="0"/>
                      <w:position w:val="0"/>
                      <w:sz w:val="21"/>
                      <w:szCs w:val="21"/>
                      <w:highlight w:val="none"/>
                    </w:rPr>
                    <w:t>最大浓度值占标百分比%</w:t>
                  </w:r>
                </w:p>
              </w:tc>
              <w:tc>
                <w:tcPr>
                  <w:tcW w:w="893" w:type="pct"/>
                  <w:tcBorders>
                    <w:tl2br w:val="nil"/>
                    <w:tr2bl w:val="nil"/>
                  </w:tcBorders>
                  <w:noWrap w:val="0"/>
                  <w:vAlign w:val="center"/>
                </w:tcPr>
                <w:p w14:paraId="6A8B1882">
                  <w:pPr>
                    <w:keepNext w:val="0"/>
                    <w:keepLines w:val="0"/>
                    <w:pageBreakBefore w:val="0"/>
                    <w:kinsoku/>
                    <w:wordWrap w:val="0"/>
                    <w:overflowPunct/>
                    <w:topLinePunct w:val="0"/>
                    <w:autoSpaceDE/>
                    <w:autoSpaceDN/>
                    <w:bidi w:val="0"/>
                    <w:adjustRightInd/>
                    <w:snapToGrid/>
                    <w:jc w:val="center"/>
                    <w:rPr>
                      <w:color w:val="auto"/>
                      <w:spacing w:val="0"/>
                      <w:position w:val="0"/>
                      <w:sz w:val="21"/>
                      <w:szCs w:val="21"/>
                      <w:highlight w:val="none"/>
                    </w:rPr>
                  </w:pPr>
                  <w:r>
                    <w:rPr>
                      <w:rFonts w:hint="eastAsia"/>
                      <w:color w:val="auto"/>
                      <w:spacing w:val="0"/>
                      <w:position w:val="0"/>
                      <w:sz w:val="21"/>
                      <w:szCs w:val="21"/>
                      <w:highlight w:val="none"/>
                    </w:rPr>
                    <w:t>-</w:t>
                  </w:r>
                </w:p>
              </w:tc>
              <w:tc>
                <w:tcPr>
                  <w:tcW w:w="1212" w:type="pct"/>
                  <w:tcBorders>
                    <w:tl2br w:val="nil"/>
                    <w:tr2bl w:val="nil"/>
                  </w:tcBorders>
                  <w:noWrap w:val="0"/>
                  <w:vAlign w:val="center"/>
                </w:tcPr>
                <w:p w14:paraId="45B43433">
                  <w:pPr>
                    <w:keepNext w:val="0"/>
                    <w:keepLines w:val="0"/>
                    <w:pageBreakBefore w:val="0"/>
                    <w:kinsoku/>
                    <w:wordWrap w:val="0"/>
                    <w:overflowPunct/>
                    <w:topLinePunct w:val="0"/>
                    <w:autoSpaceDE/>
                    <w:autoSpaceDN/>
                    <w:bidi w:val="0"/>
                    <w:adjustRightInd/>
                    <w:snapToGrid/>
                    <w:jc w:val="center"/>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w:t>
                  </w:r>
                </w:p>
              </w:tc>
            </w:tr>
            <w:tr w14:paraId="5B204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tcBorders>
                    <w:tl2br w:val="nil"/>
                    <w:tr2bl w:val="nil"/>
                  </w:tcBorders>
                  <w:noWrap w:val="0"/>
                  <w:vAlign w:val="center"/>
                </w:tcPr>
                <w:p w14:paraId="26BFC6ED">
                  <w:pPr>
                    <w:keepNext w:val="0"/>
                    <w:keepLines w:val="0"/>
                    <w:pageBreakBefore w:val="0"/>
                    <w:kinsoku/>
                    <w:wordWrap w:val="0"/>
                    <w:overflowPunct/>
                    <w:topLinePunct w:val="0"/>
                    <w:autoSpaceDE/>
                    <w:autoSpaceDN/>
                    <w:bidi w:val="0"/>
                    <w:adjustRightInd/>
                    <w:snapToGrid/>
                    <w:jc w:val="center"/>
                    <w:rPr>
                      <w:rFonts w:hint="eastAsia" w:ascii="Times New Roman" w:hAnsi="Times New Roman" w:eastAsia="宋体" w:cs="Times New Roman"/>
                      <w:color w:val="auto"/>
                      <w:spacing w:val="0"/>
                      <w:position w:val="0"/>
                      <w:sz w:val="21"/>
                      <w:szCs w:val="21"/>
                      <w:highlight w:val="none"/>
                      <w:lang w:eastAsia="zh-CN"/>
                    </w:rPr>
                  </w:pPr>
                  <w:r>
                    <w:rPr>
                      <w:rFonts w:hint="eastAsia" w:ascii="Times New Roman" w:hAnsi="Times New Roman" w:cs="Times New Roman"/>
                      <w:b/>
                      <w:bCs/>
                      <w:color w:val="auto"/>
                      <w:spacing w:val="0"/>
                      <w:position w:val="0"/>
                      <w:sz w:val="21"/>
                      <w:szCs w:val="21"/>
                      <w:highlight w:val="none"/>
                      <w:lang w:eastAsia="zh-CN"/>
                    </w:rPr>
                    <w:t>非甲烷总烃</w:t>
                  </w:r>
                </w:p>
              </w:tc>
            </w:tr>
            <w:tr w14:paraId="7A076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2" w:type="pct"/>
                  <w:vMerge w:val="restart"/>
                  <w:tcBorders>
                    <w:tl2br w:val="nil"/>
                    <w:tr2bl w:val="nil"/>
                  </w:tcBorders>
                  <w:noWrap w:val="0"/>
                  <w:vAlign w:val="center"/>
                </w:tcPr>
                <w:p w14:paraId="16FBA140">
                  <w:pPr>
                    <w:keepNext w:val="0"/>
                    <w:keepLines w:val="0"/>
                    <w:pageBreakBefore w:val="0"/>
                    <w:kinsoku/>
                    <w:wordWrap w:val="0"/>
                    <w:overflowPunct/>
                    <w:topLinePunct w:val="0"/>
                    <w:autoSpaceDE/>
                    <w:autoSpaceDN/>
                    <w:bidi w:val="0"/>
                    <w:adjustRightInd/>
                    <w:snapToGrid/>
                    <w:jc w:val="center"/>
                    <w:rPr>
                      <w:color w:val="auto"/>
                      <w:spacing w:val="0"/>
                      <w:position w:val="0"/>
                      <w:sz w:val="21"/>
                      <w:szCs w:val="21"/>
                      <w:highlight w:val="none"/>
                    </w:rPr>
                  </w:pPr>
                  <w:r>
                    <w:rPr>
                      <w:rFonts w:hint="eastAsia" w:cs="Times New Roman"/>
                      <w:color w:val="auto"/>
                      <w:spacing w:val="0"/>
                      <w:position w:val="0"/>
                      <w:sz w:val="21"/>
                      <w:szCs w:val="21"/>
                      <w:highlight w:val="none"/>
                      <w:lang w:val="en-US" w:eastAsia="zh-CN"/>
                    </w:rPr>
                    <w:t>监测点位：</w:t>
                  </w:r>
                  <w:r>
                    <w:rPr>
                      <w:rFonts w:hint="default" w:ascii="Times New Roman" w:hAnsi="Times New Roman" w:cs="Times New Roman"/>
                      <w:color w:val="auto"/>
                      <w:spacing w:val="0"/>
                      <w:position w:val="0"/>
                      <w:sz w:val="21"/>
                      <w:szCs w:val="21"/>
                      <w:highlight w:val="none"/>
                      <w:lang w:val="en-US" w:eastAsia="zh-CN"/>
                    </w:rPr>
                    <w:t>（E84°52′7.931″，N44°47′41.864″）</w:t>
                  </w:r>
                </w:p>
              </w:tc>
              <w:tc>
                <w:tcPr>
                  <w:tcW w:w="1862" w:type="pct"/>
                  <w:vMerge w:val="restart"/>
                  <w:tcBorders>
                    <w:tl2br w:val="nil"/>
                    <w:tr2bl w:val="nil"/>
                  </w:tcBorders>
                  <w:noWrap w:val="0"/>
                  <w:vAlign w:val="center"/>
                </w:tcPr>
                <w:p w14:paraId="1360E568">
                  <w:pPr>
                    <w:keepNext w:val="0"/>
                    <w:keepLines w:val="0"/>
                    <w:pageBreakBefore w:val="0"/>
                    <w:kinsoku/>
                    <w:wordWrap w:val="0"/>
                    <w:overflowPunct/>
                    <w:topLinePunct w:val="0"/>
                    <w:autoSpaceDE/>
                    <w:autoSpaceDN/>
                    <w:bidi w:val="0"/>
                    <w:adjustRightInd/>
                    <w:snapToGrid/>
                    <w:jc w:val="center"/>
                    <w:rPr>
                      <w:rFonts w:hint="default" w:eastAsia="宋体"/>
                      <w:color w:val="auto"/>
                      <w:spacing w:val="0"/>
                      <w:position w:val="0"/>
                      <w:sz w:val="21"/>
                      <w:szCs w:val="21"/>
                      <w:highlight w:val="none"/>
                      <w:lang w:val="en-US" w:eastAsia="zh-CN"/>
                    </w:rPr>
                  </w:pPr>
                  <w:r>
                    <w:rPr>
                      <w:rFonts w:hint="eastAsia"/>
                      <w:color w:val="auto"/>
                      <w:spacing w:val="0"/>
                      <w:position w:val="0"/>
                      <w:sz w:val="21"/>
                      <w:szCs w:val="21"/>
                      <w:highlight w:val="none"/>
                      <w:lang w:val="en-US" w:eastAsia="zh-CN"/>
                    </w:rPr>
                    <w:t>2023年5月9日</w:t>
                  </w:r>
                </w:p>
              </w:tc>
              <w:tc>
                <w:tcPr>
                  <w:tcW w:w="893" w:type="pct"/>
                  <w:tcBorders>
                    <w:tl2br w:val="nil"/>
                    <w:tr2bl w:val="nil"/>
                  </w:tcBorders>
                  <w:noWrap w:val="0"/>
                  <w:vAlign w:val="center"/>
                </w:tcPr>
                <w:p w14:paraId="5F965580">
                  <w:pPr>
                    <w:keepNext w:val="0"/>
                    <w:keepLines w:val="0"/>
                    <w:pageBreakBefore w:val="0"/>
                    <w:kinsoku/>
                    <w:wordWrap w:val="0"/>
                    <w:overflowPunct/>
                    <w:topLinePunct w:val="0"/>
                    <w:autoSpaceDE/>
                    <w:autoSpaceDN/>
                    <w:bidi w:val="0"/>
                    <w:adjustRightInd/>
                    <w:snapToGrid/>
                    <w:jc w:val="center"/>
                    <w:rPr>
                      <w:rFonts w:hint="default" w:eastAsia="宋体"/>
                      <w:color w:val="auto"/>
                      <w:spacing w:val="0"/>
                      <w:position w:val="0"/>
                      <w:sz w:val="21"/>
                      <w:szCs w:val="21"/>
                      <w:highlight w:val="none"/>
                      <w:lang w:val="en-US" w:eastAsia="zh-CN"/>
                    </w:rPr>
                  </w:pPr>
                  <w:r>
                    <w:rPr>
                      <w:rFonts w:hint="eastAsia"/>
                      <w:color w:val="auto"/>
                      <w:spacing w:val="0"/>
                      <w:position w:val="0"/>
                      <w:sz w:val="21"/>
                      <w:szCs w:val="21"/>
                      <w:highlight w:val="none"/>
                      <w:lang w:val="en-US" w:eastAsia="zh-CN"/>
                    </w:rPr>
                    <w:t>0.54</w:t>
                  </w:r>
                </w:p>
              </w:tc>
              <w:tc>
                <w:tcPr>
                  <w:tcW w:w="1212" w:type="pct"/>
                  <w:tcBorders>
                    <w:tl2br w:val="nil"/>
                    <w:tr2bl w:val="nil"/>
                  </w:tcBorders>
                  <w:noWrap w:val="0"/>
                  <w:vAlign w:val="center"/>
                </w:tcPr>
                <w:p w14:paraId="7645E578">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pacing w:val="0"/>
                      <w:kern w:val="2"/>
                      <w:position w:val="0"/>
                      <w:sz w:val="21"/>
                      <w:szCs w:val="21"/>
                      <w:highlight w:val="none"/>
                      <w:u w:val="none"/>
                      <w:lang w:val="en-US" w:eastAsia="zh-CN" w:bidi="ar-SA"/>
                    </w:rPr>
                  </w:pPr>
                  <w:r>
                    <w:rPr>
                      <w:rFonts w:hint="default" w:ascii="Times New Roman" w:hAnsi="Times New Roman" w:eastAsia="宋体" w:cs="Times New Roman"/>
                      <w:i w:val="0"/>
                      <w:iCs w:val="0"/>
                      <w:color w:val="auto"/>
                      <w:spacing w:val="0"/>
                      <w:kern w:val="0"/>
                      <w:position w:val="0"/>
                      <w:sz w:val="21"/>
                      <w:szCs w:val="21"/>
                      <w:highlight w:val="none"/>
                      <w:u w:val="none"/>
                      <w:lang w:val="en-US" w:eastAsia="zh-CN" w:bidi="ar"/>
                    </w:rPr>
                    <w:t>27.00</w:t>
                  </w:r>
                </w:p>
              </w:tc>
            </w:tr>
            <w:tr w14:paraId="7F60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2" w:type="pct"/>
                  <w:vMerge w:val="continue"/>
                  <w:tcBorders>
                    <w:tl2br w:val="nil"/>
                    <w:tr2bl w:val="nil"/>
                  </w:tcBorders>
                  <w:noWrap w:val="0"/>
                  <w:vAlign w:val="center"/>
                </w:tcPr>
                <w:p w14:paraId="6A820D93">
                  <w:pPr>
                    <w:keepNext w:val="0"/>
                    <w:keepLines w:val="0"/>
                    <w:pageBreakBefore w:val="0"/>
                    <w:kinsoku/>
                    <w:wordWrap w:val="0"/>
                    <w:overflowPunct/>
                    <w:topLinePunct w:val="0"/>
                    <w:autoSpaceDE/>
                    <w:autoSpaceDN/>
                    <w:bidi w:val="0"/>
                    <w:adjustRightInd/>
                    <w:snapToGrid/>
                    <w:jc w:val="center"/>
                    <w:rPr>
                      <w:color w:val="auto"/>
                      <w:spacing w:val="0"/>
                      <w:position w:val="0"/>
                      <w:sz w:val="21"/>
                      <w:szCs w:val="21"/>
                      <w:highlight w:val="none"/>
                    </w:rPr>
                  </w:pPr>
                </w:p>
              </w:tc>
              <w:tc>
                <w:tcPr>
                  <w:tcW w:w="1862" w:type="pct"/>
                  <w:vMerge w:val="continue"/>
                  <w:tcBorders>
                    <w:tl2br w:val="nil"/>
                    <w:tr2bl w:val="nil"/>
                  </w:tcBorders>
                  <w:noWrap w:val="0"/>
                  <w:vAlign w:val="center"/>
                </w:tcPr>
                <w:p w14:paraId="5D5A6BEB">
                  <w:pPr>
                    <w:keepNext w:val="0"/>
                    <w:keepLines w:val="0"/>
                    <w:pageBreakBefore w:val="0"/>
                    <w:kinsoku/>
                    <w:wordWrap w:val="0"/>
                    <w:overflowPunct/>
                    <w:topLinePunct w:val="0"/>
                    <w:autoSpaceDE/>
                    <w:autoSpaceDN/>
                    <w:bidi w:val="0"/>
                    <w:adjustRightInd/>
                    <w:snapToGrid/>
                    <w:jc w:val="center"/>
                    <w:rPr>
                      <w:color w:val="auto"/>
                      <w:spacing w:val="0"/>
                      <w:position w:val="0"/>
                      <w:sz w:val="21"/>
                      <w:szCs w:val="21"/>
                      <w:highlight w:val="none"/>
                    </w:rPr>
                  </w:pPr>
                </w:p>
              </w:tc>
              <w:tc>
                <w:tcPr>
                  <w:tcW w:w="893" w:type="pct"/>
                  <w:tcBorders>
                    <w:tl2br w:val="nil"/>
                    <w:tr2bl w:val="nil"/>
                  </w:tcBorders>
                  <w:noWrap w:val="0"/>
                  <w:vAlign w:val="center"/>
                </w:tcPr>
                <w:p w14:paraId="0385A239">
                  <w:pPr>
                    <w:keepNext w:val="0"/>
                    <w:keepLines w:val="0"/>
                    <w:pageBreakBefore w:val="0"/>
                    <w:kinsoku/>
                    <w:wordWrap w:val="0"/>
                    <w:overflowPunct/>
                    <w:topLinePunct w:val="0"/>
                    <w:autoSpaceDE/>
                    <w:autoSpaceDN/>
                    <w:bidi w:val="0"/>
                    <w:adjustRightInd/>
                    <w:snapToGrid/>
                    <w:jc w:val="center"/>
                    <w:rPr>
                      <w:rFonts w:hint="default" w:eastAsia="宋体"/>
                      <w:color w:val="auto"/>
                      <w:spacing w:val="0"/>
                      <w:position w:val="0"/>
                      <w:sz w:val="21"/>
                      <w:szCs w:val="21"/>
                      <w:highlight w:val="none"/>
                      <w:lang w:val="en-US" w:eastAsia="zh-CN"/>
                    </w:rPr>
                  </w:pPr>
                  <w:r>
                    <w:rPr>
                      <w:rFonts w:hint="eastAsia"/>
                      <w:color w:val="auto"/>
                      <w:spacing w:val="0"/>
                      <w:position w:val="0"/>
                      <w:sz w:val="21"/>
                      <w:szCs w:val="21"/>
                      <w:highlight w:val="none"/>
                      <w:lang w:val="en-US" w:eastAsia="zh-CN"/>
                    </w:rPr>
                    <w:t>0.60</w:t>
                  </w:r>
                </w:p>
              </w:tc>
              <w:tc>
                <w:tcPr>
                  <w:tcW w:w="1212" w:type="pct"/>
                  <w:tcBorders>
                    <w:tl2br w:val="nil"/>
                    <w:tr2bl w:val="nil"/>
                  </w:tcBorders>
                  <w:noWrap w:val="0"/>
                  <w:vAlign w:val="center"/>
                </w:tcPr>
                <w:p w14:paraId="76255586">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pacing w:val="0"/>
                      <w:kern w:val="2"/>
                      <w:position w:val="0"/>
                      <w:sz w:val="21"/>
                      <w:szCs w:val="21"/>
                      <w:highlight w:val="none"/>
                      <w:u w:val="none"/>
                      <w:lang w:val="en-US" w:eastAsia="zh-CN" w:bidi="ar-SA"/>
                    </w:rPr>
                  </w:pPr>
                  <w:r>
                    <w:rPr>
                      <w:rFonts w:hint="default" w:ascii="Times New Roman" w:hAnsi="Times New Roman" w:eastAsia="宋体" w:cs="Times New Roman"/>
                      <w:i w:val="0"/>
                      <w:iCs w:val="0"/>
                      <w:color w:val="auto"/>
                      <w:spacing w:val="0"/>
                      <w:kern w:val="0"/>
                      <w:position w:val="0"/>
                      <w:sz w:val="21"/>
                      <w:szCs w:val="21"/>
                      <w:highlight w:val="none"/>
                      <w:u w:val="none"/>
                      <w:lang w:val="en-US" w:eastAsia="zh-CN" w:bidi="ar"/>
                    </w:rPr>
                    <w:t>30.00</w:t>
                  </w:r>
                </w:p>
              </w:tc>
            </w:tr>
            <w:tr w14:paraId="7F54B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2" w:type="pct"/>
                  <w:vMerge w:val="continue"/>
                  <w:tcBorders>
                    <w:tl2br w:val="nil"/>
                    <w:tr2bl w:val="nil"/>
                  </w:tcBorders>
                  <w:noWrap w:val="0"/>
                  <w:vAlign w:val="center"/>
                </w:tcPr>
                <w:p w14:paraId="6AD71ACB">
                  <w:pPr>
                    <w:keepNext w:val="0"/>
                    <w:keepLines w:val="0"/>
                    <w:pageBreakBefore w:val="0"/>
                    <w:kinsoku/>
                    <w:wordWrap w:val="0"/>
                    <w:overflowPunct/>
                    <w:topLinePunct w:val="0"/>
                    <w:autoSpaceDE/>
                    <w:autoSpaceDN/>
                    <w:bidi w:val="0"/>
                    <w:adjustRightInd/>
                    <w:snapToGrid/>
                    <w:jc w:val="center"/>
                    <w:rPr>
                      <w:color w:val="auto"/>
                      <w:spacing w:val="0"/>
                      <w:position w:val="0"/>
                      <w:sz w:val="21"/>
                      <w:szCs w:val="21"/>
                      <w:highlight w:val="none"/>
                    </w:rPr>
                  </w:pPr>
                </w:p>
              </w:tc>
              <w:tc>
                <w:tcPr>
                  <w:tcW w:w="1862" w:type="pct"/>
                  <w:vMerge w:val="continue"/>
                  <w:tcBorders>
                    <w:tl2br w:val="nil"/>
                    <w:tr2bl w:val="nil"/>
                  </w:tcBorders>
                  <w:noWrap w:val="0"/>
                  <w:vAlign w:val="center"/>
                </w:tcPr>
                <w:p w14:paraId="6806B268">
                  <w:pPr>
                    <w:keepNext w:val="0"/>
                    <w:keepLines w:val="0"/>
                    <w:pageBreakBefore w:val="0"/>
                    <w:kinsoku/>
                    <w:wordWrap w:val="0"/>
                    <w:overflowPunct/>
                    <w:topLinePunct w:val="0"/>
                    <w:autoSpaceDE/>
                    <w:autoSpaceDN/>
                    <w:bidi w:val="0"/>
                    <w:adjustRightInd/>
                    <w:snapToGrid/>
                    <w:jc w:val="center"/>
                    <w:rPr>
                      <w:color w:val="auto"/>
                      <w:spacing w:val="0"/>
                      <w:position w:val="0"/>
                      <w:sz w:val="21"/>
                      <w:szCs w:val="21"/>
                      <w:highlight w:val="none"/>
                    </w:rPr>
                  </w:pPr>
                </w:p>
              </w:tc>
              <w:tc>
                <w:tcPr>
                  <w:tcW w:w="893" w:type="pct"/>
                  <w:tcBorders>
                    <w:tl2br w:val="nil"/>
                    <w:tr2bl w:val="nil"/>
                  </w:tcBorders>
                  <w:noWrap w:val="0"/>
                  <w:vAlign w:val="center"/>
                </w:tcPr>
                <w:p w14:paraId="68A2F0B6">
                  <w:pPr>
                    <w:keepNext w:val="0"/>
                    <w:keepLines w:val="0"/>
                    <w:pageBreakBefore w:val="0"/>
                    <w:kinsoku/>
                    <w:wordWrap w:val="0"/>
                    <w:overflowPunct/>
                    <w:topLinePunct w:val="0"/>
                    <w:autoSpaceDE/>
                    <w:autoSpaceDN/>
                    <w:bidi w:val="0"/>
                    <w:adjustRightInd/>
                    <w:snapToGrid/>
                    <w:jc w:val="center"/>
                    <w:rPr>
                      <w:rFonts w:hint="default" w:eastAsia="宋体"/>
                      <w:color w:val="auto"/>
                      <w:spacing w:val="0"/>
                      <w:position w:val="0"/>
                      <w:sz w:val="21"/>
                      <w:szCs w:val="21"/>
                      <w:highlight w:val="none"/>
                      <w:lang w:val="en-US" w:eastAsia="zh-CN"/>
                    </w:rPr>
                  </w:pPr>
                  <w:r>
                    <w:rPr>
                      <w:rFonts w:hint="eastAsia"/>
                      <w:color w:val="auto"/>
                      <w:spacing w:val="0"/>
                      <w:position w:val="0"/>
                      <w:sz w:val="21"/>
                      <w:szCs w:val="21"/>
                      <w:highlight w:val="none"/>
                      <w:lang w:val="en-US" w:eastAsia="zh-CN"/>
                    </w:rPr>
                    <w:t>0.67</w:t>
                  </w:r>
                </w:p>
              </w:tc>
              <w:tc>
                <w:tcPr>
                  <w:tcW w:w="1212" w:type="pct"/>
                  <w:tcBorders>
                    <w:tl2br w:val="nil"/>
                    <w:tr2bl w:val="nil"/>
                  </w:tcBorders>
                  <w:noWrap w:val="0"/>
                  <w:vAlign w:val="center"/>
                </w:tcPr>
                <w:p w14:paraId="134E6124">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pacing w:val="0"/>
                      <w:kern w:val="2"/>
                      <w:position w:val="0"/>
                      <w:sz w:val="21"/>
                      <w:szCs w:val="21"/>
                      <w:highlight w:val="none"/>
                      <w:u w:val="none"/>
                      <w:lang w:val="en-US" w:eastAsia="zh-CN" w:bidi="ar-SA"/>
                    </w:rPr>
                  </w:pPr>
                  <w:r>
                    <w:rPr>
                      <w:rFonts w:hint="default" w:ascii="Times New Roman" w:hAnsi="Times New Roman" w:eastAsia="宋体" w:cs="Times New Roman"/>
                      <w:i w:val="0"/>
                      <w:iCs w:val="0"/>
                      <w:color w:val="auto"/>
                      <w:spacing w:val="0"/>
                      <w:kern w:val="0"/>
                      <w:position w:val="0"/>
                      <w:sz w:val="21"/>
                      <w:szCs w:val="21"/>
                      <w:highlight w:val="none"/>
                      <w:u w:val="none"/>
                      <w:lang w:val="en-US" w:eastAsia="zh-CN" w:bidi="ar"/>
                    </w:rPr>
                    <w:t>33.50</w:t>
                  </w:r>
                </w:p>
              </w:tc>
            </w:tr>
            <w:tr w14:paraId="102C8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2" w:type="pct"/>
                  <w:vMerge w:val="continue"/>
                  <w:tcBorders>
                    <w:tl2br w:val="nil"/>
                    <w:tr2bl w:val="nil"/>
                  </w:tcBorders>
                  <w:noWrap w:val="0"/>
                  <w:vAlign w:val="center"/>
                </w:tcPr>
                <w:p w14:paraId="2580087F">
                  <w:pPr>
                    <w:keepNext w:val="0"/>
                    <w:keepLines w:val="0"/>
                    <w:pageBreakBefore w:val="0"/>
                    <w:kinsoku/>
                    <w:wordWrap w:val="0"/>
                    <w:overflowPunct/>
                    <w:topLinePunct w:val="0"/>
                    <w:autoSpaceDE/>
                    <w:autoSpaceDN/>
                    <w:bidi w:val="0"/>
                    <w:adjustRightInd/>
                    <w:snapToGrid/>
                    <w:jc w:val="center"/>
                    <w:rPr>
                      <w:color w:val="auto"/>
                      <w:spacing w:val="0"/>
                      <w:position w:val="0"/>
                      <w:sz w:val="21"/>
                      <w:szCs w:val="21"/>
                      <w:highlight w:val="none"/>
                    </w:rPr>
                  </w:pPr>
                </w:p>
              </w:tc>
              <w:tc>
                <w:tcPr>
                  <w:tcW w:w="1862" w:type="pct"/>
                  <w:vMerge w:val="continue"/>
                  <w:tcBorders>
                    <w:tl2br w:val="nil"/>
                    <w:tr2bl w:val="nil"/>
                  </w:tcBorders>
                  <w:noWrap w:val="0"/>
                  <w:vAlign w:val="center"/>
                </w:tcPr>
                <w:p w14:paraId="5CC476C6">
                  <w:pPr>
                    <w:keepNext w:val="0"/>
                    <w:keepLines w:val="0"/>
                    <w:pageBreakBefore w:val="0"/>
                    <w:kinsoku/>
                    <w:wordWrap w:val="0"/>
                    <w:overflowPunct/>
                    <w:topLinePunct w:val="0"/>
                    <w:autoSpaceDE/>
                    <w:autoSpaceDN/>
                    <w:bidi w:val="0"/>
                    <w:adjustRightInd/>
                    <w:snapToGrid/>
                    <w:jc w:val="center"/>
                    <w:rPr>
                      <w:color w:val="auto"/>
                      <w:spacing w:val="0"/>
                      <w:position w:val="0"/>
                      <w:sz w:val="21"/>
                      <w:szCs w:val="21"/>
                      <w:highlight w:val="none"/>
                    </w:rPr>
                  </w:pPr>
                </w:p>
              </w:tc>
              <w:tc>
                <w:tcPr>
                  <w:tcW w:w="893" w:type="pct"/>
                  <w:tcBorders>
                    <w:tl2br w:val="nil"/>
                    <w:tr2bl w:val="nil"/>
                  </w:tcBorders>
                  <w:noWrap w:val="0"/>
                  <w:vAlign w:val="center"/>
                </w:tcPr>
                <w:p w14:paraId="7EF6F697">
                  <w:pPr>
                    <w:keepNext w:val="0"/>
                    <w:keepLines w:val="0"/>
                    <w:pageBreakBefore w:val="0"/>
                    <w:kinsoku/>
                    <w:wordWrap w:val="0"/>
                    <w:overflowPunct/>
                    <w:topLinePunct w:val="0"/>
                    <w:autoSpaceDE/>
                    <w:autoSpaceDN/>
                    <w:bidi w:val="0"/>
                    <w:adjustRightInd/>
                    <w:snapToGrid/>
                    <w:jc w:val="center"/>
                    <w:rPr>
                      <w:rFonts w:hint="default" w:eastAsia="宋体"/>
                      <w:color w:val="auto"/>
                      <w:spacing w:val="0"/>
                      <w:position w:val="0"/>
                      <w:sz w:val="21"/>
                      <w:szCs w:val="21"/>
                      <w:highlight w:val="none"/>
                      <w:lang w:val="en-US" w:eastAsia="zh-CN"/>
                    </w:rPr>
                  </w:pPr>
                  <w:r>
                    <w:rPr>
                      <w:rFonts w:hint="eastAsia"/>
                      <w:color w:val="auto"/>
                      <w:spacing w:val="0"/>
                      <w:position w:val="0"/>
                      <w:sz w:val="21"/>
                      <w:szCs w:val="21"/>
                      <w:highlight w:val="none"/>
                      <w:lang w:val="en-US" w:eastAsia="zh-CN"/>
                    </w:rPr>
                    <w:t>0.89</w:t>
                  </w:r>
                </w:p>
              </w:tc>
              <w:tc>
                <w:tcPr>
                  <w:tcW w:w="1212" w:type="pct"/>
                  <w:tcBorders>
                    <w:tl2br w:val="nil"/>
                    <w:tr2bl w:val="nil"/>
                  </w:tcBorders>
                  <w:noWrap w:val="0"/>
                  <w:vAlign w:val="center"/>
                </w:tcPr>
                <w:p w14:paraId="38C09C21">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pacing w:val="0"/>
                      <w:kern w:val="2"/>
                      <w:position w:val="0"/>
                      <w:sz w:val="21"/>
                      <w:szCs w:val="21"/>
                      <w:highlight w:val="none"/>
                      <w:u w:val="none"/>
                      <w:lang w:val="en-US" w:eastAsia="zh-CN" w:bidi="ar-SA"/>
                    </w:rPr>
                  </w:pPr>
                  <w:r>
                    <w:rPr>
                      <w:rFonts w:hint="default" w:ascii="Times New Roman" w:hAnsi="Times New Roman" w:eastAsia="宋体" w:cs="Times New Roman"/>
                      <w:i w:val="0"/>
                      <w:iCs w:val="0"/>
                      <w:color w:val="auto"/>
                      <w:spacing w:val="0"/>
                      <w:kern w:val="0"/>
                      <w:position w:val="0"/>
                      <w:sz w:val="21"/>
                      <w:szCs w:val="21"/>
                      <w:highlight w:val="none"/>
                      <w:u w:val="none"/>
                      <w:lang w:val="en-US" w:eastAsia="zh-CN" w:bidi="ar"/>
                    </w:rPr>
                    <w:t>44.50</w:t>
                  </w:r>
                </w:p>
              </w:tc>
            </w:tr>
            <w:tr w14:paraId="37BAC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2" w:type="pct"/>
                  <w:vMerge w:val="continue"/>
                  <w:tcBorders>
                    <w:tl2br w:val="nil"/>
                    <w:tr2bl w:val="nil"/>
                  </w:tcBorders>
                  <w:noWrap w:val="0"/>
                  <w:vAlign w:val="center"/>
                </w:tcPr>
                <w:p w14:paraId="17DB9D17">
                  <w:pPr>
                    <w:keepNext w:val="0"/>
                    <w:keepLines w:val="0"/>
                    <w:pageBreakBefore w:val="0"/>
                    <w:kinsoku/>
                    <w:wordWrap w:val="0"/>
                    <w:overflowPunct/>
                    <w:topLinePunct w:val="0"/>
                    <w:autoSpaceDE/>
                    <w:autoSpaceDN/>
                    <w:bidi w:val="0"/>
                    <w:adjustRightInd/>
                    <w:snapToGrid/>
                    <w:jc w:val="center"/>
                    <w:rPr>
                      <w:color w:val="auto"/>
                      <w:spacing w:val="0"/>
                      <w:position w:val="0"/>
                      <w:sz w:val="21"/>
                      <w:szCs w:val="21"/>
                      <w:highlight w:val="none"/>
                    </w:rPr>
                  </w:pPr>
                </w:p>
              </w:tc>
              <w:tc>
                <w:tcPr>
                  <w:tcW w:w="1862" w:type="pct"/>
                  <w:vMerge w:val="restart"/>
                  <w:tcBorders>
                    <w:tl2br w:val="nil"/>
                    <w:tr2bl w:val="nil"/>
                  </w:tcBorders>
                  <w:noWrap w:val="0"/>
                  <w:vAlign w:val="center"/>
                </w:tcPr>
                <w:p w14:paraId="56EEB042">
                  <w:pPr>
                    <w:keepNext w:val="0"/>
                    <w:keepLines w:val="0"/>
                    <w:pageBreakBefore w:val="0"/>
                    <w:kinsoku/>
                    <w:wordWrap w:val="0"/>
                    <w:overflowPunct/>
                    <w:topLinePunct w:val="0"/>
                    <w:autoSpaceDE/>
                    <w:autoSpaceDN/>
                    <w:bidi w:val="0"/>
                    <w:adjustRightInd/>
                    <w:snapToGrid/>
                    <w:jc w:val="center"/>
                    <w:rPr>
                      <w:color w:val="auto"/>
                      <w:spacing w:val="0"/>
                      <w:position w:val="0"/>
                      <w:sz w:val="21"/>
                      <w:szCs w:val="21"/>
                      <w:highlight w:val="none"/>
                    </w:rPr>
                  </w:pPr>
                  <w:r>
                    <w:rPr>
                      <w:rFonts w:hint="eastAsia"/>
                      <w:color w:val="auto"/>
                      <w:spacing w:val="0"/>
                      <w:position w:val="0"/>
                      <w:sz w:val="21"/>
                      <w:szCs w:val="21"/>
                      <w:highlight w:val="none"/>
                      <w:lang w:val="en-US" w:eastAsia="zh-CN"/>
                    </w:rPr>
                    <w:t>2023年5月10日</w:t>
                  </w:r>
                </w:p>
              </w:tc>
              <w:tc>
                <w:tcPr>
                  <w:tcW w:w="893" w:type="pct"/>
                  <w:tcBorders>
                    <w:tl2br w:val="nil"/>
                    <w:tr2bl w:val="nil"/>
                  </w:tcBorders>
                  <w:noWrap w:val="0"/>
                  <w:vAlign w:val="center"/>
                </w:tcPr>
                <w:p w14:paraId="6C2B7712">
                  <w:pPr>
                    <w:keepNext w:val="0"/>
                    <w:keepLines w:val="0"/>
                    <w:pageBreakBefore w:val="0"/>
                    <w:kinsoku/>
                    <w:wordWrap w:val="0"/>
                    <w:overflowPunct/>
                    <w:topLinePunct w:val="0"/>
                    <w:autoSpaceDE/>
                    <w:autoSpaceDN/>
                    <w:bidi w:val="0"/>
                    <w:adjustRightInd/>
                    <w:snapToGrid/>
                    <w:jc w:val="center"/>
                    <w:rPr>
                      <w:rFonts w:hint="default" w:eastAsia="宋体"/>
                      <w:color w:val="auto"/>
                      <w:spacing w:val="0"/>
                      <w:position w:val="0"/>
                      <w:sz w:val="21"/>
                      <w:szCs w:val="21"/>
                      <w:highlight w:val="none"/>
                      <w:lang w:val="en-US" w:eastAsia="zh-CN"/>
                    </w:rPr>
                  </w:pPr>
                  <w:r>
                    <w:rPr>
                      <w:rFonts w:hint="eastAsia"/>
                      <w:color w:val="auto"/>
                      <w:spacing w:val="0"/>
                      <w:position w:val="0"/>
                      <w:sz w:val="21"/>
                      <w:szCs w:val="21"/>
                      <w:highlight w:val="none"/>
                      <w:lang w:val="en-US" w:eastAsia="zh-CN"/>
                    </w:rPr>
                    <w:t>0.75</w:t>
                  </w:r>
                </w:p>
              </w:tc>
              <w:tc>
                <w:tcPr>
                  <w:tcW w:w="1212" w:type="pct"/>
                  <w:tcBorders>
                    <w:tl2br w:val="nil"/>
                    <w:tr2bl w:val="nil"/>
                  </w:tcBorders>
                  <w:noWrap w:val="0"/>
                  <w:vAlign w:val="center"/>
                </w:tcPr>
                <w:p w14:paraId="041FA80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pacing w:val="0"/>
                      <w:kern w:val="2"/>
                      <w:position w:val="0"/>
                      <w:sz w:val="21"/>
                      <w:szCs w:val="21"/>
                      <w:highlight w:val="none"/>
                      <w:u w:val="none"/>
                      <w:lang w:val="en-US" w:eastAsia="zh-CN" w:bidi="ar-SA"/>
                    </w:rPr>
                  </w:pPr>
                  <w:r>
                    <w:rPr>
                      <w:rFonts w:hint="default" w:ascii="Times New Roman" w:hAnsi="Times New Roman" w:eastAsia="宋体" w:cs="Times New Roman"/>
                      <w:i w:val="0"/>
                      <w:iCs w:val="0"/>
                      <w:color w:val="auto"/>
                      <w:spacing w:val="0"/>
                      <w:kern w:val="0"/>
                      <w:position w:val="0"/>
                      <w:sz w:val="21"/>
                      <w:szCs w:val="21"/>
                      <w:highlight w:val="none"/>
                      <w:u w:val="none"/>
                      <w:lang w:val="en-US" w:eastAsia="zh-CN" w:bidi="ar"/>
                    </w:rPr>
                    <w:t>37.50</w:t>
                  </w:r>
                </w:p>
              </w:tc>
            </w:tr>
            <w:tr w14:paraId="56ED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032" w:type="pct"/>
                  <w:vMerge w:val="continue"/>
                  <w:tcBorders>
                    <w:tl2br w:val="nil"/>
                    <w:tr2bl w:val="nil"/>
                  </w:tcBorders>
                  <w:noWrap w:val="0"/>
                  <w:vAlign w:val="center"/>
                </w:tcPr>
                <w:p w14:paraId="06EBA5DF">
                  <w:pPr>
                    <w:keepNext w:val="0"/>
                    <w:keepLines w:val="0"/>
                    <w:pageBreakBefore w:val="0"/>
                    <w:kinsoku/>
                    <w:wordWrap w:val="0"/>
                    <w:overflowPunct/>
                    <w:topLinePunct w:val="0"/>
                    <w:autoSpaceDE/>
                    <w:autoSpaceDN/>
                    <w:bidi w:val="0"/>
                    <w:adjustRightInd/>
                    <w:snapToGrid/>
                    <w:jc w:val="center"/>
                    <w:rPr>
                      <w:color w:val="auto"/>
                      <w:spacing w:val="0"/>
                      <w:position w:val="0"/>
                      <w:sz w:val="21"/>
                      <w:szCs w:val="21"/>
                      <w:highlight w:val="none"/>
                    </w:rPr>
                  </w:pPr>
                </w:p>
              </w:tc>
              <w:tc>
                <w:tcPr>
                  <w:tcW w:w="1862" w:type="pct"/>
                  <w:vMerge w:val="continue"/>
                  <w:tcBorders>
                    <w:tl2br w:val="nil"/>
                    <w:tr2bl w:val="nil"/>
                  </w:tcBorders>
                  <w:noWrap w:val="0"/>
                  <w:vAlign w:val="center"/>
                </w:tcPr>
                <w:p w14:paraId="703EA58D">
                  <w:pPr>
                    <w:keepNext w:val="0"/>
                    <w:keepLines w:val="0"/>
                    <w:pageBreakBefore w:val="0"/>
                    <w:kinsoku/>
                    <w:wordWrap w:val="0"/>
                    <w:overflowPunct/>
                    <w:topLinePunct w:val="0"/>
                    <w:autoSpaceDE/>
                    <w:autoSpaceDN/>
                    <w:bidi w:val="0"/>
                    <w:adjustRightInd/>
                    <w:snapToGrid/>
                    <w:jc w:val="center"/>
                    <w:rPr>
                      <w:color w:val="auto"/>
                      <w:spacing w:val="0"/>
                      <w:position w:val="0"/>
                      <w:sz w:val="21"/>
                      <w:szCs w:val="21"/>
                      <w:highlight w:val="none"/>
                    </w:rPr>
                  </w:pPr>
                </w:p>
              </w:tc>
              <w:tc>
                <w:tcPr>
                  <w:tcW w:w="893" w:type="pct"/>
                  <w:tcBorders>
                    <w:tl2br w:val="nil"/>
                    <w:tr2bl w:val="nil"/>
                  </w:tcBorders>
                  <w:noWrap w:val="0"/>
                  <w:vAlign w:val="center"/>
                </w:tcPr>
                <w:p w14:paraId="00D51C70">
                  <w:pPr>
                    <w:keepNext w:val="0"/>
                    <w:keepLines w:val="0"/>
                    <w:pageBreakBefore w:val="0"/>
                    <w:kinsoku/>
                    <w:wordWrap w:val="0"/>
                    <w:overflowPunct/>
                    <w:topLinePunct w:val="0"/>
                    <w:autoSpaceDE/>
                    <w:autoSpaceDN/>
                    <w:bidi w:val="0"/>
                    <w:adjustRightInd/>
                    <w:snapToGrid/>
                    <w:jc w:val="center"/>
                    <w:rPr>
                      <w:rFonts w:hint="default" w:eastAsia="宋体"/>
                      <w:color w:val="auto"/>
                      <w:spacing w:val="0"/>
                      <w:position w:val="0"/>
                      <w:sz w:val="21"/>
                      <w:szCs w:val="21"/>
                      <w:highlight w:val="none"/>
                      <w:lang w:val="en-US" w:eastAsia="zh-CN"/>
                    </w:rPr>
                  </w:pPr>
                  <w:r>
                    <w:rPr>
                      <w:rFonts w:hint="eastAsia"/>
                      <w:color w:val="auto"/>
                      <w:spacing w:val="0"/>
                      <w:position w:val="0"/>
                      <w:sz w:val="21"/>
                      <w:szCs w:val="21"/>
                      <w:highlight w:val="none"/>
                      <w:lang w:val="en-US" w:eastAsia="zh-CN"/>
                    </w:rPr>
                    <w:t>0.76</w:t>
                  </w:r>
                </w:p>
              </w:tc>
              <w:tc>
                <w:tcPr>
                  <w:tcW w:w="1212" w:type="pct"/>
                  <w:tcBorders>
                    <w:tl2br w:val="nil"/>
                    <w:tr2bl w:val="nil"/>
                  </w:tcBorders>
                  <w:noWrap w:val="0"/>
                  <w:vAlign w:val="center"/>
                </w:tcPr>
                <w:p w14:paraId="1283FEF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pacing w:val="0"/>
                      <w:kern w:val="2"/>
                      <w:position w:val="0"/>
                      <w:sz w:val="21"/>
                      <w:szCs w:val="21"/>
                      <w:highlight w:val="none"/>
                      <w:u w:val="none"/>
                      <w:lang w:val="en-US" w:eastAsia="zh-CN" w:bidi="ar-SA"/>
                    </w:rPr>
                  </w:pPr>
                  <w:r>
                    <w:rPr>
                      <w:rFonts w:hint="default" w:ascii="Times New Roman" w:hAnsi="Times New Roman" w:eastAsia="宋体" w:cs="Times New Roman"/>
                      <w:i w:val="0"/>
                      <w:iCs w:val="0"/>
                      <w:color w:val="auto"/>
                      <w:spacing w:val="0"/>
                      <w:kern w:val="0"/>
                      <w:position w:val="0"/>
                      <w:sz w:val="21"/>
                      <w:szCs w:val="21"/>
                      <w:highlight w:val="none"/>
                      <w:u w:val="none"/>
                      <w:lang w:val="en-US" w:eastAsia="zh-CN" w:bidi="ar"/>
                    </w:rPr>
                    <w:t>38.00</w:t>
                  </w:r>
                </w:p>
              </w:tc>
            </w:tr>
            <w:tr w14:paraId="4710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2" w:type="pct"/>
                  <w:vMerge w:val="continue"/>
                  <w:tcBorders>
                    <w:tl2br w:val="nil"/>
                    <w:tr2bl w:val="nil"/>
                  </w:tcBorders>
                  <w:noWrap w:val="0"/>
                  <w:vAlign w:val="center"/>
                </w:tcPr>
                <w:p w14:paraId="1FA5D683">
                  <w:pPr>
                    <w:keepNext w:val="0"/>
                    <w:keepLines w:val="0"/>
                    <w:pageBreakBefore w:val="0"/>
                    <w:kinsoku/>
                    <w:wordWrap w:val="0"/>
                    <w:overflowPunct/>
                    <w:topLinePunct w:val="0"/>
                    <w:autoSpaceDE/>
                    <w:autoSpaceDN/>
                    <w:bidi w:val="0"/>
                    <w:adjustRightInd/>
                    <w:snapToGrid/>
                    <w:jc w:val="center"/>
                    <w:rPr>
                      <w:color w:val="auto"/>
                      <w:spacing w:val="0"/>
                      <w:position w:val="0"/>
                      <w:sz w:val="21"/>
                      <w:szCs w:val="21"/>
                      <w:highlight w:val="none"/>
                    </w:rPr>
                  </w:pPr>
                </w:p>
              </w:tc>
              <w:tc>
                <w:tcPr>
                  <w:tcW w:w="1862" w:type="pct"/>
                  <w:vMerge w:val="continue"/>
                  <w:tcBorders>
                    <w:tl2br w:val="nil"/>
                    <w:tr2bl w:val="nil"/>
                  </w:tcBorders>
                  <w:noWrap w:val="0"/>
                  <w:vAlign w:val="center"/>
                </w:tcPr>
                <w:p w14:paraId="1AA07A3D">
                  <w:pPr>
                    <w:keepNext w:val="0"/>
                    <w:keepLines w:val="0"/>
                    <w:pageBreakBefore w:val="0"/>
                    <w:kinsoku/>
                    <w:wordWrap w:val="0"/>
                    <w:overflowPunct/>
                    <w:topLinePunct w:val="0"/>
                    <w:autoSpaceDE/>
                    <w:autoSpaceDN/>
                    <w:bidi w:val="0"/>
                    <w:adjustRightInd/>
                    <w:snapToGrid/>
                    <w:jc w:val="center"/>
                    <w:rPr>
                      <w:color w:val="auto"/>
                      <w:spacing w:val="0"/>
                      <w:position w:val="0"/>
                      <w:sz w:val="21"/>
                      <w:szCs w:val="21"/>
                      <w:highlight w:val="none"/>
                    </w:rPr>
                  </w:pPr>
                </w:p>
              </w:tc>
              <w:tc>
                <w:tcPr>
                  <w:tcW w:w="893" w:type="pct"/>
                  <w:tcBorders>
                    <w:tl2br w:val="nil"/>
                    <w:tr2bl w:val="nil"/>
                  </w:tcBorders>
                  <w:noWrap w:val="0"/>
                  <w:vAlign w:val="center"/>
                </w:tcPr>
                <w:p w14:paraId="73BEE82F">
                  <w:pPr>
                    <w:keepNext w:val="0"/>
                    <w:keepLines w:val="0"/>
                    <w:pageBreakBefore w:val="0"/>
                    <w:kinsoku/>
                    <w:wordWrap w:val="0"/>
                    <w:overflowPunct/>
                    <w:topLinePunct w:val="0"/>
                    <w:autoSpaceDE/>
                    <w:autoSpaceDN/>
                    <w:bidi w:val="0"/>
                    <w:adjustRightInd/>
                    <w:snapToGrid/>
                    <w:jc w:val="center"/>
                    <w:rPr>
                      <w:rFonts w:hint="default" w:eastAsia="宋体"/>
                      <w:color w:val="auto"/>
                      <w:spacing w:val="0"/>
                      <w:position w:val="0"/>
                      <w:sz w:val="21"/>
                      <w:szCs w:val="21"/>
                      <w:highlight w:val="none"/>
                      <w:lang w:val="en-US" w:eastAsia="zh-CN"/>
                    </w:rPr>
                  </w:pPr>
                  <w:r>
                    <w:rPr>
                      <w:rFonts w:hint="eastAsia"/>
                      <w:color w:val="auto"/>
                      <w:spacing w:val="0"/>
                      <w:position w:val="0"/>
                      <w:sz w:val="21"/>
                      <w:szCs w:val="21"/>
                      <w:highlight w:val="none"/>
                      <w:lang w:val="en-US" w:eastAsia="zh-CN"/>
                    </w:rPr>
                    <w:t>0.69</w:t>
                  </w:r>
                </w:p>
              </w:tc>
              <w:tc>
                <w:tcPr>
                  <w:tcW w:w="1212" w:type="pct"/>
                  <w:tcBorders>
                    <w:tl2br w:val="nil"/>
                    <w:tr2bl w:val="nil"/>
                  </w:tcBorders>
                  <w:noWrap w:val="0"/>
                  <w:vAlign w:val="center"/>
                </w:tcPr>
                <w:p w14:paraId="16CAB8C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pacing w:val="0"/>
                      <w:kern w:val="2"/>
                      <w:position w:val="0"/>
                      <w:sz w:val="21"/>
                      <w:szCs w:val="21"/>
                      <w:highlight w:val="none"/>
                      <w:u w:val="none"/>
                      <w:lang w:val="en-US" w:eastAsia="zh-CN" w:bidi="ar-SA"/>
                    </w:rPr>
                  </w:pPr>
                  <w:r>
                    <w:rPr>
                      <w:rFonts w:hint="default" w:ascii="Times New Roman" w:hAnsi="Times New Roman" w:eastAsia="宋体" w:cs="Times New Roman"/>
                      <w:i w:val="0"/>
                      <w:iCs w:val="0"/>
                      <w:color w:val="auto"/>
                      <w:spacing w:val="0"/>
                      <w:kern w:val="0"/>
                      <w:position w:val="0"/>
                      <w:sz w:val="21"/>
                      <w:szCs w:val="21"/>
                      <w:highlight w:val="none"/>
                      <w:u w:val="none"/>
                      <w:lang w:val="en-US" w:eastAsia="zh-CN" w:bidi="ar"/>
                    </w:rPr>
                    <w:t>34.50</w:t>
                  </w:r>
                </w:p>
              </w:tc>
            </w:tr>
            <w:tr w14:paraId="16026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2" w:type="pct"/>
                  <w:vMerge w:val="continue"/>
                  <w:tcBorders>
                    <w:tl2br w:val="nil"/>
                    <w:tr2bl w:val="nil"/>
                  </w:tcBorders>
                  <w:noWrap w:val="0"/>
                  <w:vAlign w:val="center"/>
                </w:tcPr>
                <w:p w14:paraId="6BC2938E">
                  <w:pPr>
                    <w:keepNext w:val="0"/>
                    <w:keepLines w:val="0"/>
                    <w:pageBreakBefore w:val="0"/>
                    <w:kinsoku/>
                    <w:wordWrap w:val="0"/>
                    <w:overflowPunct/>
                    <w:topLinePunct w:val="0"/>
                    <w:autoSpaceDE/>
                    <w:autoSpaceDN/>
                    <w:bidi w:val="0"/>
                    <w:adjustRightInd/>
                    <w:snapToGrid/>
                    <w:jc w:val="center"/>
                    <w:rPr>
                      <w:color w:val="auto"/>
                      <w:spacing w:val="0"/>
                      <w:position w:val="0"/>
                      <w:sz w:val="21"/>
                      <w:szCs w:val="21"/>
                      <w:highlight w:val="none"/>
                    </w:rPr>
                  </w:pPr>
                </w:p>
              </w:tc>
              <w:tc>
                <w:tcPr>
                  <w:tcW w:w="1862" w:type="pct"/>
                  <w:vMerge w:val="continue"/>
                  <w:tcBorders>
                    <w:tl2br w:val="nil"/>
                    <w:tr2bl w:val="nil"/>
                  </w:tcBorders>
                  <w:noWrap w:val="0"/>
                  <w:vAlign w:val="center"/>
                </w:tcPr>
                <w:p w14:paraId="72844F20">
                  <w:pPr>
                    <w:keepNext w:val="0"/>
                    <w:keepLines w:val="0"/>
                    <w:pageBreakBefore w:val="0"/>
                    <w:kinsoku/>
                    <w:wordWrap w:val="0"/>
                    <w:overflowPunct/>
                    <w:topLinePunct w:val="0"/>
                    <w:autoSpaceDE/>
                    <w:autoSpaceDN/>
                    <w:bidi w:val="0"/>
                    <w:adjustRightInd/>
                    <w:snapToGrid/>
                    <w:jc w:val="center"/>
                    <w:rPr>
                      <w:color w:val="auto"/>
                      <w:spacing w:val="0"/>
                      <w:position w:val="0"/>
                      <w:sz w:val="21"/>
                      <w:szCs w:val="21"/>
                      <w:highlight w:val="none"/>
                    </w:rPr>
                  </w:pPr>
                </w:p>
              </w:tc>
              <w:tc>
                <w:tcPr>
                  <w:tcW w:w="893" w:type="pct"/>
                  <w:tcBorders>
                    <w:tl2br w:val="nil"/>
                    <w:tr2bl w:val="nil"/>
                  </w:tcBorders>
                  <w:noWrap w:val="0"/>
                  <w:vAlign w:val="center"/>
                </w:tcPr>
                <w:p w14:paraId="4AEB50B1">
                  <w:pPr>
                    <w:keepNext w:val="0"/>
                    <w:keepLines w:val="0"/>
                    <w:pageBreakBefore w:val="0"/>
                    <w:kinsoku/>
                    <w:wordWrap w:val="0"/>
                    <w:overflowPunct/>
                    <w:topLinePunct w:val="0"/>
                    <w:autoSpaceDE/>
                    <w:autoSpaceDN/>
                    <w:bidi w:val="0"/>
                    <w:adjustRightInd/>
                    <w:snapToGrid/>
                    <w:jc w:val="center"/>
                    <w:rPr>
                      <w:rFonts w:hint="default" w:eastAsia="宋体"/>
                      <w:color w:val="auto"/>
                      <w:spacing w:val="0"/>
                      <w:position w:val="0"/>
                      <w:sz w:val="21"/>
                      <w:szCs w:val="21"/>
                      <w:highlight w:val="none"/>
                      <w:lang w:val="en-US" w:eastAsia="zh-CN"/>
                    </w:rPr>
                  </w:pPr>
                  <w:r>
                    <w:rPr>
                      <w:rFonts w:hint="eastAsia"/>
                      <w:color w:val="auto"/>
                      <w:spacing w:val="0"/>
                      <w:position w:val="0"/>
                      <w:sz w:val="21"/>
                      <w:szCs w:val="21"/>
                      <w:highlight w:val="none"/>
                      <w:lang w:val="en-US" w:eastAsia="zh-CN"/>
                    </w:rPr>
                    <w:t>0.69</w:t>
                  </w:r>
                </w:p>
              </w:tc>
              <w:tc>
                <w:tcPr>
                  <w:tcW w:w="1212" w:type="pct"/>
                  <w:tcBorders>
                    <w:tl2br w:val="nil"/>
                    <w:tr2bl w:val="nil"/>
                  </w:tcBorders>
                  <w:noWrap w:val="0"/>
                  <w:vAlign w:val="center"/>
                </w:tcPr>
                <w:p w14:paraId="575CDDE6">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pacing w:val="0"/>
                      <w:kern w:val="2"/>
                      <w:position w:val="0"/>
                      <w:sz w:val="21"/>
                      <w:szCs w:val="21"/>
                      <w:highlight w:val="none"/>
                      <w:u w:val="none"/>
                      <w:lang w:val="en-US" w:eastAsia="zh-CN" w:bidi="ar-SA"/>
                    </w:rPr>
                  </w:pPr>
                  <w:r>
                    <w:rPr>
                      <w:rFonts w:hint="default" w:ascii="Times New Roman" w:hAnsi="Times New Roman" w:eastAsia="宋体" w:cs="Times New Roman"/>
                      <w:i w:val="0"/>
                      <w:iCs w:val="0"/>
                      <w:color w:val="auto"/>
                      <w:spacing w:val="0"/>
                      <w:kern w:val="0"/>
                      <w:position w:val="0"/>
                      <w:sz w:val="21"/>
                      <w:szCs w:val="21"/>
                      <w:highlight w:val="none"/>
                      <w:u w:val="none"/>
                      <w:lang w:val="en-US" w:eastAsia="zh-CN" w:bidi="ar"/>
                    </w:rPr>
                    <w:t>34.50</w:t>
                  </w:r>
                </w:p>
              </w:tc>
            </w:tr>
            <w:tr w14:paraId="4D804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2" w:type="pct"/>
                  <w:vMerge w:val="continue"/>
                  <w:tcBorders>
                    <w:tl2br w:val="nil"/>
                    <w:tr2bl w:val="nil"/>
                  </w:tcBorders>
                  <w:noWrap w:val="0"/>
                  <w:vAlign w:val="center"/>
                </w:tcPr>
                <w:p w14:paraId="7ABAE226">
                  <w:pPr>
                    <w:keepNext w:val="0"/>
                    <w:keepLines w:val="0"/>
                    <w:pageBreakBefore w:val="0"/>
                    <w:kinsoku/>
                    <w:wordWrap w:val="0"/>
                    <w:overflowPunct/>
                    <w:topLinePunct w:val="0"/>
                    <w:autoSpaceDE/>
                    <w:autoSpaceDN/>
                    <w:bidi w:val="0"/>
                    <w:adjustRightInd/>
                    <w:snapToGrid/>
                    <w:jc w:val="center"/>
                    <w:rPr>
                      <w:color w:val="auto"/>
                      <w:spacing w:val="0"/>
                      <w:position w:val="0"/>
                      <w:sz w:val="21"/>
                      <w:szCs w:val="21"/>
                      <w:highlight w:val="none"/>
                    </w:rPr>
                  </w:pPr>
                </w:p>
              </w:tc>
              <w:tc>
                <w:tcPr>
                  <w:tcW w:w="1862" w:type="pct"/>
                  <w:vMerge w:val="restart"/>
                  <w:tcBorders>
                    <w:tl2br w:val="nil"/>
                    <w:tr2bl w:val="nil"/>
                  </w:tcBorders>
                  <w:noWrap w:val="0"/>
                  <w:vAlign w:val="center"/>
                </w:tcPr>
                <w:p w14:paraId="73EBB815">
                  <w:pPr>
                    <w:keepNext w:val="0"/>
                    <w:keepLines w:val="0"/>
                    <w:pageBreakBefore w:val="0"/>
                    <w:kinsoku/>
                    <w:wordWrap w:val="0"/>
                    <w:overflowPunct/>
                    <w:topLinePunct w:val="0"/>
                    <w:autoSpaceDE/>
                    <w:autoSpaceDN/>
                    <w:bidi w:val="0"/>
                    <w:adjustRightInd/>
                    <w:snapToGrid/>
                    <w:jc w:val="center"/>
                    <w:rPr>
                      <w:color w:val="auto"/>
                      <w:spacing w:val="0"/>
                      <w:position w:val="0"/>
                      <w:sz w:val="21"/>
                      <w:szCs w:val="21"/>
                      <w:highlight w:val="none"/>
                    </w:rPr>
                  </w:pPr>
                  <w:r>
                    <w:rPr>
                      <w:rFonts w:hint="eastAsia"/>
                      <w:color w:val="auto"/>
                      <w:spacing w:val="0"/>
                      <w:position w:val="0"/>
                      <w:sz w:val="21"/>
                      <w:szCs w:val="21"/>
                      <w:highlight w:val="none"/>
                      <w:lang w:val="en-US" w:eastAsia="zh-CN"/>
                    </w:rPr>
                    <w:t>2023年5月11日</w:t>
                  </w:r>
                </w:p>
              </w:tc>
              <w:tc>
                <w:tcPr>
                  <w:tcW w:w="893" w:type="pct"/>
                  <w:tcBorders>
                    <w:tl2br w:val="nil"/>
                    <w:tr2bl w:val="nil"/>
                  </w:tcBorders>
                  <w:noWrap w:val="0"/>
                  <w:vAlign w:val="center"/>
                </w:tcPr>
                <w:p w14:paraId="73617669">
                  <w:pPr>
                    <w:keepNext w:val="0"/>
                    <w:keepLines w:val="0"/>
                    <w:pageBreakBefore w:val="0"/>
                    <w:kinsoku/>
                    <w:wordWrap w:val="0"/>
                    <w:overflowPunct/>
                    <w:topLinePunct w:val="0"/>
                    <w:autoSpaceDE/>
                    <w:autoSpaceDN/>
                    <w:bidi w:val="0"/>
                    <w:adjustRightInd/>
                    <w:snapToGrid/>
                    <w:jc w:val="center"/>
                    <w:rPr>
                      <w:rFonts w:hint="default" w:eastAsia="宋体"/>
                      <w:color w:val="auto"/>
                      <w:spacing w:val="0"/>
                      <w:position w:val="0"/>
                      <w:sz w:val="21"/>
                      <w:szCs w:val="21"/>
                      <w:highlight w:val="none"/>
                      <w:lang w:val="en-US" w:eastAsia="zh-CN"/>
                    </w:rPr>
                  </w:pPr>
                  <w:r>
                    <w:rPr>
                      <w:rFonts w:hint="eastAsia"/>
                      <w:color w:val="auto"/>
                      <w:spacing w:val="0"/>
                      <w:position w:val="0"/>
                      <w:sz w:val="21"/>
                      <w:szCs w:val="21"/>
                      <w:highlight w:val="none"/>
                      <w:lang w:val="en-US" w:eastAsia="zh-CN"/>
                    </w:rPr>
                    <w:t>0.47</w:t>
                  </w:r>
                </w:p>
              </w:tc>
              <w:tc>
                <w:tcPr>
                  <w:tcW w:w="1212" w:type="pct"/>
                  <w:tcBorders>
                    <w:tl2br w:val="nil"/>
                    <w:tr2bl w:val="nil"/>
                  </w:tcBorders>
                  <w:noWrap w:val="0"/>
                  <w:vAlign w:val="center"/>
                </w:tcPr>
                <w:p w14:paraId="114E7851">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pacing w:val="0"/>
                      <w:kern w:val="2"/>
                      <w:position w:val="0"/>
                      <w:sz w:val="21"/>
                      <w:szCs w:val="21"/>
                      <w:highlight w:val="none"/>
                      <w:u w:val="none"/>
                      <w:lang w:val="en-US" w:eastAsia="zh-CN" w:bidi="ar-SA"/>
                    </w:rPr>
                  </w:pPr>
                  <w:r>
                    <w:rPr>
                      <w:rFonts w:hint="default" w:ascii="Times New Roman" w:hAnsi="Times New Roman" w:eastAsia="宋体" w:cs="Times New Roman"/>
                      <w:i w:val="0"/>
                      <w:iCs w:val="0"/>
                      <w:color w:val="auto"/>
                      <w:spacing w:val="0"/>
                      <w:kern w:val="0"/>
                      <w:position w:val="0"/>
                      <w:sz w:val="21"/>
                      <w:szCs w:val="21"/>
                      <w:highlight w:val="none"/>
                      <w:u w:val="none"/>
                      <w:lang w:val="en-US" w:eastAsia="zh-CN" w:bidi="ar"/>
                    </w:rPr>
                    <w:t>23.50</w:t>
                  </w:r>
                </w:p>
              </w:tc>
            </w:tr>
            <w:tr w14:paraId="1F645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2" w:type="pct"/>
                  <w:vMerge w:val="continue"/>
                  <w:tcBorders>
                    <w:tl2br w:val="nil"/>
                    <w:tr2bl w:val="nil"/>
                  </w:tcBorders>
                  <w:noWrap w:val="0"/>
                  <w:vAlign w:val="center"/>
                </w:tcPr>
                <w:p w14:paraId="45D6157D">
                  <w:pPr>
                    <w:keepNext w:val="0"/>
                    <w:keepLines w:val="0"/>
                    <w:pageBreakBefore w:val="0"/>
                    <w:kinsoku/>
                    <w:wordWrap w:val="0"/>
                    <w:overflowPunct/>
                    <w:topLinePunct w:val="0"/>
                    <w:autoSpaceDE/>
                    <w:autoSpaceDN/>
                    <w:bidi w:val="0"/>
                    <w:adjustRightInd/>
                    <w:snapToGrid/>
                    <w:jc w:val="center"/>
                    <w:rPr>
                      <w:color w:val="auto"/>
                      <w:spacing w:val="0"/>
                      <w:position w:val="0"/>
                      <w:sz w:val="21"/>
                      <w:szCs w:val="21"/>
                      <w:highlight w:val="none"/>
                    </w:rPr>
                  </w:pPr>
                </w:p>
              </w:tc>
              <w:tc>
                <w:tcPr>
                  <w:tcW w:w="1862" w:type="pct"/>
                  <w:vMerge w:val="continue"/>
                  <w:tcBorders>
                    <w:tl2br w:val="nil"/>
                    <w:tr2bl w:val="nil"/>
                  </w:tcBorders>
                  <w:noWrap w:val="0"/>
                  <w:vAlign w:val="center"/>
                </w:tcPr>
                <w:p w14:paraId="4D7049BC">
                  <w:pPr>
                    <w:keepNext w:val="0"/>
                    <w:keepLines w:val="0"/>
                    <w:pageBreakBefore w:val="0"/>
                    <w:kinsoku/>
                    <w:wordWrap w:val="0"/>
                    <w:overflowPunct/>
                    <w:topLinePunct w:val="0"/>
                    <w:autoSpaceDE/>
                    <w:autoSpaceDN/>
                    <w:bidi w:val="0"/>
                    <w:adjustRightInd/>
                    <w:snapToGrid/>
                    <w:jc w:val="center"/>
                    <w:rPr>
                      <w:color w:val="auto"/>
                      <w:spacing w:val="0"/>
                      <w:position w:val="0"/>
                      <w:sz w:val="21"/>
                      <w:szCs w:val="21"/>
                      <w:highlight w:val="none"/>
                    </w:rPr>
                  </w:pPr>
                </w:p>
              </w:tc>
              <w:tc>
                <w:tcPr>
                  <w:tcW w:w="893" w:type="pct"/>
                  <w:tcBorders>
                    <w:tl2br w:val="nil"/>
                    <w:tr2bl w:val="nil"/>
                  </w:tcBorders>
                  <w:noWrap w:val="0"/>
                  <w:vAlign w:val="center"/>
                </w:tcPr>
                <w:p w14:paraId="4ECB0347">
                  <w:pPr>
                    <w:keepNext w:val="0"/>
                    <w:keepLines w:val="0"/>
                    <w:pageBreakBefore w:val="0"/>
                    <w:kinsoku/>
                    <w:wordWrap w:val="0"/>
                    <w:overflowPunct/>
                    <w:topLinePunct w:val="0"/>
                    <w:autoSpaceDE/>
                    <w:autoSpaceDN/>
                    <w:bidi w:val="0"/>
                    <w:adjustRightInd/>
                    <w:snapToGrid/>
                    <w:jc w:val="center"/>
                    <w:rPr>
                      <w:rFonts w:hint="default" w:eastAsia="宋体"/>
                      <w:color w:val="auto"/>
                      <w:spacing w:val="0"/>
                      <w:position w:val="0"/>
                      <w:sz w:val="21"/>
                      <w:szCs w:val="21"/>
                      <w:highlight w:val="none"/>
                      <w:lang w:val="en-US" w:eastAsia="zh-CN"/>
                    </w:rPr>
                  </w:pPr>
                  <w:r>
                    <w:rPr>
                      <w:rFonts w:hint="eastAsia"/>
                      <w:color w:val="auto"/>
                      <w:spacing w:val="0"/>
                      <w:position w:val="0"/>
                      <w:sz w:val="21"/>
                      <w:szCs w:val="21"/>
                      <w:highlight w:val="none"/>
                      <w:lang w:val="en-US" w:eastAsia="zh-CN"/>
                    </w:rPr>
                    <w:t>0.62</w:t>
                  </w:r>
                </w:p>
              </w:tc>
              <w:tc>
                <w:tcPr>
                  <w:tcW w:w="1212" w:type="pct"/>
                  <w:tcBorders>
                    <w:tl2br w:val="nil"/>
                    <w:tr2bl w:val="nil"/>
                  </w:tcBorders>
                  <w:noWrap w:val="0"/>
                  <w:vAlign w:val="center"/>
                </w:tcPr>
                <w:p w14:paraId="76398E05">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pacing w:val="0"/>
                      <w:kern w:val="2"/>
                      <w:position w:val="0"/>
                      <w:sz w:val="21"/>
                      <w:szCs w:val="21"/>
                      <w:highlight w:val="none"/>
                      <w:u w:val="none"/>
                      <w:lang w:val="en-US" w:eastAsia="zh-CN" w:bidi="ar-SA"/>
                    </w:rPr>
                  </w:pPr>
                  <w:r>
                    <w:rPr>
                      <w:rFonts w:hint="default" w:ascii="Times New Roman" w:hAnsi="Times New Roman" w:eastAsia="宋体" w:cs="Times New Roman"/>
                      <w:i w:val="0"/>
                      <w:iCs w:val="0"/>
                      <w:color w:val="auto"/>
                      <w:spacing w:val="0"/>
                      <w:kern w:val="0"/>
                      <w:position w:val="0"/>
                      <w:sz w:val="21"/>
                      <w:szCs w:val="21"/>
                      <w:highlight w:val="none"/>
                      <w:u w:val="none"/>
                      <w:lang w:val="en-US" w:eastAsia="zh-CN" w:bidi="ar"/>
                    </w:rPr>
                    <w:t>31.00</w:t>
                  </w:r>
                </w:p>
              </w:tc>
            </w:tr>
            <w:tr w14:paraId="4509B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2" w:type="pct"/>
                  <w:vMerge w:val="continue"/>
                  <w:tcBorders>
                    <w:tl2br w:val="nil"/>
                    <w:tr2bl w:val="nil"/>
                  </w:tcBorders>
                  <w:noWrap w:val="0"/>
                  <w:vAlign w:val="center"/>
                </w:tcPr>
                <w:p w14:paraId="139337B2">
                  <w:pPr>
                    <w:keepNext w:val="0"/>
                    <w:keepLines w:val="0"/>
                    <w:pageBreakBefore w:val="0"/>
                    <w:kinsoku/>
                    <w:wordWrap w:val="0"/>
                    <w:overflowPunct/>
                    <w:topLinePunct w:val="0"/>
                    <w:autoSpaceDE/>
                    <w:autoSpaceDN/>
                    <w:bidi w:val="0"/>
                    <w:adjustRightInd/>
                    <w:snapToGrid/>
                    <w:jc w:val="center"/>
                    <w:rPr>
                      <w:color w:val="auto"/>
                      <w:spacing w:val="0"/>
                      <w:position w:val="0"/>
                      <w:sz w:val="21"/>
                      <w:szCs w:val="21"/>
                      <w:highlight w:val="none"/>
                    </w:rPr>
                  </w:pPr>
                </w:p>
              </w:tc>
              <w:tc>
                <w:tcPr>
                  <w:tcW w:w="1862" w:type="pct"/>
                  <w:vMerge w:val="continue"/>
                  <w:tcBorders>
                    <w:tl2br w:val="nil"/>
                    <w:tr2bl w:val="nil"/>
                  </w:tcBorders>
                  <w:noWrap w:val="0"/>
                  <w:vAlign w:val="center"/>
                </w:tcPr>
                <w:p w14:paraId="628C3C63">
                  <w:pPr>
                    <w:keepNext w:val="0"/>
                    <w:keepLines w:val="0"/>
                    <w:pageBreakBefore w:val="0"/>
                    <w:kinsoku/>
                    <w:wordWrap w:val="0"/>
                    <w:overflowPunct/>
                    <w:topLinePunct w:val="0"/>
                    <w:autoSpaceDE/>
                    <w:autoSpaceDN/>
                    <w:bidi w:val="0"/>
                    <w:adjustRightInd/>
                    <w:snapToGrid/>
                    <w:jc w:val="center"/>
                    <w:rPr>
                      <w:color w:val="auto"/>
                      <w:spacing w:val="0"/>
                      <w:position w:val="0"/>
                      <w:sz w:val="21"/>
                      <w:szCs w:val="21"/>
                      <w:highlight w:val="none"/>
                    </w:rPr>
                  </w:pPr>
                </w:p>
              </w:tc>
              <w:tc>
                <w:tcPr>
                  <w:tcW w:w="893" w:type="pct"/>
                  <w:tcBorders>
                    <w:tl2br w:val="nil"/>
                    <w:tr2bl w:val="nil"/>
                  </w:tcBorders>
                  <w:noWrap w:val="0"/>
                  <w:vAlign w:val="center"/>
                </w:tcPr>
                <w:p w14:paraId="3A2C02E8">
                  <w:pPr>
                    <w:keepNext w:val="0"/>
                    <w:keepLines w:val="0"/>
                    <w:pageBreakBefore w:val="0"/>
                    <w:kinsoku/>
                    <w:wordWrap w:val="0"/>
                    <w:overflowPunct/>
                    <w:topLinePunct w:val="0"/>
                    <w:autoSpaceDE/>
                    <w:autoSpaceDN/>
                    <w:bidi w:val="0"/>
                    <w:adjustRightInd/>
                    <w:snapToGrid/>
                    <w:jc w:val="center"/>
                    <w:rPr>
                      <w:rFonts w:hint="default" w:eastAsia="宋体"/>
                      <w:color w:val="auto"/>
                      <w:spacing w:val="0"/>
                      <w:position w:val="0"/>
                      <w:sz w:val="21"/>
                      <w:szCs w:val="21"/>
                      <w:highlight w:val="none"/>
                      <w:lang w:val="en-US" w:eastAsia="zh-CN"/>
                    </w:rPr>
                  </w:pPr>
                  <w:r>
                    <w:rPr>
                      <w:rFonts w:hint="eastAsia"/>
                      <w:color w:val="auto"/>
                      <w:spacing w:val="0"/>
                      <w:position w:val="0"/>
                      <w:sz w:val="21"/>
                      <w:szCs w:val="21"/>
                      <w:highlight w:val="none"/>
                      <w:lang w:val="en-US" w:eastAsia="zh-CN"/>
                    </w:rPr>
                    <w:t>0.57</w:t>
                  </w:r>
                </w:p>
              </w:tc>
              <w:tc>
                <w:tcPr>
                  <w:tcW w:w="1212" w:type="pct"/>
                  <w:tcBorders>
                    <w:tl2br w:val="nil"/>
                    <w:tr2bl w:val="nil"/>
                  </w:tcBorders>
                  <w:noWrap w:val="0"/>
                  <w:vAlign w:val="center"/>
                </w:tcPr>
                <w:p w14:paraId="3B962A74">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pacing w:val="0"/>
                      <w:kern w:val="2"/>
                      <w:position w:val="0"/>
                      <w:sz w:val="21"/>
                      <w:szCs w:val="21"/>
                      <w:highlight w:val="none"/>
                      <w:u w:val="none"/>
                      <w:lang w:val="en-US" w:eastAsia="zh-CN" w:bidi="ar-SA"/>
                    </w:rPr>
                  </w:pPr>
                  <w:r>
                    <w:rPr>
                      <w:rFonts w:hint="default" w:ascii="Times New Roman" w:hAnsi="Times New Roman" w:eastAsia="宋体" w:cs="Times New Roman"/>
                      <w:i w:val="0"/>
                      <w:iCs w:val="0"/>
                      <w:color w:val="auto"/>
                      <w:spacing w:val="0"/>
                      <w:kern w:val="0"/>
                      <w:position w:val="0"/>
                      <w:sz w:val="21"/>
                      <w:szCs w:val="21"/>
                      <w:highlight w:val="none"/>
                      <w:u w:val="none"/>
                      <w:lang w:val="en-US" w:eastAsia="zh-CN" w:bidi="ar"/>
                    </w:rPr>
                    <w:t>28.50</w:t>
                  </w:r>
                </w:p>
              </w:tc>
            </w:tr>
            <w:tr w14:paraId="0CCC0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2" w:type="pct"/>
                  <w:vMerge w:val="continue"/>
                  <w:tcBorders>
                    <w:tl2br w:val="nil"/>
                    <w:tr2bl w:val="nil"/>
                  </w:tcBorders>
                  <w:noWrap w:val="0"/>
                  <w:vAlign w:val="center"/>
                </w:tcPr>
                <w:p w14:paraId="6A5F10C6">
                  <w:pPr>
                    <w:keepNext w:val="0"/>
                    <w:keepLines w:val="0"/>
                    <w:pageBreakBefore w:val="0"/>
                    <w:kinsoku/>
                    <w:wordWrap w:val="0"/>
                    <w:overflowPunct/>
                    <w:topLinePunct w:val="0"/>
                    <w:autoSpaceDE/>
                    <w:autoSpaceDN/>
                    <w:bidi w:val="0"/>
                    <w:adjustRightInd/>
                    <w:snapToGrid/>
                    <w:jc w:val="center"/>
                    <w:rPr>
                      <w:color w:val="auto"/>
                      <w:spacing w:val="0"/>
                      <w:position w:val="0"/>
                      <w:sz w:val="21"/>
                      <w:szCs w:val="21"/>
                      <w:highlight w:val="none"/>
                    </w:rPr>
                  </w:pPr>
                </w:p>
              </w:tc>
              <w:tc>
                <w:tcPr>
                  <w:tcW w:w="1862" w:type="pct"/>
                  <w:vMerge w:val="continue"/>
                  <w:tcBorders>
                    <w:tl2br w:val="nil"/>
                    <w:tr2bl w:val="nil"/>
                  </w:tcBorders>
                  <w:noWrap w:val="0"/>
                  <w:vAlign w:val="center"/>
                </w:tcPr>
                <w:p w14:paraId="6F17BD97">
                  <w:pPr>
                    <w:keepNext w:val="0"/>
                    <w:keepLines w:val="0"/>
                    <w:pageBreakBefore w:val="0"/>
                    <w:kinsoku/>
                    <w:wordWrap w:val="0"/>
                    <w:overflowPunct/>
                    <w:topLinePunct w:val="0"/>
                    <w:autoSpaceDE/>
                    <w:autoSpaceDN/>
                    <w:bidi w:val="0"/>
                    <w:adjustRightInd/>
                    <w:snapToGrid/>
                    <w:jc w:val="center"/>
                    <w:rPr>
                      <w:color w:val="auto"/>
                      <w:spacing w:val="0"/>
                      <w:position w:val="0"/>
                      <w:sz w:val="21"/>
                      <w:szCs w:val="21"/>
                      <w:highlight w:val="none"/>
                    </w:rPr>
                  </w:pPr>
                </w:p>
              </w:tc>
              <w:tc>
                <w:tcPr>
                  <w:tcW w:w="893" w:type="pct"/>
                  <w:tcBorders>
                    <w:tl2br w:val="nil"/>
                    <w:tr2bl w:val="nil"/>
                  </w:tcBorders>
                  <w:noWrap w:val="0"/>
                  <w:vAlign w:val="center"/>
                </w:tcPr>
                <w:p w14:paraId="67AC2F67">
                  <w:pPr>
                    <w:keepNext w:val="0"/>
                    <w:keepLines w:val="0"/>
                    <w:pageBreakBefore w:val="0"/>
                    <w:kinsoku/>
                    <w:wordWrap w:val="0"/>
                    <w:overflowPunct/>
                    <w:topLinePunct w:val="0"/>
                    <w:autoSpaceDE/>
                    <w:autoSpaceDN/>
                    <w:bidi w:val="0"/>
                    <w:adjustRightInd/>
                    <w:snapToGrid/>
                    <w:jc w:val="center"/>
                    <w:rPr>
                      <w:rFonts w:hint="default" w:eastAsia="宋体"/>
                      <w:color w:val="auto"/>
                      <w:spacing w:val="0"/>
                      <w:position w:val="0"/>
                      <w:sz w:val="21"/>
                      <w:szCs w:val="21"/>
                      <w:highlight w:val="none"/>
                      <w:lang w:val="en-US" w:eastAsia="zh-CN"/>
                    </w:rPr>
                  </w:pPr>
                  <w:r>
                    <w:rPr>
                      <w:rFonts w:hint="eastAsia"/>
                      <w:color w:val="auto"/>
                      <w:spacing w:val="0"/>
                      <w:position w:val="0"/>
                      <w:sz w:val="21"/>
                      <w:szCs w:val="21"/>
                      <w:highlight w:val="none"/>
                      <w:lang w:val="en-US" w:eastAsia="zh-CN"/>
                    </w:rPr>
                    <w:t>0.57</w:t>
                  </w:r>
                </w:p>
              </w:tc>
              <w:tc>
                <w:tcPr>
                  <w:tcW w:w="1212" w:type="pct"/>
                  <w:tcBorders>
                    <w:tl2br w:val="nil"/>
                    <w:tr2bl w:val="nil"/>
                  </w:tcBorders>
                  <w:noWrap w:val="0"/>
                  <w:vAlign w:val="center"/>
                </w:tcPr>
                <w:p w14:paraId="2FAEAA5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pacing w:val="0"/>
                      <w:kern w:val="2"/>
                      <w:position w:val="0"/>
                      <w:sz w:val="21"/>
                      <w:szCs w:val="21"/>
                      <w:highlight w:val="none"/>
                      <w:u w:val="none"/>
                      <w:lang w:val="en-US" w:eastAsia="zh-CN" w:bidi="ar-SA"/>
                    </w:rPr>
                  </w:pPr>
                  <w:r>
                    <w:rPr>
                      <w:rFonts w:hint="default" w:ascii="Times New Roman" w:hAnsi="Times New Roman" w:eastAsia="宋体" w:cs="Times New Roman"/>
                      <w:i w:val="0"/>
                      <w:iCs w:val="0"/>
                      <w:color w:val="auto"/>
                      <w:spacing w:val="0"/>
                      <w:kern w:val="0"/>
                      <w:position w:val="0"/>
                      <w:sz w:val="21"/>
                      <w:szCs w:val="21"/>
                      <w:highlight w:val="none"/>
                      <w:u w:val="none"/>
                      <w:lang w:val="en-US" w:eastAsia="zh-CN" w:bidi="ar"/>
                    </w:rPr>
                    <w:t>28.50</w:t>
                  </w:r>
                </w:p>
              </w:tc>
            </w:tr>
            <w:tr w14:paraId="6CFE6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2" w:type="pct"/>
                  <w:vMerge w:val="continue"/>
                  <w:tcBorders>
                    <w:tl2br w:val="nil"/>
                    <w:tr2bl w:val="nil"/>
                  </w:tcBorders>
                  <w:noWrap w:val="0"/>
                  <w:vAlign w:val="center"/>
                </w:tcPr>
                <w:p w14:paraId="13B97801">
                  <w:pPr>
                    <w:keepNext w:val="0"/>
                    <w:keepLines w:val="0"/>
                    <w:pageBreakBefore w:val="0"/>
                    <w:kinsoku/>
                    <w:wordWrap w:val="0"/>
                    <w:overflowPunct/>
                    <w:topLinePunct w:val="0"/>
                    <w:autoSpaceDE/>
                    <w:autoSpaceDN/>
                    <w:bidi w:val="0"/>
                    <w:adjustRightInd/>
                    <w:snapToGrid/>
                    <w:jc w:val="center"/>
                    <w:rPr>
                      <w:color w:val="auto"/>
                      <w:spacing w:val="0"/>
                      <w:position w:val="0"/>
                      <w:sz w:val="21"/>
                      <w:szCs w:val="21"/>
                      <w:highlight w:val="none"/>
                    </w:rPr>
                  </w:pPr>
                </w:p>
              </w:tc>
              <w:tc>
                <w:tcPr>
                  <w:tcW w:w="1862" w:type="pct"/>
                  <w:tcBorders>
                    <w:tl2br w:val="nil"/>
                    <w:tr2bl w:val="nil"/>
                  </w:tcBorders>
                  <w:noWrap w:val="0"/>
                  <w:vAlign w:val="center"/>
                </w:tcPr>
                <w:p w14:paraId="390752B5">
                  <w:pPr>
                    <w:keepNext w:val="0"/>
                    <w:keepLines w:val="0"/>
                    <w:pageBreakBefore w:val="0"/>
                    <w:kinsoku/>
                    <w:wordWrap w:val="0"/>
                    <w:overflowPunct/>
                    <w:topLinePunct w:val="0"/>
                    <w:autoSpaceDE/>
                    <w:autoSpaceDN/>
                    <w:bidi w:val="0"/>
                    <w:adjustRightInd/>
                    <w:snapToGrid/>
                    <w:jc w:val="center"/>
                    <w:rPr>
                      <w:color w:val="auto"/>
                      <w:spacing w:val="0"/>
                      <w:kern w:val="2"/>
                      <w:position w:val="0"/>
                      <w:sz w:val="21"/>
                      <w:szCs w:val="21"/>
                      <w:highlight w:val="none"/>
                      <w:lang w:val="en-US" w:eastAsia="zh-CN" w:bidi="ar-SA"/>
                    </w:rPr>
                  </w:pPr>
                  <w:r>
                    <w:rPr>
                      <w:color w:val="auto"/>
                      <w:spacing w:val="0"/>
                      <w:position w:val="0"/>
                      <w:sz w:val="21"/>
                      <w:szCs w:val="21"/>
                      <w:highlight w:val="none"/>
                    </w:rPr>
                    <w:t>标准值</w:t>
                  </w:r>
                </w:p>
              </w:tc>
              <w:tc>
                <w:tcPr>
                  <w:tcW w:w="893" w:type="pct"/>
                  <w:tcBorders>
                    <w:tl2br w:val="nil"/>
                    <w:tr2bl w:val="nil"/>
                  </w:tcBorders>
                  <w:noWrap w:val="0"/>
                  <w:vAlign w:val="center"/>
                </w:tcPr>
                <w:p w14:paraId="0CAEC116">
                  <w:pPr>
                    <w:keepNext w:val="0"/>
                    <w:keepLines w:val="0"/>
                    <w:pageBreakBefore w:val="0"/>
                    <w:kinsoku/>
                    <w:wordWrap w:val="0"/>
                    <w:overflowPunct/>
                    <w:topLinePunct w:val="0"/>
                    <w:autoSpaceDE/>
                    <w:autoSpaceDN/>
                    <w:bidi w:val="0"/>
                    <w:adjustRightInd/>
                    <w:snapToGrid/>
                    <w:jc w:val="center"/>
                    <w:rPr>
                      <w:rFonts w:hint="default" w:eastAsia="宋体"/>
                      <w:color w:val="auto"/>
                      <w:spacing w:val="0"/>
                      <w:kern w:val="2"/>
                      <w:position w:val="0"/>
                      <w:sz w:val="21"/>
                      <w:szCs w:val="21"/>
                      <w:highlight w:val="none"/>
                      <w:lang w:val="en-US" w:eastAsia="zh-CN" w:bidi="ar-SA"/>
                    </w:rPr>
                  </w:pPr>
                  <w:r>
                    <w:rPr>
                      <w:rFonts w:hint="eastAsia"/>
                      <w:color w:val="auto"/>
                      <w:spacing w:val="0"/>
                      <w:position w:val="0"/>
                      <w:sz w:val="21"/>
                      <w:szCs w:val="21"/>
                      <w:highlight w:val="none"/>
                      <w:lang w:val="en-US" w:eastAsia="zh-CN"/>
                    </w:rPr>
                    <w:t>2.0</w:t>
                  </w:r>
                </w:p>
              </w:tc>
              <w:tc>
                <w:tcPr>
                  <w:tcW w:w="1212" w:type="pct"/>
                  <w:tcBorders>
                    <w:tl2br w:val="nil"/>
                    <w:tr2bl w:val="nil"/>
                  </w:tcBorders>
                  <w:noWrap w:val="0"/>
                  <w:vAlign w:val="center"/>
                </w:tcPr>
                <w:p w14:paraId="55B29B3C">
                  <w:pPr>
                    <w:keepNext w:val="0"/>
                    <w:keepLines w:val="0"/>
                    <w:pageBreakBefore w:val="0"/>
                    <w:kinsoku/>
                    <w:wordWrap w:val="0"/>
                    <w:overflowPunct/>
                    <w:topLinePunct w:val="0"/>
                    <w:autoSpaceDE/>
                    <w:autoSpaceDN/>
                    <w:bidi w:val="0"/>
                    <w:adjustRightInd/>
                    <w:snapToGrid/>
                    <w:jc w:val="center"/>
                    <w:rPr>
                      <w:rFonts w:hint="eastAsia"/>
                      <w:color w:val="auto"/>
                      <w:spacing w:val="0"/>
                      <w:position w:val="0"/>
                      <w:sz w:val="21"/>
                      <w:szCs w:val="21"/>
                      <w:highlight w:val="none"/>
                    </w:rPr>
                  </w:pPr>
                  <w:r>
                    <w:rPr>
                      <w:rFonts w:hint="eastAsia"/>
                      <w:color w:val="auto"/>
                      <w:spacing w:val="0"/>
                      <w:position w:val="0"/>
                      <w:sz w:val="21"/>
                      <w:szCs w:val="21"/>
                      <w:highlight w:val="none"/>
                    </w:rPr>
                    <w:t>-</w:t>
                  </w:r>
                </w:p>
              </w:tc>
            </w:tr>
            <w:tr w14:paraId="4F11F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2" w:type="pct"/>
                  <w:vMerge w:val="continue"/>
                  <w:tcBorders>
                    <w:tl2br w:val="nil"/>
                    <w:tr2bl w:val="nil"/>
                  </w:tcBorders>
                  <w:noWrap w:val="0"/>
                  <w:vAlign w:val="center"/>
                </w:tcPr>
                <w:p w14:paraId="73EFC486">
                  <w:pPr>
                    <w:keepNext w:val="0"/>
                    <w:keepLines w:val="0"/>
                    <w:pageBreakBefore w:val="0"/>
                    <w:kinsoku/>
                    <w:wordWrap w:val="0"/>
                    <w:overflowPunct/>
                    <w:topLinePunct w:val="0"/>
                    <w:autoSpaceDE/>
                    <w:autoSpaceDN/>
                    <w:bidi w:val="0"/>
                    <w:adjustRightInd/>
                    <w:snapToGrid/>
                    <w:jc w:val="center"/>
                    <w:rPr>
                      <w:color w:val="auto"/>
                      <w:spacing w:val="0"/>
                      <w:position w:val="0"/>
                      <w:sz w:val="21"/>
                      <w:szCs w:val="21"/>
                      <w:highlight w:val="none"/>
                    </w:rPr>
                  </w:pPr>
                </w:p>
              </w:tc>
              <w:tc>
                <w:tcPr>
                  <w:tcW w:w="1862" w:type="pct"/>
                  <w:tcBorders>
                    <w:tl2br w:val="nil"/>
                    <w:tr2bl w:val="nil"/>
                  </w:tcBorders>
                  <w:noWrap w:val="0"/>
                  <w:vAlign w:val="center"/>
                </w:tcPr>
                <w:p w14:paraId="0F579005">
                  <w:pPr>
                    <w:keepNext w:val="0"/>
                    <w:keepLines w:val="0"/>
                    <w:pageBreakBefore w:val="0"/>
                    <w:kinsoku/>
                    <w:wordWrap w:val="0"/>
                    <w:overflowPunct/>
                    <w:topLinePunct w:val="0"/>
                    <w:autoSpaceDE/>
                    <w:autoSpaceDN/>
                    <w:bidi w:val="0"/>
                    <w:adjustRightInd/>
                    <w:snapToGrid/>
                    <w:jc w:val="center"/>
                    <w:rPr>
                      <w:rFonts w:hint="eastAsia" w:eastAsia="宋体"/>
                      <w:color w:val="auto"/>
                      <w:spacing w:val="0"/>
                      <w:kern w:val="2"/>
                      <w:position w:val="0"/>
                      <w:sz w:val="21"/>
                      <w:szCs w:val="21"/>
                      <w:highlight w:val="none"/>
                      <w:lang w:val="en-US" w:eastAsia="zh-CN" w:bidi="ar-SA"/>
                    </w:rPr>
                  </w:pPr>
                  <w:r>
                    <w:rPr>
                      <w:color w:val="auto"/>
                      <w:spacing w:val="0"/>
                      <w:position w:val="0"/>
                      <w:sz w:val="21"/>
                      <w:szCs w:val="21"/>
                      <w:highlight w:val="none"/>
                    </w:rPr>
                    <w:t>超标率</w:t>
                  </w:r>
                  <w:r>
                    <w:rPr>
                      <w:rFonts w:hint="eastAsia"/>
                      <w:color w:val="auto"/>
                      <w:spacing w:val="0"/>
                      <w:position w:val="0"/>
                      <w:sz w:val="21"/>
                      <w:szCs w:val="21"/>
                      <w:highlight w:val="none"/>
                      <w:lang w:eastAsia="zh-CN"/>
                    </w:rPr>
                    <w:t>（</w:t>
                  </w:r>
                  <w:r>
                    <w:rPr>
                      <w:color w:val="auto"/>
                      <w:spacing w:val="0"/>
                      <w:position w:val="0"/>
                      <w:sz w:val="21"/>
                      <w:szCs w:val="21"/>
                      <w:highlight w:val="none"/>
                    </w:rPr>
                    <w:t>%</w:t>
                  </w:r>
                  <w:r>
                    <w:rPr>
                      <w:rFonts w:hint="eastAsia"/>
                      <w:color w:val="auto"/>
                      <w:spacing w:val="0"/>
                      <w:position w:val="0"/>
                      <w:sz w:val="21"/>
                      <w:szCs w:val="21"/>
                      <w:highlight w:val="none"/>
                      <w:lang w:eastAsia="zh-CN"/>
                    </w:rPr>
                    <w:t>）</w:t>
                  </w:r>
                </w:p>
              </w:tc>
              <w:tc>
                <w:tcPr>
                  <w:tcW w:w="893" w:type="pct"/>
                  <w:tcBorders>
                    <w:tl2br w:val="nil"/>
                    <w:tr2bl w:val="nil"/>
                  </w:tcBorders>
                  <w:noWrap w:val="0"/>
                  <w:vAlign w:val="center"/>
                </w:tcPr>
                <w:p w14:paraId="4145F5AC">
                  <w:pPr>
                    <w:keepNext w:val="0"/>
                    <w:keepLines w:val="0"/>
                    <w:pageBreakBefore w:val="0"/>
                    <w:kinsoku/>
                    <w:wordWrap w:val="0"/>
                    <w:overflowPunct/>
                    <w:topLinePunct w:val="0"/>
                    <w:autoSpaceDE/>
                    <w:autoSpaceDN/>
                    <w:bidi w:val="0"/>
                    <w:adjustRightInd/>
                    <w:snapToGrid/>
                    <w:jc w:val="center"/>
                    <w:rPr>
                      <w:rFonts w:hint="eastAsia"/>
                      <w:color w:val="auto"/>
                      <w:spacing w:val="0"/>
                      <w:kern w:val="2"/>
                      <w:position w:val="0"/>
                      <w:sz w:val="21"/>
                      <w:szCs w:val="21"/>
                      <w:highlight w:val="none"/>
                      <w:lang w:val="en-US" w:eastAsia="zh-CN" w:bidi="ar-SA"/>
                    </w:rPr>
                  </w:pPr>
                  <w:r>
                    <w:rPr>
                      <w:rFonts w:hint="eastAsia"/>
                      <w:color w:val="auto"/>
                      <w:spacing w:val="0"/>
                      <w:position w:val="0"/>
                      <w:sz w:val="21"/>
                      <w:szCs w:val="21"/>
                      <w:highlight w:val="none"/>
                    </w:rPr>
                    <w:t>-</w:t>
                  </w:r>
                </w:p>
              </w:tc>
              <w:tc>
                <w:tcPr>
                  <w:tcW w:w="1212" w:type="pct"/>
                  <w:tcBorders>
                    <w:tl2br w:val="nil"/>
                    <w:tr2bl w:val="nil"/>
                  </w:tcBorders>
                  <w:noWrap w:val="0"/>
                  <w:vAlign w:val="center"/>
                </w:tcPr>
                <w:p w14:paraId="5571562C">
                  <w:pPr>
                    <w:keepNext w:val="0"/>
                    <w:keepLines w:val="0"/>
                    <w:pageBreakBefore w:val="0"/>
                    <w:kinsoku/>
                    <w:wordWrap w:val="0"/>
                    <w:overflowPunct/>
                    <w:topLinePunct w:val="0"/>
                    <w:autoSpaceDE/>
                    <w:autoSpaceDN/>
                    <w:bidi w:val="0"/>
                    <w:adjustRightInd/>
                    <w:snapToGrid/>
                    <w:jc w:val="center"/>
                    <w:rPr>
                      <w:rFonts w:hint="eastAsia" w:eastAsia="宋体"/>
                      <w:color w:val="auto"/>
                      <w:spacing w:val="0"/>
                      <w:position w:val="0"/>
                      <w:sz w:val="21"/>
                      <w:szCs w:val="21"/>
                      <w:highlight w:val="none"/>
                      <w:lang w:eastAsia="zh-CN"/>
                    </w:rPr>
                  </w:pPr>
                  <w:r>
                    <w:rPr>
                      <w:rFonts w:hint="eastAsia"/>
                      <w:color w:val="auto"/>
                      <w:spacing w:val="0"/>
                      <w:position w:val="0"/>
                      <w:sz w:val="21"/>
                      <w:szCs w:val="21"/>
                      <w:highlight w:val="none"/>
                      <w:lang w:val="en-US" w:eastAsia="zh-CN"/>
                    </w:rPr>
                    <w:t>0</w:t>
                  </w:r>
                </w:p>
              </w:tc>
            </w:tr>
            <w:tr w14:paraId="7469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2" w:type="pct"/>
                  <w:vMerge w:val="continue"/>
                  <w:tcBorders>
                    <w:tl2br w:val="nil"/>
                    <w:tr2bl w:val="nil"/>
                  </w:tcBorders>
                  <w:noWrap w:val="0"/>
                  <w:vAlign w:val="center"/>
                </w:tcPr>
                <w:p w14:paraId="3B4938B5">
                  <w:pPr>
                    <w:keepNext w:val="0"/>
                    <w:keepLines w:val="0"/>
                    <w:pageBreakBefore w:val="0"/>
                    <w:kinsoku/>
                    <w:wordWrap w:val="0"/>
                    <w:overflowPunct/>
                    <w:topLinePunct w:val="0"/>
                    <w:autoSpaceDE/>
                    <w:autoSpaceDN/>
                    <w:bidi w:val="0"/>
                    <w:adjustRightInd/>
                    <w:snapToGrid/>
                    <w:jc w:val="center"/>
                    <w:rPr>
                      <w:color w:val="auto"/>
                      <w:spacing w:val="0"/>
                      <w:position w:val="0"/>
                      <w:sz w:val="21"/>
                      <w:szCs w:val="21"/>
                      <w:highlight w:val="none"/>
                    </w:rPr>
                  </w:pPr>
                </w:p>
              </w:tc>
              <w:tc>
                <w:tcPr>
                  <w:tcW w:w="1862" w:type="pct"/>
                  <w:tcBorders>
                    <w:tl2br w:val="nil"/>
                    <w:tr2bl w:val="nil"/>
                  </w:tcBorders>
                  <w:noWrap w:val="0"/>
                  <w:vAlign w:val="center"/>
                </w:tcPr>
                <w:p w14:paraId="0C778080">
                  <w:pPr>
                    <w:keepNext w:val="0"/>
                    <w:keepLines w:val="0"/>
                    <w:pageBreakBefore w:val="0"/>
                    <w:kinsoku/>
                    <w:wordWrap w:val="0"/>
                    <w:overflowPunct/>
                    <w:topLinePunct w:val="0"/>
                    <w:autoSpaceDE/>
                    <w:autoSpaceDN/>
                    <w:bidi w:val="0"/>
                    <w:adjustRightInd/>
                    <w:snapToGrid/>
                    <w:jc w:val="center"/>
                    <w:rPr>
                      <w:color w:val="auto"/>
                      <w:spacing w:val="0"/>
                      <w:kern w:val="2"/>
                      <w:position w:val="0"/>
                      <w:sz w:val="21"/>
                      <w:szCs w:val="21"/>
                      <w:highlight w:val="none"/>
                      <w:lang w:val="en-US" w:eastAsia="zh-CN" w:bidi="ar-SA"/>
                    </w:rPr>
                  </w:pPr>
                  <w:r>
                    <w:rPr>
                      <w:color w:val="auto"/>
                      <w:spacing w:val="0"/>
                      <w:position w:val="0"/>
                      <w:sz w:val="21"/>
                      <w:szCs w:val="21"/>
                      <w:highlight w:val="none"/>
                    </w:rPr>
                    <w:t>最大浓度值占标百分比%</w:t>
                  </w:r>
                </w:p>
              </w:tc>
              <w:tc>
                <w:tcPr>
                  <w:tcW w:w="893" w:type="pct"/>
                  <w:tcBorders>
                    <w:tl2br w:val="nil"/>
                    <w:tr2bl w:val="nil"/>
                  </w:tcBorders>
                  <w:noWrap w:val="0"/>
                  <w:vAlign w:val="center"/>
                </w:tcPr>
                <w:p w14:paraId="0EFF8144">
                  <w:pPr>
                    <w:keepNext w:val="0"/>
                    <w:keepLines w:val="0"/>
                    <w:pageBreakBefore w:val="0"/>
                    <w:kinsoku/>
                    <w:wordWrap w:val="0"/>
                    <w:overflowPunct/>
                    <w:topLinePunct w:val="0"/>
                    <w:autoSpaceDE/>
                    <w:autoSpaceDN/>
                    <w:bidi w:val="0"/>
                    <w:adjustRightInd/>
                    <w:snapToGrid/>
                    <w:jc w:val="center"/>
                    <w:rPr>
                      <w:rFonts w:hint="eastAsia"/>
                      <w:color w:val="auto"/>
                      <w:spacing w:val="0"/>
                      <w:kern w:val="2"/>
                      <w:position w:val="0"/>
                      <w:sz w:val="21"/>
                      <w:szCs w:val="21"/>
                      <w:highlight w:val="none"/>
                      <w:lang w:val="en-US" w:eastAsia="zh-CN" w:bidi="ar-SA"/>
                    </w:rPr>
                  </w:pPr>
                  <w:r>
                    <w:rPr>
                      <w:rFonts w:hint="eastAsia"/>
                      <w:color w:val="auto"/>
                      <w:spacing w:val="0"/>
                      <w:position w:val="0"/>
                      <w:sz w:val="21"/>
                      <w:szCs w:val="21"/>
                      <w:highlight w:val="none"/>
                    </w:rPr>
                    <w:t>-</w:t>
                  </w:r>
                </w:p>
              </w:tc>
              <w:tc>
                <w:tcPr>
                  <w:tcW w:w="1212" w:type="pct"/>
                  <w:tcBorders>
                    <w:tl2br w:val="nil"/>
                    <w:tr2bl w:val="nil"/>
                  </w:tcBorders>
                  <w:noWrap w:val="0"/>
                  <w:vAlign w:val="center"/>
                </w:tcPr>
                <w:p w14:paraId="7EFFD85E">
                  <w:pPr>
                    <w:keepNext w:val="0"/>
                    <w:keepLines w:val="0"/>
                    <w:pageBreakBefore w:val="0"/>
                    <w:kinsoku/>
                    <w:wordWrap w:val="0"/>
                    <w:overflowPunct/>
                    <w:topLinePunct w:val="0"/>
                    <w:autoSpaceDE/>
                    <w:autoSpaceDN/>
                    <w:bidi w:val="0"/>
                    <w:adjustRightInd/>
                    <w:snapToGrid/>
                    <w:jc w:val="center"/>
                    <w:rPr>
                      <w:rFonts w:hint="eastAsia"/>
                      <w:color w:val="auto"/>
                      <w:spacing w:val="0"/>
                      <w:position w:val="0"/>
                      <w:sz w:val="21"/>
                      <w:szCs w:val="21"/>
                      <w:highlight w:val="none"/>
                    </w:rPr>
                  </w:pPr>
                  <w:r>
                    <w:rPr>
                      <w:rFonts w:hint="eastAsia"/>
                      <w:color w:val="auto"/>
                      <w:spacing w:val="0"/>
                      <w:position w:val="0"/>
                      <w:sz w:val="21"/>
                      <w:szCs w:val="21"/>
                      <w:highlight w:val="none"/>
                    </w:rPr>
                    <w:t>-</w:t>
                  </w:r>
                </w:p>
              </w:tc>
            </w:tr>
          </w:tbl>
          <w:p w14:paraId="70C97738">
            <w:pPr>
              <w:pageBreakBefore w:val="0"/>
              <w:widowControl w:val="0"/>
              <w:kinsoku/>
              <w:wordWrap/>
              <w:overflowPunct/>
              <w:topLinePunct w:val="0"/>
              <w:bidi w:val="0"/>
              <w:spacing w:line="480" w:lineRule="exact"/>
              <w:ind w:firstLine="480" w:firstLineChars="200"/>
              <w:rPr>
                <w:color w:val="auto"/>
                <w:spacing w:val="0"/>
                <w:position w:val="0"/>
                <w:sz w:val="24"/>
                <w:highlight w:val="none"/>
              </w:rPr>
            </w:pPr>
            <w:r>
              <w:rPr>
                <w:color w:val="auto"/>
                <w:spacing w:val="0"/>
                <w:position w:val="0"/>
                <w:sz w:val="24"/>
                <w:highlight w:val="none"/>
              </w:rPr>
              <w:t>从上表中可以看出</w:t>
            </w:r>
            <w:r>
              <w:rPr>
                <w:rFonts w:hint="eastAsia"/>
                <w:color w:val="auto"/>
                <w:spacing w:val="0"/>
                <w:position w:val="0"/>
                <w:sz w:val="24"/>
                <w:highlight w:val="none"/>
              </w:rPr>
              <w:t>：</w:t>
            </w:r>
            <w:r>
              <w:rPr>
                <w:color w:val="auto"/>
                <w:spacing w:val="0"/>
                <w:position w:val="0"/>
                <w:sz w:val="24"/>
                <w:highlight w:val="none"/>
              </w:rPr>
              <w:t>评价区域内TSP的浓度低于《环境空气质量标准》（GB3095-2012）中的二级标准</w:t>
            </w:r>
            <w:r>
              <w:rPr>
                <w:rFonts w:hint="eastAsia"/>
                <w:color w:val="auto"/>
                <w:spacing w:val="0"/>
                <w:position w:val="0"/>
                <w:sz w:val="24"/>
                <w:highlight w:val="none"/>
                <w:lang w:eastAsia="zh-CN"/>
              </w:rPr>
              <w:t>要求，非甲烷总烃满足</w:t>
            </w:r>
            <w:r>
              <w:rPr>
                <w:rFonts w:hint="eastAsia"/>
                <w:color w:val="auto"/>
                <w:spacing w:val="0"/>
                <w:position w:val="0"/>
                <w:sz w:val="24"/>
                <w:highlight w:val="none"/>
                <w:lang w:val="en-US" w:eastAsia="zh-CN"/>
              </w:rPr>
              <w:t>《大气污染物综合排放标准详解》中限值要求</w:t>
            </w:r>
            <w:r>
              <w:rPr>
                <w:color w:val="auto"/>
                <w:spacing w:val="0"/>
                <w:position w:val="0"/>
                <w:sz w:val="24"/>
                <w:highlight w:val="none"/>
              </w:rPr>
              <w:t>。</w:t>
            </w:r>
            <w:bookmarkStart w:id="19" w:name="_GoBack"/>
            <w:bookmarkEnd w:id="19"/>
          </w:p>
          <w:p w14:paraId="7D25EF4C">
            <w:pPr>
              <w:spacing w:line="360" w:lineRule="auto"/>
              <w:rPr>
                <w:b/>
                <w:bCs/>
                <w:kern w:val="0"/>
                <w:sz w:val="24"/>
                <w:szCs w:val="24"/>
              </w:rPr>
            </w:pPr>
            <w:r>
              <w:rPr>
                <w:b/>
                <w:bCs/>
                <w:kern w:val="0"/>
                <w:sz w:val="24"/>
                <w:szCs w:val="24"/>
              </w:rPr>
              <w:t>2</w:t>
            </w:r>
            <w:r>
              <w:rPr>
                <w:rFonts w:hint="eastAsia"/>
                <w:b/>
                <w:bCs/>
                <w:kern w:val="0"/>
                <w:sz w:val="24"/>
                <w:szCs w:val="24"/>
              </w:rPr>
              <w:t>.</w:t>
            </w:r>
            <w:r>
              <w:rPr>
                <w:b/>
                <w:bCs/>
                <w:kern w:val="0"/>
                <w:sz w:val="24"/>
                <w:szCs w:val="24"/>
              </w:rPr>
              <w:t>地表水</w:t>
            </w:r>
            <w:r>
              <w:rPr>
                <w:b/>
                <w:sz w:val="24"/>
                <w:szCs w:val="24"/>
              </w:rPr>
              <w:t>质量现状调查与评价</w:t>
            </w:r>
          </w:p>
          <w:p w14:paraId="4FD354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根据项目所在区域环境状况，按《环境影响评价技术导则 地表水环境》（HJ2.3-2018）中有关规定，地表水环境影响评价等级为三级B，根据5.3.2.2三级B，其评价范围应符合以下要求：应满足其依托污水处理设施环境可行性分析的要求；涉及地表水环境风险的，应覆盖环境风险范围所及的水环境保护目标水域。</w:t>
            </w:r>
            <w:r>
              <w:rPr>
                <w:rFonts w:hint="eastAsia"/>
                <w:sz w:val="24"/>
                <w:szCs w:val="24"/>
              </w:rPr>
              <w:t>本项目周边无地表水环境存在，排放</w:t>
            </w:r>
            <w:r>
              <w:rPr>
                <w:sz w:val="24"/>
                <w:szCs w:val="24"/>
              </w:rPr>
              <w:t>废水仅为工作人员少量生活污水，</w:t>
            </w:r>
            <w:r>
              <w:rPr>
                <w:color w:val="000000"/>
                <w:sz w:val="24"/>
                <w:szCs w:val="24"/>
              </w:rPr>
              <w:t>生活污水</w:t>
            </w:r>
            <w:r>
              <w:rPr>
                <w:rFonts w:hint="eastAsia"/>
                <w:color w:val="000000"/>
                <w:sz w:val="24"/>
                <w:szCs w:val="24"/>
                <w:lang w:val="en-US" w:eastAsia="zh-CN"/>
              </w:rPr>
              <w:t>排放至</w:t>
            </w:r>
            <w:r>
              <w:rPr>
                <w:rFonts w:hint="eastAsia"/>
                <w:sz w:val="24"/>
                <w:szCs w:val="24"/>
              </w:rPr>
              <w:t>工业园</w:t>
            </w:r>
            <w:r>
              <w:rPr>
                <w:rFonts w:hint="eastAsia"/>
                <w:color w:val="000000"/>
                <w:sz w:val="24"/>
                <w:szCs w:val="24"/>
              </w:rPr>
              <w:t>污水处理厂</w:t>
            </w:r>
            <w:r>
              <w:rPr>
                <w:sz w:val="24"/>
                <w:szCs w:val="24"/>
              </w:rPr>
              <w:t>，不会对周边环境造成不利影响</w:t>
            </w:r>
            <w:r>
              <w:rPr>
                <w:rFonts w:hint="eastAsia"/>
                <w:sz w:val="24"/>
                <w:szCs w:val="24"/>
              </w:rPr>
              <w:t>，</w:t>
            </w:r>
            <w:r>
              <w:rPr>
                <w:sz w:val="24"/>
                <w:szCs w:val="24"/>
              </w:rPr>
              <w:t>故不进行环境质量现状监测。</w:t>
            </w:r>
          </w:p>
          <w:p w14:paraId="6D5F074B">
            <w:pPr>
              <w:spacing w:line="360" w:lineRule="auto"/>
              <w:rPr>
                <w:b/>
                <w:sz w:val="24"/>
                <w:szCs w:val="24"/>
              </w:rPr>
            </w:pPr>
            <w:r>
              <w:rPr>
                <w:b/>
                <w:sz w:val="24"/>
                <w:szCs w:val="24"/>
              </w:rPr>
              <w:t>3</w:t>
            </w:r>
            <w:r>
              <w:rPr>
                <w:rFonts w:hint="eastAsia"/>
                <w:b/>
                <w:color w:val="000000" w:themeColor="text1"/>
                <w:sz w:val="24"/>
                <w:szCs w:val="24"/>
              </w:rPr>
              <w:t>.</w:t>
            </w:r>
            <w:r>
              <w:rPr>
                <w:b/>
                <w:color w:val="000000" w:themeColor="text1"/>
                <w:sz w:val="24"/>
                <w:szCs w:val="24"/>
              </w:rPr>
              <w:t>声环境质量现状调查与评价</w:t>
            </w:r>
          </w:p>
          <w:p w14:paraId="4DD8DD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bCs/>
                <w:color w:val="auto"/>
                <w:spacing w:val="0"/>
                <w:position w:val="0"/>
                <w:highlight w:val="none"/>
              </w:rPr>
            </w:pPr>
            <w:r>
              <w:rPr>
                <w:color w:val="auto"/>
                <w:spacing w:val="0"/>
                <w:position w:val="0"/>
                <w:sz w:val="24"/>
                <w:highlight w:val="none"/>
              </w:rPr>
              <w:t>依据《建设项目环境影响报告表编制技术指南（污染影响类）（试行）》：厂界外周边50m范围内存在声环境保护目标的建设项目，应监测保护目标声环境质量现状并评价达标情况。本项目四周均为空地且周边50m范围内无环境敏感目标，本次环评不再对声环境质量现状进行监测评价。</w:t>
            </w:r>
          </w:p>
          <w:p w14:paraId="0D7EF158">
            <w:pPr>
              <w:keepNext w:val="0"/>
              <w:keepLines w:val="0"/>
              <w:pageBreakBefore w:val="0"/>
              <w:widowControl w:val="0"/>
              <w:kinsoku/>
              <w:wordWrap/>
              <w:overflowPunct/>
              <w:topLinePunct/>
              <w:autoSpaceDE/>
              <w:autoSpaceDN/>
              <w:bidi w:val="0"/>
              <w:adjustRightInd/>
              <w:snapToGrid/>
              <w:spacing w:line="360" w:lineRule="auto"/>
              <w:textAlignment w:val="auto"/>
              <w:rPr>
                <w:b/>
                <w:sz w:val="24"/>
                <w:szCs w:val="24"/>
              </w:rPr>
            </w:pPr>
            <w:r>
              <w:rPr>
                <w:rFonts w:hint="eastAsia"/>
                <w:b/>
                <w:sz w:val="24"/>
                <w:szCs w:val="24"/>
              </w:rPr>
              <w:t>4.</w:t>
            </w:r>
            <w:r>
              <w:rPr>
                <w:b/>
                <w:sz w:val="24"/>
                <w:szCs w:val="24"/>
              </w:rPr>
              <w:t>生态环境质量现状调查</w:t>
            </w:r>
          </w:p>
          <w:p w14:paraId="1C9B8039">
            <w:pPr>
              <w:keepNext w:val="0"/>
              <w:keepLines w:val="0"/>
              <w:pageBreakBefore w:val="0"/>
              <w:widowControl w:val="0"/>
              <w:kinsoku/>
              <w:wordWrap/>
              <w:overflowPunct/>
              <w:autoSpaceDE/>
              <w:autoSpaceDN/>
              <w:bidi w:val="0"/>
              <w:adjustRightInd/>
              <w:snapToGrid/>
              <w:spacing w:line="360" w:lineRule="auto"/>
              <w:ind w:firstLine="480" w:firstLineChars="200"/>
              <w:jc w:val="left"/>
              <w:textAlignment w:val="auto"/>
              <w:rPr>
                <w:sz w:val="24"/>
                <w:szCs w:val="24"/>
              </w:rPr>
            </w:pPr>
            <w:r>
              <w:rPr>
                <w:sz w:val="24"/>
                <w:szCs w:val="24"/>
              </w:rPr>
              <w:t>根据《建设项目环境影响报告表编制技术指南（污染影响类）（试行）》中要求</w:t>
            </w:r>
            <w:r>
              <w:rPr>
                <w:rFonts w:hint="eastAsia"/>
                <w:sz w:val="24"/>
                <w:szCs w:val="24"/>
              </w:rPr>
              <w:t>“</w:t>
            </w:r>
            <w:r>
              <w:rPr>
                <w:sz w:val="24"/>
                <w:szCs w:val="24"/>
              </w:rPr>
              <w:t>产业园区外建设项目新增用地且用地范围内含有生态环境保护目标时，应进行生态现状调查</w:t>
            </w:r>
            <w:r>
              <w:rPr>
                <w:rFonts w:hint="eastAsia"/>
                <w:sz w:val="24"/>
                <w:szCs w:val="24"/>
              </w:rPr>
              <w:t>”。</w:t>
            </w:r>
          </w:p>
          <w:p w14:paraId="4247AEC0">
            <w:pPr>
              <w:pStyle w:val="23"/>
              <w:keepNext w:val="0"/>
              <w:keepLines w:val="0"/>
              <w:pageBreakBefore w:val="0"/>
              <w:widowControl w:val="0"/>
              <w:kinsoku/>
              <w:wordWrap/>
              <w:overflowPunct/>
              <w:autoSpaceDE/>
              <w:autoSpaceDN/>
              <w:bidi w:val="0"/>
              <w:adjustRightInd/>
              <w:snapToGrid/>
              <w:spacing w:after="0" w:line="360" w:lineRule="auto"/>
              <w:ind w:left="0" w:leftChars="0"/>
              <w:textAlignment w:val="auto"/>
              <w:rPr>
                <w:sz w:val="24"/>
                <w:szCs w:val="24"/>
              </w:rPr>
            </w:pPr>
            <w:r>
              <w:rPr>
                <w:sz w:val="24"/>
                <w:szCs w:val="24"/>
              </w:rPr>
              <w:t>本项目用地范围内</w:t>
            </w:r>
            <w:r>
              <w:rPr>
                <w:rFonts w:hint="eastAsia"/>
                <w:sz w:val="24"/>
                <w:szCs w:val="24"/>
              </w:rPr>
              <w:t>没</w:t>
            </w:r>
            <w:r>
              <w:rPr>
                <w:sz w:val="24"/>
                <w:szCs w:val="24"/>
              </w:rPr>
              <w:t>有生态环境保护目标，故不进行生态环境质量现状调查及评价。</w:t>
            </w:r>
          </w:p>
          <w:p w14:paraId="79F29B15">
            <w:pPr>
              <w:keepNext w:val="0"/>
              <w:keepLines w:val="0"/>
              <w:pageBreakBefore w:val="0"/>
              <w:widowControl w:val="0"/>
              <w:kinsoku/>
              <w:wordWrap/>
              <w:overflowPunct/>
              <w:autoSpaceDE/>
              <w:autoSpaceDN/>
              <w:bidi w:val="0"/>
              <w:adjustRightInd/>
              <w:snapToGrid/>
              <w:spacing w:line="360" w:lineRule="auto"/>
              <w:textAlignment w:val="auto"/>
              <w:rPr>
                <w:b/>
                <w:bCs/>
                <w:sz w:val="24"/>
                <w:szCs w:val="24"/>
              </w:rPr>
            </w:pPr>
            <w:r>
              <w:rPr>
                <w:b/>
                <w:bCs/>
                <w:sz w:val="24"/>
                <w:szCs w:val="24"/>
              </w:rPr>
              <w:t>5</w:t>
            </w:r>
            <w:r>
              <w:rPr>
                <w:rFonts w:hint="eastAsia"/>
                <w:b/>
                <w:bCs/>
                <w:sz w:val="24"/>
                <w:szCs w:val="24"/>
              </w:rPr>
              <w:t>.地下水、</w:t>
            </w:r>
            <w:r>
              <w:rPr>
                <w:b/>
                <w:bCs/>
                <w:sz w:val="24"/>
                <w:szCs w:val="24"/>
              </w:rPr>
              <w:t>土壤环境质量现状调查及评价</w:t>
            </w:r>
          </w:p>
          <w:p w14:paraId="209A9B96">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eastAsia="宋体"/>
                <w:sz w:val="24"/>
                <w:szCs w:val="24"/>
                <w:lang w:eastAsia="zh-CN"/>
              </w:rPr>
            </w:pPr>
            <w:r>
              <w:rPr>
                <w:sz w:val="24"/>
                <w:szCs w:val="24"/>
              </w:rPr>
              <w:t>根据《建设项目环境影响报告表编制技术指南（污染影响类）（试行）》中</w:t>
            </w:r>
            <w:r>
              <w:rPr>
                <w:rFonts w:hint="eastAsia"/>
                <w:sz w:val="24"/>
                <w:szCs w:val="24"/>
              </w:rPr>
              <w:t>“</w:t>
            </w:r>
            <w:r>
              <w:rPr>
                <w:sz w:val="24"/>
                <w:szCs w:val="24"/>
              </w:rPr>
              <w:t>建设项目存在土壤环境污染途径的，应结合污染源、保护目标分布情况开展现状调查以留作背景值</w:t>
            </w:r>
            <w:r>
              <w:rPr>
                <w:rFonts w:hint="eastAsia"/>
                <w:sz w:val="24"/>
                <w:szCs w:val="24"/>
              </w:rPr>
              <w:t>”</w:t>
            </w:r>
            <w:r>
              <w:rPr>
                <w:rFonts w:hint="eastAsia"/>
                <w:sz w:val="24"/>
                <w:szCs w:val="24"/>
                <w:lang w:eastAsia="zh-CN"/>
              </w:rPr>
              <w:t>。</w:t>
            </w:r>
          </w:p>
          <w:p w14:paraId="43DC8393">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color w:val="auto"/>
                <w:sz w:val="24"/>
                <w:szCs w:val="24"/>
                <w:lang w:val="en-US" w:eastAsia="zh-CN"/>
              </w:rPr>
              <w:t>根据</w:t>
            </w:r>
            <w:r>
              <w:rPr>
                <w:rFonts w:hint="default"/>
                <w:sz w:val="24"/>
                <w:szCs w:val="24"/>
              </w:rPr>
              <w:t>《环境影响评价技术导则</w:t>
            </w:r>
            <w:r>
              <w:rPr>
                <w:rFonts w:hint="eastAsia"/>
                <w:sz w:val="24"/>
                <w:szCs w:val="24"/>
                <w:lang w:val="en-US" w:eastAsia="zh-CN"/>
              </w:rPr>
              <w:t xml:space="preserve"> 地下水</w:t>
            </w:r>
            <w:r>
              <w:rPr>
                <w:rFonts w:hint="default"/>
                <w:sz w:val="24"/>
                <w:szCs w:val="24"/>
              </w:rPr>
              <w:t>环境》（HJ</w:t>
            </w:r>
            <w:r>
              <w:rPr>
                <w:rFonts w:hint="eastAsia"/>
                <w:sz w:val="24"/>
                <w:szCs w:val="24"/>
                <w:lang w:val="en-US" w:eastAsia="zh-CN"/>
              </w:rPr>
              <w:t>610</w:t>
            </w:r>
            <w:r>
              <w:rPr>
                <w:rFonts w:hint="default"/>
                <w:sz w:val="24"/>
                <w:szCs w:val="24"/>
              </w:rPr>
              <w:t>-201</w:t>
            </w:r>
            <w:r>
              <w:rPr>
                <w:rFonts w:hint="eastAsia"/>
                <w:sz w:val="24"/>
                <w:szCs w:val="24"/>
                <w:lang w:val="en-US" w:eastAsia="zh-CN"/>
              </w:rPr>
              <w:t>6</w:t>
            </w:r>
            <w:r>
              <w:rPr>
                <w:rFonts w:hint="default"/>
                <w:sz w:val="24"/>
                <w:szCs w:val="24"/>
              </w:rPr>
              <w:t>）</w:t>
            </w:r>
            <w:r>
              <w:rPr>
                <w:rFonts w:hint="eastAsia"/>
                <w:sz w:val="24"/>
                <w:szCs w:val="24"/>
                <w:lang w:eastAsia="zh-CN"/>
              </w:rPr>
              <w:t>，</w:t>
            </w:r>
            <w:r>
              <w:rPr>
                <w:rFonts w:hint="eastAsia"/>
                <w:sz w:val="24"/>
                <w:szCs w:val="24"/>
                <w:lang w:val="en-US" w:eastAsia="zh-CN"/>
              </w:rPr>
              <w:t>本项目属于</w:t>
            </w:r>
            <w:r>
              <w:rPr>
                <w:rFonts w:hint="default"/>
                <w:sz w:val="24"/>
                <w:szCs w:val="24"/>
                <w:lang w:val="en-US" w:eastAsia="zh-CN"/>
              </w:rPr>
              <w:t>Ⅳ类项目</w:t>
            </w:r>
            <w:r>
              <w:rPr>
                <w:rFonts w:hint="eastAsia"/>
                <w:color w:val="auto"/>
                <w:sz w:val="24"/>
                <w:szCs w:val="24"/>
                <w:lang w:eastAsia="zh-CN"/>
              </w:rPr>
              <w:t>；</w:t>
            </w:r>
            <w:r>
              <w:rPr>
                <w:rFonts w:hint="default"/>
                <w:sz w:val="24"/>
                <w:szCs w:val="24"/>
              </w:rPr>
              <w:t>根据《环境影响评价技术导则土壤环境（试行）》（HJ964-2018）确定该类项目属于土壤环境影响评价项目类别中的</w:t>
            </w:r>
            <w:r>
              <w:rPr>
                <w:rFonts w:hint="default"/>
                <w:sz w:val="24"/>
                <w:szCs w:val="24"/>
                <w:lang w:val="en-US" w:eastAsia="zh-CN"/>
              </w:rPr>
              <w:t>Ⅳ类</w:t>
            </w:r>
            <w:r>
              <w:rPr>
                <w:rFonts w:hint="default"/>
                <w:sz w:val="24"/>
                <w:szCs w:val="24"/>
              </w:rPr>
              <w:t>建设项目</w:t>
            </w:r>
            <w:r>
              <w:rPr>
                <w:rFonts w:hint="eastAsia"/>
                <w:sz w:val="24"/>
                <w:szCs w:val="24"/>
                <w:lang w:eastAsia="zh-CN"/>
              </w:rPr>
              <w:t>。</w:t>
            </w:r>
            <w:r>
              <w:rPr>
                <w:rFonts w:hint="default"/>
                <w:sz w:val="24"/>
                <w:szCs w:val="24"/>
                <w:lang w:val="en-US" w:eastAsia="zh-CN"/>
              </w:rPr>
              <w:t>根据</w:t>
            </w:r>
            <w:r>
              <w:rPr>
                <w:rFonts w:hint="default"/>
                <w:sz w:val="24"/>
                <w:szCs w:val="24"/>
              </w:rPr>
              <w:t>《环境影响评价技术导则土壤环境（试行）》（HJ964-2018）</w:t>
            </w:r>
            <w:r>
              <w:rPr>
                <w:rFonts w:hint="eastAsia"/>
                <w:sz w:val="24"/>
                <w:szCs w:val="24"/>
                <w:lang w:val="en-US" w:eastAsia="zh-CN"/>
              </w:rPr>
              <w:t>和</w:t>
            </w:r>
            <w:r>
              <w:rPr>
                <w:rFonts w:hint="default"/>
                <w:sz w:val="24"/>
                <w:szCs w:val="24"/>
              </w:rPr>
              <w:t>《环境影响评价技术导则</w:t>
            </w:r>
            <w:r>
              <w:rPr>
                <w:rFonts w:hint="eastAsia"/>
                <w:sz w:val="24"/>
                <w:szCs w:val="24"/>
                <w:lang w:val="en-US" w:eastAsia="zh-CN"/>
              </w:rPr>
              <w:t xml:space="preserve"> 地下水</w:t>
            </w:r>
            <w:r>
              <w:rPr>
                <w:rFonts w:hint="default"/>
                <w:sz w:val="24"/>
                <w:szCs w:val="24"/>
              </w:rPr>
              <w:t>环境》（HJ</w:t>
            </w:r>
            <w:r>
              <w:rPr>
                <w:rFonts w:hint="eastAsia"/>
                <w:sz w:val="24"/>
                <w:szCs w:val="24"/>
                <w:lang w:val="en-US" w:eastAsia="zh-CN"/>
              </w:rPr>
              <w:t>610</w:t>
            </w:r>
            <w:r>
              <w:rPr>
                <w:rFonts w:hint="default"/>
                <w:sz w:val="24"/>
                <w:szCs w:val="24"/>
              </w:rPr>
              <w:t>-201</w:t>
            </w:r>
            <w:r>
              <w:rPr>
                <w:rFonts w:hint="eastAsia"/>
                <w:sz w:val="24"/>
                <w:szCs w:val="24"/>
                <w:lang w:val="en-US" w:eastAsia="zh-CN"/>
              </w:rPr>
              <w:t>6</w:t>
            </w:r>
            <w:r>
              <w:rPr>
                <w:rFonts w:hint="default"/>
                <w:sz w:val="24"/>
                <w:szCs w:val="24"/>
              </w:rPr>
              <w:t>）</w:t>
            </w:r>
            <w:r>
              <w:rPr>
                <w:rFonts w:hint="default"/>
                <w:sz w:val="24"/>
                <w:szCs w:val="24"/>
                <w:lang w:val="en-US" w:eastAsia="zh-CN"/>
              </w:rPr>
              <w:t>对Ⅳ类项目无现状监测要求，</w:t>
            </w:r>
            <w:r>
              <w:rPr>
                <w:rFonts w:hint="eastAsia"/>
                <w:sz w:val="24"/>
                <w:szCs w:val="24"/>
                <w:lang w:val="en-US" w:eastAsia="zh-CN"/>
              </w:rPr>
              <w:t>因此不对土壤环境现状开展评价。</w:t>
            </w:r>
          </w:p>
          <w:p w14:paraId="61FECF0F">
            <w:pPr>
              <w:keepNext w:val="0"/>
              <w:keepLines w:val="0"/>
              <w:pageBreakBefore w:val="0"/>
              <w:widowControl w:val="0"/>
              <w:kinsoku/>
              <w:wordWrap/>
              <w:overflowPunct/>
              <w:topLinePunct/>
              <w:autoSpaceDE/>
              <w:autoSpaceDN/>
              <w:bidi w:val="0"/>
              <w:adjustRightInd/>
              <w:snapToGrid/>
              <w:spacing w:line="360" w:lineRule="auto"/>
              <w:ind w:firstLine="420" w:firstLineChars="200"/>
              <w:textAlignment w:val="auto"/>
              <w:rPr>
                <w:kern w:val="0"/>
              </w:rPr>
            </w:pPr>
          </w:p>
        </w:tc>
      </w:tr>
      <w:tr w14:paraId="1825A4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456" w:type="dxa"/>
            <w:vAlign w:val="center"/>
          </w:tcPr>
          <w:p w14:paraId="06A04464">
            <w:pPr>
              <w:jc w:val="center"/>
              <w:rPr>
                <w:kern w:val="0"/>
                <w:sz w:val="24"/>
                <w:szCs w:val="24"/>
              </w:rPr>
            </w:pPr>
            <w:r>
              <w:rPr>
                <w:kern w:val="0"/>
                <w:sz w:val="24"/>
                <w:szCs w:val="24"/>
              </w:rPr>
              <w:t>环境</w:t>
            </w:r>
          </w:p>
          <w:p w14:paraId="734D1AB0">
            <w:pPr>
              <w:jc w:val="center"/>
              <w:rPr>
                <w:kern w:val="0"/>
                <w:sz w:val="24"/>
                <w:szCs w:val="24"/>
              </w:rPr>
            </w:pPr>
            <w:r>
              <w:rPr>
                <w:kern w:val="0"/>
                <w:sz w:val="24"/>
                <w:szCs w:val="24"/>
              </w:rPr>
              <w:t>保护</w:t>
            </w:r>
          </w:p>
          <w:p w14:paraId="3D27EFAC">
            <w:pPr>
              <w:jc w:val="center"/>
              <w:rPr>
                <w:kern w:val="0"/>
                <w:sz w:val="24"/>
                <w:szCs w:val="24"/>
              </w:rPr>
            </w:pPr>
            <w:r>
              <w:rPr>
                <w:kern w:val="0"/>
                <w:sz w:val="24"/>
                <w:szCs w:val="24"/>
              </w:rPr>
              <w:t>目标</w:t>
            </w:r>
          </w:p>
        </w:tc>
        <w:tc>
          <w:tcPr>
            <w:tcW w:w="8553" w:type="dxa"/>
            <w:vAlign w:val="center"/>
          </w:tcPr>
          <w:p w14:paraId="36D827A6">
            <w:pPr>
              <w:pStyle w:val="4"/>
              <w:rPr>
                <w:sz w:val="24"/>
                <w:szCs w:val="24"/>
              </w:rPr>
            </w:pPr>
            <w:r>
              <w:rPr>
                <w:rFonts w:hint="eastAsia"/>
                <w:sz w:val="24"/>
                <w:szCs w:val="24"/>
              </w:rPr>
              <w:t>1.环境空气保护目标</w:t>
            </w:r>
          </w:p>
          <w:p w14:paraId="500B78F2">
            <w:pPr>
              <w:spacing w:line="360" w:lineRule="auto"/>
              <w:ind w:firstLine="480" w:firstLineChars="200"/>
              <w:rPr>
                <w:sz w:val="24"/>
                <w:szCs w:val="24"/>
              </w:rPr>
            </w:pPr>
            <w:r>
              <w:rPr>
                <w:bCs/>
                <w:sz w:val="24"/>
                <w:szCs w:val="24"/>
              </w:rPr>
              <w:t>根据现场勘察，项目厂界外500m范围内</w:t>
            </w:r>
            <w:r>
              <w:rPr>
                <w:rFonts w:hint="eastAsia"/>
                <w:bCs/>
                <w:sz w:val="24"/>
                <w:szCs w:val="24"/>
              </w:rPr>
              <w:t>无自然保护区、风景名胜区、居住区、文化区和农村地区中人群较集中的区域等</w:t>
            </w:r>
            <w:r>
              <w:rPr>
                <w:bCs/>
                <w:sz w:val="24"/>
                <w:szCs w:val="24"/>
              </w:rPr>
              <w:t>环境空气保护</w:t>
            </w:r>
            <w:r>
              <w:rPr>
                <w:rFonts w:hint="eastAsia"/>
                <w:bCs/>
                <w:sz w:val="24"/>
                <w:szCs w:val="24"/>
              </w:rPr>
              <w:t>目标</w:t>
            </w:r>
            <w:r>
              <w:rPr>
                <w:bCs/>
                <w:sz w:val="24"/>
                <w:szCs w:val="24"/>
              </w:rPr>
              <w:t>。</w:t>
            </w:r>
          </w:p>
          <w:p w14:paraId="793392A7">
            <w:pPr>
              <w:pStyle w:val="4"/>
              <w:rPr>
                <w:sz w:val="24"/>
                <w:szCs w:val="24"/>
              </w:rPr>
            </w:pPr>
            <w:r>
              <w:rPr>
                <w:sz w:val="24"/>
                <w:szCs w:val="24"/>
              </w:rPr>
              <w:t>2</w:t>
            </w:r>
            <w:r>
              <w:rPr>
                <w:rFonts w:hint="eastAsia"/>
                <w:sz w:val="24"/>
                <w:szCs w:val="24"/>
              </w:rPr>
              <w:t>.</w:t>
            </w:r>
            <w:r>
              <w:rPr>
                <w:sz w:val="24"/>
                <w:szCs w:val="24"/>
              </w:rPr>
              <w:t>地下水环境保护目标</w:t>
            </w:r>
          </w:p>
          <w:p w14:paraId="12C7B040">
            <w:pPr>
              <w:spacing w:line="360" w:lineRule="auto"/>
              <w:ind w:firstLine="480" w:firstLineChars="200"/>
              <w:rPr>
                <w:bCs/>
                <w:sz w:val="24"/>
                <w:szCs w:val="24"/>
              </w:rPr>
            </w:pPr>
            <w:r>
              <w:rPr>
                <w:bCs/>
                <w:sz w:val="24"/>
                <w:szCs w:val="24"/>
              </w:rPr>
              <w:t>本项目厂界外500</w:t>
            </w:r>
            <w:r>
              <w:rPr>
                <w:rFonts w:hint="eastAsia"/>
                <w:bCs/>
                <w:sz w:val="24"/>
                <w:szCs w:val="24"/>
              </w:rPr>
              <w:t>m</w:t>
            </w:r>
            <w:r>
              <w:rPr>
                <w:bCs/>
                <w:sz w:val="24"/>
                <w:szCs w:val="24"/>
              </w:rPr>
              <w:t>范围内无地下水集中式饮用水水源和热水、矿泉水、温泉等特殊地下水资源。</w:t>
            </w:r>
          </w:p>
          <w:p w14:paraId="60429474">
            <w:pPr>
              <w:pStyle w:val="4"/>
              <w:rPr>
                <w:sz w:val="24"/>
                <w:szCs w:val="24"/>
              </w:rPr>
            </w:pPr>
            <w:r>
              <w:rPr>
                <w:sz w:val="24"/>
                <w:szCs w:val="24"/>
              </w:rPr>
              <w:t>3</w:t>
            </w:r>
            <w:r>
              <w:rPr>
                <w:rFonts w:hint="eastAsia"/>
                <w:sz w:val="24"/>
                <w:szCs w:val="24"/>
              </w:rPr>
              <w:t>.</w:t>
            </w:r>
            <w:r>
              <w:rPr>
                <w:sz w:val="24"/>
                <w:szCs w:val="24"/>
              </w:rPr>
              <w:t>声环境保护目标</w:t>
            </w:r>
          </w:p>
          <w:p w14:paraId="1508902A">
            <w:pPr>
              <w:spacing w:line="360" w:lineRule="auto"/>
              <w:ind w:firstLine="480" w:firstLineChars="200"/>
              <w:rPr>
                <w:bCs/>
                <w:sz w:val="24"/>
                <w:szCs w:val="24"/>
              </w:rPr>
            </w:pPr>
            <w:r>
              <w:rPr>
                <w:bCs/>
                <w:sz w:val="24"/>
                <w:szCs w:val="24"/>
              </w:rPr>
              <w:t>确保本项目四周边界声环境质量符合《声环境质量标准》（GB3096-2008）中</w:t>
            </w:r>
            <w:r>
              <w:rPr>
                <w:rFonts w:hint="eastAsia"/>
                <w:bCs/>
                <w:sz w:val="24"/>
                <w:szCs w:val="24"/>
              </w:rPr>
              <w:t>3</w:t>
            </w:r>
            <w:r>
              <w:rPr>
                <w:bCs/>
                <w:sz w:val="24"/>
                <w:szCs w:val="24"/>
              </w:rPr>
              <w:t>类标准要求。现场根据勘察，项目区周边50m范围内没有声环境保护目标。</w:t>
            </w:r>
          </w:p>
          <w:p w14:paraId="36C684B4">
            <w:pPr>
              <w:pStyle w:val="4"/>
              <w:rPr>
                <w:sz w:val="24"/>
                <w:szCs w:val="24"/>
              </w:rPr>
            </w:pPr>
            <w:r>
              <w:rPr>
                <w:sz w:val="24"/>
                <w:szCs w:val="24"/>
              </w:rPr>
              <w:t>4</w:t>
            </w:r>
            <w:r>
              <w:rPr>
                <w:rFonts w:hint="eastAsia"/>
                <w:sz w:val="24"/>
                <w:szCs w:val="24"/>
              </w:rPr>
              <w:t>.</w:t>
            </w:r>
            <w:r>
              <w:rPr>
                <w:sz w:val="24"/>
                <w:szCs w:val="24"/>
              </w:rPr>
              <w:t>生态环境保护目标</w:t>
            </w:r>
          </w:p>
          <w:p w14:paraId="1377AAE5">
            <w:pPr>
              <w:spacing w:line="360" w:lineRule="auto"/>
              <w:ind w:firstLine="480" w:firstLineChars="200"/>
              <w:rPr>
                <w:kern w:val="0"/>
                <w:sz w:val="24"/>
                <w:szCs w:val="24"/>
              </w:rPr>
            </w:pPr>
            <w:r>
              <w:rPr>
                <w:bCs/>
                <w:sz w:val="24"/>
                <w:szCs w:val="24"/>
              </w:rPr>
              <w:t>根据现场调查，项目区周边无生态环境保护目标。</w:t>
            </w:r>
          </w:p>
        </w:tc>
      </w:tr>
      <w:tr w14:paraId="5193F7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456" w:type="dxa"/>
            <w:vAlign w:val="center"/>
          </w:tcPr>
          <w:p w14:paraId="4D26B13B">
            <w:pPr>
              <w:jc w:val="center"/>
              <w:rPr>
                <w:kern w:val="0"/>
                <w:sz w:val="24"/>
                <w:szCs w:val="24"/>
              </w:rPr>
            </w:pPr>
            <w:r>
              <w:rPr>
                <w:kern w:val="0"/>
                <w:sz w:val="24"/>
                <w:szCs w:val="24"/>
              </w:rPr>
              <w:t>污染</w:t>
            </w:r>
          </w:p>
          <w:p w14:paraId="496FF5F0">
            <w:pPr>
              <w:jc w:val="center"/>
              <w:rPr>
                <w:kern w:val="0"/>
                <w:sz w:val="24"/>
                <w:szCs w:val="24"/>
              </w:rPr>
            </w:pPr>
            <w:r>
              <w:rPr>
                <w:kern w:val="0"/>
                <w:sz w:val="24"/>
                <w:szCs w:val="24"/>
              </w:rPr>
              <w:t>物排</w:t>
            </w:r>
          </w:p>
          <w:p w14:paraId="17595A3E">
            <w:pPr>
              <w:jc w:val="center"/>
              <w:rPr>
                <w:kern w:val="0"/>
                <w:sz w:val="24"/>
                <w:szCs w:val="24"/>
              </w:rPr>
            </w:pPr>
            <w:r>
              <w:rPr>
                <w:kern w:val="0"/>
                <w:sz w:val="24"/>
                <w:szCs w:val="24"/>
              </w:rPr>
              <w:t>放控</w:t>
            </w:r>
          </w:p>
          <w:p w14:paraId="2499D45A">
            <w:pPr>
              <w:jc w:val="center"/>
              <w:rPr>
                <w:kern w:val="0"/>
                <w:sz w:val="24"/>
                <w:szCs w:val="24"/>
              </w:rPr>
            </w:pPr>
            <w:r>
              <w:rPr>
                <w:kern w:val="0"/>
                <w:sz w:val="24"/>
                <w:szCs w:val="24"/>
              </w:rPr>
              <w:t>制标</w:t>
            </w:r>
          </w:p>
          <w:p w14:paraId="48AA266C">
            <w:pPr>
              <w:jc w:val="center"/>
              <w:rPr>
                <w:kern w:val="0"/>
              </w:rPr>
            </w:pPr>
            <w:r>
              <w:rPr>
                <w:kern w:val="0"/>
                <w:sz w:val="24"/>
                <w:szCs w:val="24"/>
              </w:rPr>
              <w:t>准</w:t>
            </w:r>
          </w:p>
        </w:tc>
        <w:tc>
          <w:tcPr>
            <w:tcW w:w="8553" w:type="dxa"/>
            <w:vAlign w:val="center"/>
          </w:tcPr>
          <w:p w14:paraId="37605E26">
            <w:pPr>
              <w:keepNext w:val="0"/>
              <w:keepLines w:val="0"/>
              <w:pageBreakBefore w:val="0"/>
              <w:widowControl w:val="0"/>
              <w:kinsoku/>
              <w:wordWrap/>
              <w:overflowPunct/>
              <w:topLinePunct w:val="0"/>
              <w:autoSpaceDE/>
              <w:autoSpaceDN/>
              <w:bidi w:val="0"/>
              <w:adjustRightInd/>
              <w:snapToGrid/>
              <w:spacing w:line="360" w:lineRule="auto"/>
              <w:textAlignment w:val="auto"/>
              <w:rPr>
                <w:b/>
                <w:bCs/>
                <w:sz w:val="24"/>
                <w:szCs w:val="24"/>
              </w:rPr>
            </w:pPr>
            <w:r>
              <w:rPr>
                <w:rFonts w:hint="eastAsia"/>
                <w:b/>
                <w:bCs/>
                <w:sz w:val="24"/>
                <w:szCs w:val="24"/>
              </w:rPr>
              <w:t>1.</w:t>
            </w:r>
            <w:r>
              <w:rPr>
                <w:b/>
                <w:bCs/>
                <w:sz w:val="24"/>
                <w:szCs w:val="24"/>
              </w:rPr>
              <w:t>运营期废气</w:t>
            </w:r>
          </w:p>
          <w:p w14:paraId="468E616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olor w:val="auto"/>
                <w:sz w:val="24"/>
                <w:szCs w:val="24"/>
              </w:rPr>
            </w:pPr>
            <w:r>
              <w:rPr>
                <w:rFonts w:ascii="Times New Roman" w:hAnsi="Times New Roman" w:eastAsia="宋体" w:cs="Times New Roman"/>
                <w:color w:val="auto"/>
                <w:sz w:val="24"/>
                <w:szCs w:val="24"/>
                <w:lang w:bidi="ar"/>
              </w:rPr>
              <w:t>本项目运营期产生的</w:t>
            </w:r>
            <w:r>
              <w:rPr>
                <w:rFonts w:hint="eastAsia" w:cs="Times New Roman"/>
                <w:color w:val="auto"/>
                <w:sz w:val="24"/>
                <w:szCs w:val="24"/>
                <w:lang w:val="en-US" w:eastAsia="zh-CN" w:bidi="ar"/>
              </w:rPr>
              <w:t>有组织粉尘执行</w:t>
            </w:r>
            <w:r>
              <w:rPr>
                <w:color w:val="auto"/>
                <w:sz w:val="24"/>
                <w:szCs w:val="24"/>
              </w:rPr>
              <w:t>《</w:t>
            </w:r>
            <w:r>
              <w:rPr>
                <w:rFonts w:hint="eastAsia"/>
                <w:color w:val="auto"/>
                <w:sz w:val="24"/>
                <w:szCs w:val="24"/>
              </w:rPr>
              <w:t>水泥工业</w:t>
            </w:r>
            <w:r>
              <w:rPr>
                <w:rFonts w:hint="eastAsia"/>
                <w:color w:val="auto"/>
                <w:sz w:val="24"/>
                <w:szCs w:val="24"/>
                <w:lang w:val="en-US" w:eastAsia="zh-CN"/>
              </w:rPr>
              <w:t>大气</w:t>
            </w:r>
            <w:r>
              <w:rPr>
                <w:color w:val="auto"/>
                <w:sz w:val="24"/>
                <w:szCs w:val="24"/>
              </w:rPr>
              <w:t>污染物排放标准》</w:t>
            </w:r>
            <w:r>
              <w:rPr>
                <w:rFonts w:ascii="Times New Roman" w:hAnsi="Times New Roman" w:eastAsia="宋体" w:cs="Times New Roman"/>
                <w:color w:val="auto"/>
                <w:kern w:val="0"/>
                <w:sz w:val="24"/>
                <w:szCs w:val="24"/>
              </w:rPr>
              <w:t>（</w:t>
            </w:r>
            <w:r>
              <w:rPr>
                <w:rFonts w:hint="eastAsia"/>
                <w:color w:val="auto"/>
                <w:sz w:val="24"/>
                <w:szCs w:val="24"/>
              </w:rPr>
              <w:t>GB4915</w:t>
            </w:r>
            <w:r>
              <w:rPr>
                <w:color w:val="auto"/>
                <w:sz w:val="24"/>
                <w:szCs w:val="24"/>
              </w:rPr>
              <w:t>-2013</w:t>
            </w:r>
            <w:r>
              <w:rPr>
                <w:rFonts w:ascii="Times New Roman" w:hAnsi="Times New Roman" w:eastAsia="宋体" w:cs="Times New Roman"/>
                <w:color w:val="auto"/>
                <w:kern w:val="0"/>
                <w:sz w:val="24"/>
                <w:szCs w:val="24"/>
              </w:rPr>
              <w:t>）</w:t>
            </w:r>
            <w:r>
              <w:rPr>
                <w:rFonts w:hint="eastAsia" w:cs="Times New Roman"/>
                <w:color w:val="auto"/>
                <w:kern w:val="0"/>
                <w:sz w:val="24"/>
                <w:szCs w:val="24"/>
                <w:lang w:val="en-US" w:eastAsia="zh-CN"/>
              </w:rPr>
              <w:t>表2</w:t>
            </w:r>
            <w:r>
              <w:rPr>
                <w:rFonts w:hint="eastAsia" w:ascii="宋体" w:hAnsi="宋体" w:eastAsia="宋体" w:cs="宋体"/>
                <w:color w:val="000000"/>
                <w:kern w:val="0"/>
                <w:sz w:val="24"/>
                <w:szCs w:val="24"/>
                <w:lang w:val="en-US" w:eastAsia="zh-CN" w:bidi="ar"/>
              </w:rPr>
              <w:t>大气污染物特别排放限值</w:t>
            </w:r>
            <w:r>
              <w:rPr>
                <w:rFonts w:hint="eastAsia" w:ascii="Times New Roman" w:hAnsi="Times New Roman" w:eastAsia="宋体" w:cs="Times New Roman"/>
                <w:color w:val="auto"/>
                <w:sz w:val="24"/>
                <w:szCs w:val="24"/>
                <w:lang w:val="en-US" w:eastAsia="zh-CN"/>
              </w:rPr>
              <w:t>（颗粒物：</w:t>
            </w:r>
            <w:r>
              <w:rPr>
                <w:rFonts w:hint="eastAsia"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0</w:t>
            </w:r>
            <w:r>
              <w:rPr>
                <w:rFonts w:hint="default" w:ascii="Times New Roman" w:hAnsi="Times New Roman" w:eastAsia="宋体" w:cs="Times New Roman"/>
                <w:color w:val="auto"/>
                <w:sz w:val="24"/>
                <w:szCs w:val="24"/>
                <w:lang w:val="en-US" w:eastAsia="zh-CN"/>
              </w:rPr>
              <w:t>mg/m</w:t>
            </w:r>
            <w:r>
              <w:rPr>
                <w:rFonts w:hint="default"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bidi="ar"/>
              </w:rPr>
              <w:t>无</w:t>
            </w:r>
            <w:r>
              <w:rPr>
                <w:rFonts w:ascii="Times New Roman" w:hAnsi="Times New Roman" w:eastAsia="宋体" w:cs="Times New Roman"/>
                <w:color w:val="auto"/>
                <w:sz w:val="24"/>
                <w:szCs w:val="24"/>
                <w:lang w:bidi="ar"/>
              </w:rPr>
              <w:t>组织</w:t>
            </w:r>
            <w:r>
              <w:rPr>
                <w:rFonts w:hint="eastAsia" w:cs="Times New Roman"/>
                <w:color w:val="auto"/>
                <w:sz w:val="24"/>
                <w:szCs w:val="24"/>
                <w:lang w:val="en-US" w:eastAsia="zh-CN" w:bidi="ar"/>
              </w:rPr>
              <w:t>废气执行</w:t>
            </w:r>
            <w:r>
              <w:rPr>
                <w:color w:val="auto"/>
                <w:sz w:val="24"/>
                <w:szCs w:val="24"/>
              </w:rPr>
              <w:t>《</w:t>
            </w:r>
            <w:r>
              <w:rPr>
                <w:rFonts w:hint="eastAsia"/>
                <w:color w:val="auto"/>
                <w:sz w:val="24"/>
                <w:szCs w:val="24"/>
              </w:rPr>
              <w:t>水泥工业</w:t>
            </w:r>
            <w:r>
              <w:rPr>
                <w:rFonts w:hint="eastAsia"/>
                <w:color w:val="auto"/>
                <w:sz w:val="24"/>
                <w:szCs w:val="24"/>
                <w:lang w:val="en-US" w:eastAsia="zh-CN"/>
              </w:rPr>
              <w:t>大气</w:t>
            </w:r>
            <w:r>
              <w:rPr>
                <w:color w:val="auto"/>
                <w:sz w:val="24"/>
                <w:szCs w:val="24"/>
              </w:rPr>
              <w:t>污染物排放标准》</w:t>
            </w:r>
            <w:r>
              <w:rPr>
                <w:rFonts w:ascii="Times New Roman" w:hAnsi="Times New Roman" w:eastAsia="宋体" w:cs="Times New Roman"/>
                <w:color w:val="auto"/>
                <w:kern w:val="0"/>
                <w:sz w:val="24"/>
                <w:szCs w:val="24"/>
              </w:rPr>
              <w:t>（</w:t>
            </w:r>
            <w:r>
              <w:rPr>
                <w:rFonts w:hint="eastAsia"/>
                <w:color w:val="auto"/>
                <w:sz w:val="24"/>
                <w:szCs w:val="24"/>
              </w:rPr>
              <w:t>GB4915</w:t>
            </w:r>
            <w:r>
              <w:rPr>
                <w:color w:val="auto"/>
                <w:sz w:val="24"/>
                <w:szCs w:val="24"/>
              </w:rPr>
              <w:t>-2013</w:t>
            </w:r>
            <w:r>
              <w:rPr>
                <w:rFonts w:ascii="Times New Roman" w:hAnsi="Times New Roman" w:eastAsia="宋体" w:cs="Times New Roman"/>
                <w:color w:val="auto"/>
                <w:kern w:val="0"/>
                <w:sz w:val="24"/>
                <w:szCs w:val="24"/>
              </w:rPr>
              <w:t>）</w:t>
            </w:r>
            <w:r>
              <w:rPr>
                <w:rFonts w:hint="default" w:ascii="Times New Roman" w:hAnsi="Times New Roman" w:eastAsia="宋体" w:cs="Times New Roman"/>
                <w:color w:val="auto"/>
                <w:kern w:val="2"/>
                <w:sz w:val="24"/>
                <w:szCs w:val="24"/>
                <w:lang w:val="en-US" w:eastAsia="zh-CN" w:bidi="ar"/>
              </w:rPr>
              <w:t>中无组织排放浓度</w:t>
            </w:r>
            <w:r>
              <w:rPr>
                <w:rFonts w:hint="eastAsia" w:ascii="Times New Roman" w:hAnsi="Times New Roman" w:eastAsia="宋体" w:cs="Times New Roman"/>
                <w:color w:val="auto"/>
                <w:kern w:val="2"/>
                <w:sz w:val="24"/>
                <w:szCs w:val="24"/>
                <w:lang w:val="en-US" w:eastAsia="zh-CN" w:bidi="ar"/>
              </w:rPr>
              <w:t>限值</w:t>
            </w:r>
            <w:r>
              <w:rPr>
                <w:rFonts w:hint="eastAsia" w:cs="Times New Roman"/>
                <w:color w:val="auto"/>
                <w:sz w:val="24"/>
                <w:szCs w:val="24"/>
                <w:lang w:val="en-US" w:eastAsia="zh-CN"/>
              </w:rPr>
              <w:t>，</w:t>
            </w:r>
            <w:r>
              <w:rPr>
                <w:rFonts w:hint="eastAsia"/>
                <w:color w:val="auto"/>
                <w:spacing w:val="0"/>
                <w:position w:val="0"/>
                <w:sz w:val="24"/>
                <w:szCs w:val="24"/>
                <w:highlight w:val="none"/>
                <w:lang w:eastAsia="zh-CN"/>
              </w:rPr>
              <w:t>挥发性</w:t>
            </w:r>
            <w:r>
              <w:rPr>
                <w:rFonts w:hint="eastAsia"/>
                <w:color w:val="auto"/>
                <w:spacing w:val="0"/>
                <w:position w:val="0"/>
                <w:sz w:val="24"/>
                <w:szCs w:val="24"/>
                <w:highlight w:val="none"/>
                <w:lang w:val="en-US" w:eastAsia="zh-CN"/>
              </w:rPr>
              <w:t>有组织</w:t>
            </w:r>
            <w:r>
              <w:rPr>
                <w:rFonts w:hint="eastAsia"/>
                <w:color w:val="auto"/>
                <w:spacing w:val="0"/>
                <w:position w:val="0"/>
                <w:sz w:val="24"/>
                <w:szCs w:val="24"/>
                <w:highlight w:val="none"/>
                <w:lang w:eastAsia="zh-CN"/>
              </w:rPr>
              <w:t>有机废气</w:t>
            </w:r>
            <w:r>
              <w:rPr>
                <w:rFonts w:hint="eastAsia"/>
                <w:color w:val="auto"/>
                <w:spacing w:val="0"/>
                <w:position w:val="0"/>
                <w:sz w:val="24"/>
                <w:szCs w:val="24"/>
                <w:highlight w:val="none"/>
                <w:lang w:val="en-US" w:eastAsia="zh-CN"/>
              </w:rPr>
              <w:t>执行《合成树脂工业污染物排放标准》</w:t>
            </w:r>
            <w:r>
              <w:rPr>
                <w:rFonts w:hint="eastAsia" w:cs="Times New Roman"/>
                <w:b w:val="0"/>
                <w:bCs w:val="0"/>
                <w:color w:val="000000" w:themeColor="text1"/>
                <w:sz w:val="24"/>
                <w:lang w:val="en-US" w:eastAsia="zh-CN"/>
              </w:rPr>
              <w:t>（含2024年修改单）</w:t>
            </w:r>
            <w:r>
              <w:rPr>
                <w:rFonts w:hint="eastAsia"/>
                <w:color w:val="auto"/>
                <w:spacing w:val="0"/>
                <w:position w:val="0"/>
                <w:sz w:val="24"/>
                <w:szCs w:val="24"/>
                <w:highlight w:val="none"/>
                <w:lang w:val="en-US" w:eastAsia="zh-CN"/>
              </w:rPr>
              <w:t>（GB31572-2015）中表5大气污染物特别排放限值；厂界非甲烷总烃执行《合成树脂工业污染物排放标准》</w:t>
            </w:r>
            <w:r>
              <w:rPr>
                <w:rFonts w:hint="eastAsia" w:cs="Times New Roman"/>
                <w:b w:val="0"/>
                <w:bCs w:val="0"/>
                <w:color w:val="000000" w:themeColor="text1"/>
                <w:sz w:val="24"/>
                <w:lang w:val="en-US" w:eastAsia="zh-CN"/>
              </w:rPr>
              <w:t>（含2024年修改单）</w:t>
            </w:r>
            <w:r>
              <w:rPr>
                <w:rFonts w:hint="eastAsia"/>
                <w:color w:val="auto"/>
                <w:spacing w:val="0"/>
                <w:position w:val="0"/>
                <w:sz w:val="24"/>
                <w:szCs w:val="24"/>
                <w:highlight w:val="none"/>
                <w:lang w:val="en-US" w:eastAsia="zh-CN"/>
              </w:rPr>
              <w:t>（GB31572-2015）中表9企业边界大气污染物浓度限值；厂区内非甲烷总烃无组织排放执行《挥发性有机物无组织排放控制标准》（GB37822-2019）表A.1中特别排放限值。</w:t>
            </w:r>
          </w:p>
          <w:p w14:paraId="7C3CC43C">
            <w:pPr>
              <w:jc w:val="center"/>
              <w:rPr>
                <w:b/>
                <w:bCs/>
              </w:rPr>
            </w:pPr>
            <w:r>
              <w:rPr>
                <w:b/>
                <w:bCs/>
              </w:rPr>
              <w:t>表</w:t>
            </w:r>
            <w:r>
              <w:rPr>
                <w:rFonts w:hint="eastAsia"/>
                <w:b/>
                <w:bCs/>
              </w:rPr>
              <w:t>3-5</w:t>
            </w:r>
            <w:r>
              <w:rPr>
                <w:b/>
                <w:bCs/>
              </w:rPr>
              <w:t xml:space="preserve"> 废气污染物排放标准</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1371"/>
              <w:gridCol w:w="1492"/>
              <w:gridCol w:w="1009"/>
              <w:gridCol w:w="853"/>
              <w:gridCol w:w="2846"/>
            </w:tblGrid>
            <w:tr w14:paraId="71A5D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tcBorders>
                    <w:tl2br w:val="nil"/>
                    <w:tr2bl w:val="nil"/>
                  </w:tcBorders>
                  <w:vAlign w:val="center"/>
                </w:tcPr>
                <w:p w14:paraId="2DC04716">
                  <w:pPr>
                    <w:pStyle w:val="21"/>
                    <w:keepNext w:val="0"/>
                    <w:keepLines w:val="0"/>
                    <w:pageBreakBefore w:val="0"/>
                    <w:widowControl w:val="0"/>
                    <w:kinsoku/>
                    <w:wordWrap/>
                    <w:overflowPunct/>
                    <w:topLinePunct w:val="0"/>
                    <w:autoSpaceDE w:val="0"/>
                    <w:autoSpaceDN/>
                    <w:bidi w:val="0"/>
                    <w:adjustRightInd/>
                    <w:snapToGrid/>
                    <w:spacing w:before="0" w:beforeAutospacing="0" w:after="0" w:afterAutospacing="0"/>
                    <w:ind w:left="0" w:right="0"/>
                    <w:jc w:val="center"/>
                    <w:textAlignment w:val="auto"/>
                    <w:rPr>
                      <w:rFonts w:ascii="Times New Roman" w:hAnsi="Times New Roman"/>
                      <w:b/>
                      <w:bCs/>
                      <w:color w:val="auto"/>
                      <w:kern w:val="2"/>
                      <w:sz w:val="21"/>
                      <w:szCs w:val="21"/>
                    </w:rPr>
                  </w:pPr>
                  <w:r>
                    <w:rPr>
                      <w:rFonts w:ascii="Times New Roman" w:hAnsi="Times New Roman"/>
                      <w:b/>
                      <w:bCs/>
                      <w:color w:val="auto"/>
                      <w:kern w:val="2"/>
                      <w:sz w:val="21"/>
                      <w:szCs w:val="21"/>
                    </w:rPr>
                    <w:t>排放方式</w:t>
                  </w:r>
                </w:p>
              </w:tc>
              <w:tc>
                <w:tcPr>
                  <w:tcW w:w="822" w:type="pct"/>
                  <w:tcBorders>
                    <w:tl2br w:val="nil"/>
                    <w:tr2bl w:val="nil"/>
                  </w:tcBorders>
                  <w:vAlign w:val="center"/>
                </w:tcPr>
                <w:p w14:paraId="06A90107">
                  <w:pPr>
                    <w:pStyle w:val="21"/>
                    <w:keepNext w:val="0"/>
                    <w:keepLines w:val="0"/>
                    <w:pageBreakBefore w:val="0"/>
                    <w:widowControl w:val="0"/>
                    <w:kinsoku/>
                    <w:wordWrap/>
                    <w:overflowPunct/>
                    <w:topLinePunct w:val="0"/>
                    <w:autoSpaceDN/>
                    <w:bidi w:val="0"/>
                    <w:adjustRightInd/>
                    <w:snapToGrid/>
                    <w:spacing w:before="0" w:beforeAutospacing="0" w:after="0" w:afterAutospacing="0"/>
                    <w:ind w:left="0" w:right="0"/>
                    <w:jc w:val="center"/>
                    <w:textAlignment w:val="auto"/>
                    <w:rPr>
                      <w:rFonts w:ascii="Times New Roman" w:hAnsi="Times New Roman"/>
                      <w:b/>
                      <w:bCs/>
                      <w:color w:val="auto"/>
                      <w:kern w:val="2"/>
                      <w:sz w:val="21"/>
                      <w:szCs w:val="21"/>
                    </w:rPr>
                  </w:pPr>
                  <w:r>
                    <w:rPr>
                      <w:rFonts w:ascii="Times New Roman" w:hAnsi="Times New Roman"/>
                      <w:b/>
                      <w:bCs/>
                      <w:color w:val="auto"/>
                      <w:kern w:val="2"/>
                      <w:sz w:val="21"/>
                      <w:szCs w:val="21"/>
                    </w:rPr>
                    <w:t>污染物</w:t>
                  </w:r>
                </w:p>
              </w:tc>
              <w:tc>
                <w:tcPr>
                  <w:tcW w:w="894" w:type="pct"/>
                  <w:tcBorders>
                    <w:tl2br w:val="nil"/>
                    <w:tr2bl w:val="nil"/>
                  </w:tcBorders>
                  <w:vAlign w:val="center"/>
                </w:tcPr>
                <w:p w14:paraId="6D4D791F">
                  <w:pPr>
                    <w:pStyle w:val="21"/>
                    <w:keepNext w:val="0"/>
                    <w:keepLines w:val="0"/>
                    <w:pageBreakBefore w:val="0"/>
                    <w:widowControl w:val="0"/>
                    <w:kinsoku/>
                    <w:wordWrap/>
                    <w:overflowPunct/>
                    <w:topLinePunct w:val="0"/>
                    <w:autoSpaceDN/>
                    <w:bidi w:val="0"/>
                    <w:adjustRightInd/>
                    <w:snapToGrid/>
                    <w:spacing w:before="0" w:beforeAutospacing="0" w:after="0" w:afterAutospacing="0"/>
                    <w:ind w:left="0" w:right="0"/>
                    <w:jc w:val="center"/>
                    <w:textAlignment w:val="auto"/>
                    <w:rPr>
                      <w:rFonts w:ascii="Times New Roman" w:hAnsi="Times New Roman"/>
                      <w:b/>
                      <w:bCs/>
                      <w:color w:val="auto"/>
                      <w:kern w:val="2"/>
                      <w:sz w:val="21"/>
                      <w:szCs w:val="21"/>
                    </w:rPr>
                  </w:pPr>
                  <w:r>
                    <w:rPr>
                      <w:rFonts w:ascii="Times New Roman" w:hAnsi="Times New Roman"/>
                      <w:b/>
                      <w:bCs/>
                      <w:color w:val="auto"/>
                      <w:kern w:val="2"/>
                      <w:sz w:val="21"/>
                      <w:szCs w:val="21"/>
                    </w:rPr>
                    <w:t>排放限值</w:t>
                  </w:r>
                </w:p>
              </w:tc>
              <w:tc>
                <w:tcPr>
                  <w:tcW w:w="605" w:type="pct"/>
                  <w:tcBorders>
                    <w:tl2br w:val="nil"/>
                    <w:tr2bl w:val="nil"/>
                  </w:tcBorders>
                  <w:vAlign w:val="center"/>
                </w:tcPr>
                <w:p w14:paraId="2218DA47">
                  <w:pPr>
                    <w:pStyle w:val="21"/>
                    <w:keepNext w:val="0"/>
                    <w:keepLines w:val="0"/>
                    <w:pageBreakBefore w:val="0"/>
                    <w:widowControl w:val="0"/>
                    <w:kinsoku/>
                    <w:wordWrap/>
                    <w:overflowPunct/>
                    <w:topLinePunct w:val="0"/>
                    <w:autoSpaceDN/>
                    <w:bidi w:val="0"/>
                    <w:adjustRightInd/>
                    <w:snapToGrid/>
                    <w:spacing w:before="0" w:beforeAutospacing="0" w:after="0" w:afterAutospacing="0"/>
                    <w:ind w:left="0" w:right="0"/>
                    <w:jc w:val="center"/>
                    <w:textAlignment w:val="auto"/>
                    <w:rPr>
                      <w:rFonts w:ascii="Times New Roman" w:hAnsi="Times New Roman"/>
                      <w:b/>
                      <w:bCs/>
                      <w:color w:val="auto"/>
                      <w:kern w:val="2"/>
                      <w:sz w:val="21"/>
                      <w:szCs w:val="21"/>
                    </w:rPr>
                  </w:pPr>
                  <w:r>
                    <w:rPr>
                      <w:rFonts w:ascii="Times New Roman" w:hAnsi="Times New Roman"/>
                      <w:b/>
                      <w:bCs/>
                      <w:color w:val="auto"/>
                      <w:kern w:val="2"/>
                      <w:sz w:val="21"/>
                      <w:szCs w:val="21"/>
                    </w:rPr>
                    <w:t>污染物单位</w:t>
                  </w:r>
                </w:p>
              </w:tc>
              <w:tc>
                <w:tcPr>
                  <w:tcW w:w="511" w:type="pct"/>
                  <w:tcBorders>
                    <w:tl2br w:val="nil"/>
                    <w:tr2bl w:val="nil"/>
                  </w:tcBorders>
                  <w:vAlign w:val="center"/>
                </w:tcPr>
                <w:p w14:paraId="5E1E24DE">
                  <w:pPr>
                    <w:pStyle w:val="21"/>
                    <w:keepNext w:val="0"/>
                    <w:keepLines w:val="0"/>
                    <w:pageBreakBefore w:val="0"/>
                    <w:widowControl w:val="0"/>
                    <w:kinsoku/>
                    <w:wordWrap/>
                    <w:overflowPunct/>
                    <w:topLinePunct w:val="0"/>
                    <w:autoSpaceDN/>
                    <w:bidi w:val="0"/>
                    <w:adjustRightInd/>
                    <w:snapToGrid/>
                    <w:spacing w:before="0" w:beforeAutospacing="0" w:after="0" w:afterAutospacing="0"/>
                    <w:ind w:left="0" w:right="0"/>
                    <w:jc w:val="center"/>
                    <w:textAlignment w:val="auto"/>
                    <w:rPr>
                      <w:rFonts w:ascii="Times New Roman" w:hAnsi="Times New Roman"/>
                      <w:b/>
                      <w:bCs/>
                      <w:color w:val="auto"/>
                      <w:kern w:val="2"/>
                      <w:sz w:val="21"/>
                      <w:szCs w:val="21"/>
                    </w:rPr>
                  </w:pPr>
                  <w:r>
                    <w:rPr>
                      <w:rFonts w:hint="eastAsia" w:ascii="Times New Roman" w:hAnsi="Times New Roman"/>
                      <w:b/>
                      <w:bCs/>
                      <w:color w:val="auto"/>
                      <w:kern w:val="2"/>
                      <w:sz w:val="21"/>
                      <w:szCs w:val="21"/>
                      <w:lang w:val="en-US" w:eastAsia="zh-CN"/>
                    </w:rPr>
                    <w:t>排气筒</w:t>
                  </w:r>
                  <w:r>
                    <w:rPr>
                      <w:rFonts w:hint="eastAsia" w:ascii="Times New Roman" w:hAnsi="Times New Roman"/>
                      <w:b/>
                      <w:bCs/>
                      <w:color w:val="auto"/>
                      <w:kern w:val="2"/>
                      <w:sz w:val="21"/>
                      <w:szCs w:val="21"/>
                    </w:rPr>
                    <w:t>高度</w:t>
                  </w:r>
                </w:p>
              </w:tc>
              <w:tc>
                <w:tcPr>
                  <w:tcW w:w="1706" w:type="pct"/>
                  <w:tcBorders>
                    <w:tl2br w:val="nil"/>
                    <w:tr2bl w:val="nil"/>
                  </w:tcBorders>
                  <w:vAlign w:val="center"/>
                </w:tcPr>
                <w:p w14:paraId="15E6CCAE">
                  <w:pPr>
                    <w:pStyle w:val="21"/>
                    <w:keepNext w:val="0"/>
                    <w:keepLines w:val="0"/>
                    <w:pageBreakBefore w:val="0"/>
                    <w:widowControl w:val="0"/>
                    <w:kinsoku/>
                    <w:wordWrap/>
                    <w:overflowPunct/>
                    <w:topLinePunct w:val="0"/>
                    <w:autoSpaceDN/>
                    <w:bidi w:val="0"/>
                    <w:adjustRightInd/>
                    <w:snapToGrid/>
                    <w:spacing w:before="0" w:beforeAutospacing="0" w:after="0" w:afterAutospacing="0"/>
                    <w:ind w:left="0" w:right="0"/>
                    <w:jc w:val="center"/>
                    <w:textAlignment w:val="auto"/>
                    <w:rPr>
                      <w:rFonts w:ascii="Times New Roman" w:hAnsi="Times New Roman"/>
                      <w:b/>
                      <w:bCs/>
                      <w:color w:val="auto"/>
                      <w:kern w:val="2"/>
                      <w:sz w:val="21"/>
                      <w:szCs w:val="21"/>
                    </w:rPr>
                  </w:pPr>
                  <w:r>
                    <w:rPr>
                      <w:rFonts w:ascii="Times New Roman" w:hAnsi="Times New Roman"/>
                      <w:b/>
                      <w:bCs/>
                      <w:color w:val="auto"/>
                      <w:kern w:val="2"/>
                      <w:sz w:val="21"/>
                      <w:szCs w:val="21"/>
                    </w:rPr>
                    <w:t>标准来源</w:t>
                  </w:r>
                </w:p>
              </w:tc>
            </w:tr>
            <w:tr w14:paraId="1F28B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59" w:type="pct"/>
                  <w:vMerge w:val="restart"/>
                  <w:tcBorders>
                    <w:tl2br w:val="nil"/>
                    <w:tr2bl w:val="nil"/>
                  </w:tcBorders>
                  <w:vAlign w:val="center"/>
                </w:tcPr>
                <w:p w14:paraId="241D9249">
                  <w:pPr>
                    <w:keepNext w:val="0"/>
                    <w:keepLines w:val="0"/>
                    <w:pageBreakBefore w:val="0"/>
                    <w:widowControl w:val="0"/>
                    <w:kinsoku/>
                    <w:wordWrap/>
                    <w:overflowPunct/>
                    <w:topLinePunct w:val="0"/>
                    <w:autoSpaceDN/>
                    <w:bidi w:val="0"/>
                    <w:adjustRightInd/>
                    <w:snapToGrid/>
                    <w:ind w:left="0" w:right="0"/>
                    <w:jc w:val="center"/>
                    <w:textAlignment w:val="auto"/>
                    <w:rPr>
                      <w:color w:val="auto"/>
                      <w:sz w:val="21"/>
                      <w:szCs w:val="21"/>
                    </w:rPr>
                  </w:pPr>
                  <w:r>
                    <w:rPr>
                      <w:rFonts w:hint="eastAsia"/>
                      <w:color w:val="auto"/>
                      <w:sz w:val="21"/>
                      <w:szCs w:val="21"/>
                      <w:lang w:val="en-US" w:eastAsia="zh-CN"/>
                    </w:rPr>
                    <w:t>有</w:t>
                  </w:r>
                  <w:r>
                    <w:rPr>
                      <w:color w:val="auto"/>
                      <w:sz w:val="21"/>
                      <w:szCs w:val="21"/>
                    </w:rPr>
                    <w:t>组织</w:t>
                  </w:r>
                </w:p>
              </w:tc>
              <w:tc>
                <w:tcPr>
                  <w:tcW w:w="822" w:type="pct"/>
                  <w:tcBorders>
                    <w:tl2br w:val="nil"/>
                    <w:tr2bl w:val="nil"/>
                  </w:tcBorders>
                  <w:vAlign w:val="center"/>
                </w:tcPr>
                <w:p w14:paraId="1CED4D59">
                  <w:pPr>
                    <w:pStyle w:val="21"/>
                    <w:keepNext w:val="0"/>
                    <w:keepLines w:val="0"/>
                    <w:pageBreakBefore w:val="0"/>
                    <w:widowControl w:val="0"/>
                    <w:kinsoku/>
                    <w:wordWrap/>
                    <w:overflowPunct/>
                    <w:topLinePunct w:val="0"/>
                    <w:autoSpaceDN/>
                    <w:bidi w:val="0"/>
                    <w:adjustRightInd/>
                    <w:snapToGrid/>
                    <w:spacing w:before="0" w:beforeAutospacing="0" w:after="0" w:afterAutospacing="0"/>
                    <w:ind w:left="0" w:right="0"/>
                    <w:jc w:val="center"/>
                    <w:textAlignment w:val="auto"/>
                    <w:rPr>
                      <w:rFonts w:hint="eastAsia" w:ascii="Times New Roman" w:hAnsi="Times New Roman" w:eastAsia="宋体"/>
                      <w:color w:val="auto"/>
                      <w:sz w:val="21"/>
                      <w:szCs w:val="21"/>
                      <w:lang w:eastAsia="zh-CN"/>
                    </w:rPr>
                  </w:pPr>
                  <w:r>
                    <w:rPr>
                      <w:rFonts w:ascii="Times New Roman" w:hAnsi="Times New Roman"/>
                      <w:color w:val="auto"/>
                      <w:kern w:val="2"/>
                      <w:sz w:val="21"/>
                      <w:szCs w:val="21"/>
                    </w:rPr>
                    <w:t>粉尘</w:t>
                  </w:r>
                </w:p>
              </w:tc>
              <w:tc>
                <w:tcPr>
                  <w:tcW w:w="894" w:type="pct"/>
                  <w:tcBorders>
                    <w:tl2br w:val="nil"/>
                    <w:tr2bl w:val="nil"/>
                  </w:tcBorders>
                  <w:vAlign w:val="center"/>
                </w:tcPr>
                <w:p w14:paraId="14A5A0CF">
                  <w:pPr>
                    <w:pStyle w:val="21"/>
                    <w:keepNext w:val="0"/>
                    <w:keepLines w:val="0"/>
                    <w:pageBreakBefore w:val="0"/>
                    <w:widowControl w:val="0"/>
                    <w:kinsoku/>
                    <w:wordWrap/>
                    <w:overflowPunct/>
                    <w:topLinePunct w:val="0"/>
                    <w:autoSpaceDN/>
                    <w:bidi w:val="0"/>
                    <w:adjustRightInd/>
                    <w:snapToGrid/>
                    <w:spacing w:before="0" w:beforeAutospacing="0" w:after="0" w:afterAutospacing="0"/>
                    <w:ind w:left="0" w:right="0"/>
                    <w:jc w:val="center"/>
                    <w:textAlignment w:val="auto"/>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20</w:t>
                  </w:r>
                </w:p>
              </w:tc>
              <w:tc>
                <w:tcPr>
                  <w:tcW w:w="605" w:type="pct"/>
                  <w:tcBorders>
                    <w:tl2br w:val="nil"/>
                    <w:tr2bl w:val="nil"/>
                  </w:tcBorders>
                  <w:vAlign w:val="center"/>
                </w:tcPr>
                <w:p w14:paraId="3634AC7B">
                  <w:pPr>
                    <w:keepNext w:val="0"/>
                    <w:keepLines w:val="0"/>
                    <w:pageBreakBefore w:val="0"/>
                    <w:widowControl w:val="0"/>
                    <w:kinsoku/>
                    <w:wordWrap/>
                    <w:overflowPunct/>
                    <w:topLinePunct w:val="0"/>
                    <w:autoSpaceDN/>
                    <w:bidi w:val="0"/>
                    <w:adjustRightInd/>
                    <w:snapToGrid/>
                    <w:ind w:left="0" w:right="0"/>
                    <w:jc w:val="center"/>
                    <w:textAlignment w:val="auto"/>
                    <w:rPr>
                      <w:color w:val="auto"/>
                      <w:sz w:val="21"/>
                      <w:szCs w:val="21"/>
                    </w:rPr>
                  </w:pPr>
                  <w:r>
                    <w:rPr>
                      <w:color w:val="auto"/>
                      <w:kern w:val="0"/>
                      <w:sz w:val="21"/>
                      <w:szCs w:val="21"/>
                    </w:rPr>
                    <w:t>mg/m</w:t>
                  </w:r>
                  <w:r>
                    <w:rPr>
                      <w:color w:val="auto"/>
                      <w:kern w:val="0"/>
                      <w:sz w:val="21"/>
                      <w:szCs w:val="21"/>
                      <w:vertAlign w:val="superscript"/>
                    </w:rPr>
                    <w:t>3</w:t>
                  </w:r>
                </w:p>
              </w:tc>
              <w:tc>
                <w:tcPr>
                  <w:tcW w:w="511" w:type="pct"/>
                  <w:tcBorders>
                    <w:tl2br w:val="nil"/>
                    <w:tr2bl w:val="nil"/>
                  </w:tcBorders>
                  <w:vAlign w:val="center"/>
                </w:tcPr>
                <w:p w14:paraId="426F5EBF">
                  <w:pPr>
                    <w:keepNext w:val="0"/>
                    <w:keepLines w:val="0"/>
                    <w:pageBreakBefore w:val="0"/>
                    <w:widowControl w:val="0"/>
                    <w:kinsoku/>
                    <w:wordWrap/>
                    <w:overflowPunct/>
                    <w:topLinePunct w:val="0"/>
                    <w:autoSpaceDN/>
                    <w:bidi w:val="0"/>
                    <w:adjustRightInd/>
                    <w:snapToGrid/>
                    <w:ind w:left="0" w:right="0"/>
                    <w:jc w:val="center"/>
                    <w:textAlignment w:val="auto"/>
                    <w:rPr>
                      <w:color w:val="auto"/>
                      <w:kern w:val="0"/>
                      <w:sz w:val="21"/>
                      <w:szCs w:val="21"/>
                    </w:rPr>
                  </w:pPr>
                  <w:r>
                    <w:rPr>
                      <w:rFonts w:hint="eastAsia"/>
                      <w:color w:val="auto"/>
                      <w:kern w:val="0"/>
                      <w:sz w:val="21"/>
                      <w:szCs w:val="21"/>
                    </w:rPr>
                    <w:t>15m</w:t>
                  </w:r>
                </w:p>
              </w:tc>
              <w:tc>
                <w:tcPr>
                  <w:tcW w:w="1706" w:type="pct"/>
                  <w:tcBorders>
                    <w:tl2br w:val="nil"/>
                    <w:tr2bl w:val="nil"/>
                  </w:tcBorders>
                  <w:vAlign w:val="center"/>
                </w:tcPr>
                <w:p w14:paraId="76D79ED6">
                  <w:pPr>
                    <w:keepNext w:val="0"/>
                    <w:keepLines w:val="0"/>
                    <w:pageBreakBefore w:val="0"/>
                    <w:widowControl w:val="0"/>
                    <w:kinsoku/>
                    <w:wordWrap/>
                    <w:overflowPunct/>
                    <w:topLinePunct w:val="0"/>
                    <w:autoSpaceDE/>
                    <w:autoSpaceDN/>
                    <w:bidi w:val="0"/>
                    <w:adjustRightInd/>
                    <w:snapToGrid/>
                    <w:ind w:left="0" w:right="0"/>
                    <w:jc w:val="center"/>
                    <w:textAlignment w:val="auto"/>
                    <w:rPr>
                      <w:color w:val="auto"/>
                      <w:kern w:val="24"/>
                      <w:sz w:val="21"/>
                      <w:szCs w:val="21"/>
                    </w:rPr>
                  </w:pPr>
                  <w:r>
                    <w:rPr>
                      <w:rFonts w:hint="default" w:ascii="Times New Roman" w:hAnsi="Times New Roman" w:eastAsia="宋体" w:cs="Times New Roman"/>
                      <w:color w:val="auto"/>
                      <w:spacing w:val="0"/>
                      <w:kern w:val="0"/>
                      <w:position w:val="0"/>
                      <w:szCs w:val="21"/>
                      <w:highlight w:val="none"/>
                      <w:lang w:val="en-US" w:eastAsia="zh-CN"/>
                    </w:rPr>
                    <w:t>《水泥工业大气污染物排放标准》（GB4915-2013）表</w:t>
                  </w:r>
                  <w:r>
                    <w:rPr>
                      <w:rFonts w:hint="eastAsia" w:cs="Times New Roman"/>
                      <w:color w:val="auto"/>
                      <w:spacing w:val="0"/>
                      <w:kern w:val="0"/>
                      <w:position w:val="0"/>
                      <w:szCs w:val="21"/>
                      <w:highlight w:val="none"/>
                      <w:lang w:val="en-US" w:eastAsia="zh-CN"/>
                    </w:rPr>
                    <w:t>1</w:t>
                  </w:r>
                  <w:r>
                    <w:rPr>
                      <w:rFonts w:hint="default" w:ascii="Times New Roman" w:hAnsi="Times New Roman" w:eastAsia="宋体" w:cs="Times New Roman"/>
                      <w:color w:val="auto"/>
                      <w:spacing w:val="0"/>
                      <w:kern w:val="0"/>
                      <w:position w:val="0"/>
                      <w:szCs w:val="21"/>
                      <w:highlight w:val="none"/>
                      <w:lang w:val="en-US" w:eastAsia="zh-CN"/>
                    </w:rPr>
                    <w:t>大气污染物排放限值</w:t>
                  </w:r>
                </w:p>
              </w:tc>
            </w:tr>
            <w:tr w14:paraId="36CA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8" w:hRule="atLeast"/>
                <w:jc w:val="center"/>
              </w:trPr>
              <w:tc>
                <w:tcPr>
                  <w:tcW w:w="459" w:type="pct"/>
                  <w:vMerge w:val="continue"/>
                  <w:tcBorders>
                    <w:tl2br w:val="nil"/>
                    <w:tr2bl w:val="nil"/>
                  </w:tcBorders>
                  <w:vAlign w:val="center"/>
                </w:tcPr>
                <w:p w14:paraId="044D0B66">
                  <w:pPr>
                    <w:keepNext w:val="0"/>
                    <w:keepLines w:val="0"/>
                    <w:pageBreakBefore w:val="0"/>
                    <w:widowControl w:val="0"/>
                    <w:kinsoku/>
                    <w:wordWrap/>
                    <w:overflowPunct/>
                    <w:topLinePunct w:val="0"/>
                    <w:autoSpaceDE/>
                    <w:autoSpaceDN/>
                    <w:bidi w:val="0"/>
                    <w:adjustRightInd/>
                    <w:snapToGrid/>
                    <w:ind w:left="0" w:right="0"/>
                    <w:jc w:val="center"/>
                    <w:textAlignment w:val="auto"/>
                    <w:rPr>
                      <w:sz w:val="21"/>
                      <w:szCs w:val="21"/>
                    </w:rPr>
                  </w:pPr>
                </w:p>
              </w:tc>
              <w:tc>
                <w:tcPr>
                  <w:tcW w:w="822" w:type="pct"/>
                  <w:tcBorders>
                    <w:tl2br w:val="nil"/>
                    <w:tr2bl w:val="nil"/>
                  </w:tcBorders>
                  <w:vAlign w:val="center"/>
                </w:tcPr>
                <w:p w14:paraId="52F25B72">
                  <w:pPr>
                    <w:adjustRightInd w:val="0"/>
                    <w:snapToGrid w:val="0"/>
                    <w:jc w:val="center"/>
                    <w:rPr>
                      <w:rFonts w:hint="eastAsia"/>
                      <w:color w:val="auto"/>
                      <w:kern w:val="2"/>
                      <w:sz w:val="21"/>
                      <w:szCs w:val="21"/>
                      <w:lang w:val="en-US" w:eastAsia="zh-CN"/>
                    </w:rPr>
                  </w:pPr>
                  <w:r>
                    <w:rPr>
                      <w:rFonts w:hint="eastAsia" w:ascii="Times New Roman" w:hAnsi="Times New Roman" w:eastAsia="宋体" w:cs="Times New Roman"/>
                      <w:color w:val="auto"/>
                      <w:spacing w:val="0"/>
                      <w:kern w:val="0"/>
                      <w:position w:val="0"/>
                      <w:sz w:val="21"/>
                      <w:szCs w:val="21"/>
                      <w:highlight w:val="none"/>
                      <w:lang w:val="en-US" w:eastAsia="zh-CN"/>
                    </w:rPr>
                    <w:t>非甲烷总烃</w:t>
                  </w:r>
                </w:p>
              </w:tc>
              <w:tc>
                <w:tcPr>
                  <w:tcW w:w="894" w:type="pct"/>
                  <w:tcBorders>
                    <w:tl2br w:val="nil"/>
                    <w:tr2bl w:val="nil"/>
                  </w:tcBorders>
                  <w:vAlign w:val="center"/>
                </w:tcPr>
                <w:p w14:paraId="5929741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color w:val="auto"/>
                      <w:kern w:val="2"/>
                      <w:sz w:val="21"/>
                      <w:szCs w:val="21"/>
                      <w:lang w:val="en-US" w:eastAsia="zh-CN"/>
                    </w:rPr>
                  </w:pPr>
                  <w:r>
                    <w:rPr>
                      <w:rFonts w:hint="eastAsia" w:cs="Times New Roman"/>
                      <w:color w:val="auto"/>
                      <w:spacing w:val="0"/>
                      <w:position w:val="0"/>
                      <w:sz w:val="21"/>
                      <w:szCs w:val="21"/>
                      <w:highlight w:val="none"/>
                      <w:lang w:val="en-US" w:eastAsia="zh-CN"/>
                    </w:rPr>
                    <w:t>10</w:t>
                  </w:r>
                  <w:r>
                    <w:rPr>
                      <w:rFonts w:hint="default" w:ascii="Times New Roman" w:hAnsi="Times New Roman" w:cs="Times New Roman"/>
                      <w:color w:val="auto"/>
                      <w:spacing w:val="0"/>
                      <w:position w:val="0"/>
                      <w:sz w:val="21"/>
                      <w:szCs w:val="21"/>
                      <w:highlight w:val="none"/>
                      <w:lang w:val="en-US" w:eastAsia="zh-CN"/>
                    </w:rPr>
                    <w:t>0</w:t>
                  </w:r>
                </w:p>
              </w:tc>
              <w:tc>
                <w:tcPr>
                  <w:tcW w:w="605" w:type="pct"/>
                  <w:tcBorders>
                    <w:tl2br w:val="nil"/>
                    <w:tr2bl w:val="nil"/>
                  </w:tcBorders>
                  <w:vAlign w:val="center"/>
                </w:tcPr>
                <w:p w14:paraId="06EB6804">
                  <w:pPr>
                    <w:keepNext w:val="0"/>
                    <w:keepLines w:val="0"/>
                    <w:pageBreakBefore w:val="0"/>
                    <w:widowControl w:val="0"/>
                    <w:kinsoku/>
                    <w:wordWrap/>
                    <w:overflowPunct/>
                    <w:topLinePunct w:val="0"/>
                    <w:autoSpaceDE/>
                    <w:autoSpaceDN/>
                    <w:bidi w:val="0"/>
                    <w:adjustRightInd/>
                    <w:snapToGrid/>
                    <w:ind w:left="0" w:right="0"/>
                    <w:jc w:val="center"/>
                    <w:textAlignment w:val="auto"/>
                    <w:rPr>
                      <w:color w:val="auto"/>
                      <w:kern w:val="0"/>
                      <w:sz w:val="21"/>
                      <w:szCs w:val="21"/>
                    </w:rPr>
                  </w:pPr>
                  <w:r>
                    <w:rPr>
                      <w:color w:val="auto"/>
                      <w:kern w:val="0"/>
                      <w:sz w:val="21"/>
                      <w:szCs w:val="21"/>
                    </w:rPr>
                    <w:t>mg/m</w:t>
                  </w:r>
                  <w:r>
                    <w:rPr>
                      <w:color w:val="auto"/>
                      <w:kern w:val="0"/>
                      <w:sz w:val="21"/>
                      <w:szCs w:val="21"/>
                      <w:vertAlign w:val="superscript"/>
                    </w:rPr>
                    <w:t>3</w:t>
                  </w:r>
                </w:p>
              </w:tc>
              <w:tc>
                <w:tcPr>
                  <w:tcW w:w="511" w:type="pct"/>
                  <w:tcBorders>
                    <w:tl2br w:val="nil"/>
                    <w:tr2bl w:val="nil"/>
                  </w:tcBorders>
                  <w:vAlign w:val="center"/>
                </w:tcPr>
                <w:p w14:paraId="0EA77055">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color w:val="auto"/>
                      <w:kern w:val="2"/>
                      <w:sz w:val="21"/>
                      <w:szCs w:val="21"/>
                      <w:lang w:val="en-US" w:eastAsia="zh-CN"/>
                    </w:rPr>
                  </w:pPr>
                  <w:r>
                    <w:rPr>
                      <w:rFonts w:hint="eastAsia"/>
                      <w:color w:val="auto"/>
                      <w:kern w:val="2"/>
                      <w:sz w:val="21"/>
                      <w:szCs w:val="21"/>
                      <w:lang w:val="en-US" w:eastAsia="zh-CN"/>
                    </w:rPr>
                    <w:t>15m</w:t>
                  </w:r>
                </w:p>
              </w:tc>
              <w:tc>
                <w:tcPr>
                  <w:tcW w:w="1706" w:type="pct"/>
                  <w:tcBorders>
                    <w:tl2br w:val="nil"/>
                    <w:tr2bl w:val="nil"/>
                  </w:tcBorders>
                  <w:vAlign w:val="center"/>
                </w:tcPr>
                <w:p w14:paraId="774FDF80">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color w:val="auto"/>
                      <w:kern w:val="2"/>
                      <w:sz w:val="21"/>
                      <w:szCs w:val="21"/>
                      <w:lang w:val="en-US" w:eastAsia="zh-CN"/>
                    </w:rPr>
                  </w:pPr>
                  <w:r>
                    <w:rPr>
                      <w:rFonts w:hint="default" w:ascii="Times New Roman" w:hAnsi="Times New Roman" w:eastAsia="宋体" w:cs="Times New Roman"/>
                      <w:color w:val="auto"/>
                      <w:spacing w:val="0"/>
                      <w:kern w:val="0"/>
                      <w:position w:val="0"/>
                      <w:sz w:val="21"/>
                      <w:szCs w:val="21"/>
                      <w:highlight w:val="none"/>
                      <w:lang w:val="en-US" w:eastAsia="zh-CN"/>
                    </w:rPr>
                    <w:t>《合成树脂工业污染物排放标准》</w:t>
                  </w:r>
                  <w:r>
                    <w:rPr>
                      <w:rFonts w:hint="eastAsia" w:ascii="Times New Roman" w:hAnsi="Times New Roman" w:eastAsia="宋体" w:cs="Times New Roman"/>
                      <w:color w:val="auto"/>
                      <w:spacing w:val="0"/>
                      <w:kern w:val="0"/>
                      <w:position w:val="0"/>
                      <w:sz w:val="21"/>
                      <w:szCs w:val="21"/>
                      <w:highlight w:val="none"/>
                      <w:lang w:val="en-US" w:eastAsia="zh-CN"/>
                    </w:rPr>
                    <w:t>（含2024年修改单）</w:t>
                  </w:r>
                  <w:r>
                    <w:rPr>
                      <w:rFonts w:hint="default" w:ascii="Times New Roman" w:hAnsi="Times New Roman" w:eastAsia="宋体" w:cs="Times New Roman"/>
                      <w:color w:val="auto"/>
                      <w:spacing w:val="0"/>
                      <w:kern w:val="0"/>
                      <w:position w:val="0"/>
                      <w:sz w:val="21"/>
                      <w:szCs w:val="21"/>
                      <w:highlight w:val="none"/>
                      <w:lang w:val="en-US" w:eastAsia="zh-CN"/>
                    </w:rPr>
                    <w:t>（GB31572-2015）中表</w:t>
                  </w:r>
                  <w:r>
                    <w:rPr>
                      <w:rFonts w:hint="eastAsia" w:ascii="Times New Roman" w:hAnsi="Times New Roman" w:eastAsia="宋体" w:cs="Times New Roman"/>
                      <w:color w:val="auto"/>
                      <w:spacing w:val="0"/>
                      <w:kern w:val="0"/>
                      <w:position w:val="0"/>
                      <w:sz w:val="21"/>
                      <w:szCs w:val="21"/>
                      <w:highlight w:val="none"/>
                      <w:lang w:val="en-US" w:eastAsia="zh-CN"/>
                    </w:rPr>
                    <w:t>4</w:t>
                  </w:r>
                  <w:r>
                    <w:rPr>
                      <w:rFonts w:hint="default" w:ascii="Times New Roman" w:hAnsi="Times New Roman" w:eastAsia="宋体" w:cs="Times New Roman"/>
                      <w:color w:val="auto"/>
                      <w:spacing w:val="0"/>
                      <w:kern w:val="0"/>
                      <w:position w:val="0"/>
                      <w:sz w:val="21"/>
                      <w:szCs w:val="21"/>
                      <w:highlight w:val="none"/>
                      <w:lang w:val="en-US" w:eastAsia="zh-CN"/>
                    </w:rPr>
                    <w:t>大气污染物排放限值</w:t>
                  </w:r>
                </w:p>
              </w:tc>
            </w:tr>
            <w:tr w14:paraId="1FB9E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59" w:type="pct"/>
                  <w:vMerge w:val="restart"/>
                  <w:tcBorders>
                    <w:tl2br w:val="nil"/>
                    <w:tr2bl w:val="nil"/>
                  </w:tcBorders>
                  <w:vAlign w:val="center"/>
                </w:tcPr>
                <w:p w14:paraId="3CD9437A">
                  <w:pPr>
                    <w:keepNext w:val="0"/>
                    <w:keepLines w:val="0"/>
                    <w:pageBreakBefore w:val="0"/>
                    <w:widowControl w:val="0"/>
                    <w:kinsoku/>
                    <w:wordWrap/>
                    <w:overflowPunct/>
                    <w:topLinePunct w:val="0"/>
                    <w:autoSpaceDN/>
                    <w:bidi w:val="0"/>
                    <w:adjustRightInd/>
                    <w:snapToGrid/>
                    <w:ind w:left="0" w:right="0"/>
                    <w:jc w:val="center"/>
                    <w:textAlignment w:val="auto"/>
                    <w:rPr>
                      <w:color w:val="auto"/>
                      <w:sz w:val="21"/>
                      <w:szCs w:val="21"/>
                    </w:rPr>
                  </w:pPr>
                  <w:r>
                    <w:rPr>
                      <w:rFonts w:hint="eastAsia"/>
                      <w:color w:val="auto"/>
                      <w:sz w:val="21"/>
                      <w:szCs w:val="21"/>
                      <w:lang w:val="en-US" w:eastAsia="zh-CN"/>
                    </w:rPr>
                    <w:t>无</w:t>
                  </w:r>
                  <w:r>
                    <w:rPr>
                      <w:rFonts w:hint="eastAsia"/>
                      <w:color w:val="auto"/>
                      <w:sz w:val="21"/>
                      <w:szCs w:val="21"/>
                    </w:rPr>
                    <w:t>组织</w:t>
                  </w:r>
                </w:p>
              </w:tc>
              <w:tc>
                <w:tcPr>
                  <w:tcW w:w="822" w:type="pct"/>
                  <w:tcBorders>
                    <w:tl2br w:val="nil"/>
                    <w:tr2bl w:val="nil"/>
                  </w:tcBorders>
                  <w:vAlign w:val="center"/>
                </w:tcPr>
                <w:p w14:paraId="40269E1E">
                  <w:pPr>
                    <w:pStyle w:val="21"/>
                    <w:keepNext w:val="0"/>
                    <w:keepLines w:val="0"/>
                    <w:pageBreakBefore w:val="0"/>
                    <w:widowControl w:val="0"/>
                    <w:kinsoku/>
                    <w:wordWrap/>
                    <w:overflowPunct/>
                    <w:topLinePunct w:val="0"/>
                    <w:autoSpaceDN/>
                    <w:bidi w:val="0"/>
                    <w:adjustRightInd/>
                    <w:snapToGrid/>
                    <w:spacing w:before="0" w:beforeAutospacing="0" w:after="0" w:afterAutospacing="0"/>
                    <w:ind w:left="0" w:leftChars="0" w:right="0" w:rightChars="0"/>
                    <w:jc w:val="center"/>
                    <w:textAlignment w:val="auto"/>
                    <w:rPr>
                      <w:rFonts w:hint="eastAsia" w:ascii="Times New Roman" w:hAnsi="Times New Roman"/>
                      <w:color w:val="auto"/>
                      <w:kern w:val="2"/>
                      <w:sz w:val="21"/>
                      <w:szCs w:val="21"/>
                      <w:lang w:val="en-US" w:eastAsia="zh-CN"/>
                    </w:rPr>
                  </w:pPr>
                  <w:r>
                    <w:rPr>
                      <w:rFonts w:ascii="Times New Roman" w:hAnsi="Times New Roman"/>
                      <w:color w:val="auto"/>
                      <w:kern w:val="2"/>
                      <w:sz w:val="21"/>
                      <w:szCs w:val="21"/>
                    </w:rPr>
                    <w:t>粉尘</w:t>
                  </w:r>
                </w:p>
              </w:tc>
              <w:tc>
                <w:tcPr>
                  <w:tcW w:w="894" w:type="pct"/>
                  <w:tcBorders>
                    <w:tl2br w:val="nil"/>
                    <w:tr2bl w:val="nil"/>
                  </w:tcBorders>
                  <w:vAlign w:val="center"/>
                </w:tcPr>
                <w:p w14:paraId="33C3594F">
                  <w:pPr>
                    <w:pStyle w:val="21"/>
                    <w:keepNext w:val="0"/>
                    <w:keepLines w:val="0"/>
                    <w:pageBreakBefore w:val="0"/>
                    <w:widowControl w:val="0"/>
                    <w:kinsoku/>
                    <w:wordWrap/>
                    <w:overflowPunct/>
                    <w:topLinePunct w:val="0"/>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olor w:val="auto"/>
                      <w:kern w:val="2"/>
                      <w:sz w:val="21"/>
                      <w:szCs w:val="21"/>
                      <w:lang w:val="en-US" w:eastAsia="zh-CN"/>
                    </w:rPr>
                  </w:pPr>
                  <w:r>
                    <w:rPr>
                      <w:rFonts w:hint="eastAsia" w:ascii="Times New Roman" w:hAnsi="Times New Roman"/>
                      <w:color w:val="auto"/>
                      <w:sz w:val="21"/>
                      <w:szCs w:val="21"/>
                      <w:lang w:val="en-US" w:eastAsia="zh-CN"/>
                    </w:rPr>
                    <w:t>0.5</w:t>
                  </w:r>
                </w:p>
              </w:tc>
              <w:tc>
                <w:tcPr>
                  <w:tcW w:w="605" w:type="pct"/>
                  <w:tcBorders>
                    <w:tl2br w:val="nil"/>
                    <w:tr2bl w:val="nil"/>
                  </w:tcBorders>
                  <w:vAlign w:val="center"/>
                </w:tcPr>
                <w:p w14:paraId="10C46A03">
                  <w:pPr>
                    <w:keepNext w:val="0"/>
                    <w:keepLines w:val="0"/>
                    <w:pageBreakBefore w:val="0"/>
                    <w:widowControl w:val="0"/>
                    <w:kinsoku/>
                    <w:wordWrap/>
                    <w:overflowPunct/>
                    <w:topLinePunct w:val="0"/>
                    <w:autoSpaceDN/>
                    <w:bidi w:val="0"/>
                    <w:adjustRightInd/>
                    <w:snapToGrid/>
                    <w:ind w:left="0" w:leftChars="0" w:right="0" w:rightChars="0"/>
                    <w:jc w:val="center"/>
                    <w:textAlignment w:val="auto"/>
                    <w:rPr>
                      <w:color w:val="auto"/>
                      <w:sz w:val="21"/>
                      <w:szCs w:val="21"/>
                    </w:rPr>
                  </w:pPr>
                  <w:r>
                    <w:rPr>
                      <w:color w:val="auto"/>
                      <w:kern w:val="0"/>
                      <w:sz w:val="21"/>
                      <w:szCs w:val="21"/>
                    </w:rPr>
                    <w:t>mg/m</w:t>
                  </w:r>
                  <w:r>
                    <w:rPr>
                      <w:color w:val="auto"/>
                      <w:kern w:val="0"/>
                      <w:sz w:val="21"/>
                      <w:szCs w:val="21"/>
                      <w:vertAlign w:val="superscript"/>
                    </w:rPr>
                    <w:t>3</w:t>
                  </w:r>
                </w:p>
              </w:tc>
              <w:tc>
                <w:tcPr>
                  <w:tcW w:w="511" w:type="pct"/>
                  <w:tcBorders>
                    <w:tl2br w:val="nil"/>
                    <w:tr2bl w:val="nil"/>
                  </w:tcBorders>
                  <w:vAlign w:val="center"/>
                </w:tcPr>
                <w:p w14:paraId="48A58F2C">
                  <w:pPr>
                    <w:keepNext w:val="0"/>
                    <w:keepLines w:val="0"/>
                    <w:pageBreakBefore w:val="0"/>
                    <w:widowControl w:val="0"/>
                    <w:kinsoku/>
                    <w:wordWrap/>
                    <w:overflowPunct/>
                    <w:topLinePunct w:val="0"/>
                    <w:autoSpaceDN/>
                    <w:bidi w:val="0"/>
                    <w:adjustRightInd/>
                    <w:snapToGrid/>
                    <w:ind w:left="0" w:leftChars="0" w:right="0" w:rightChars="0"/>
                    <w:jc w:val="center"/>
                    <w:textAlignment w:val="auto"/>
                    <w:rPr>
                      <w:rFonts w:hint="eastAsia"/>
                      <w:color w:val="auto"/>
                      <w:kern w:val="0"/>
                      <w:sz w:val="21"/>
                      <w:szCs w:val="21"/>
                      <w:lang w:val="en-US" w:eastAsia="zh-CN"/>
                    </w:rPr>
                  </w:pPr>
                  <w:r>
                    <w:rPr>
                      <w:rFonts w:hint="eastAsia"/>
                      <w:color w:val="auto"/>
                      <w:kern w:val="0"/>
                      <w:sz w:val="21"/>
                      <w:szCs w:val="21"/>
                    </w:rPr>
                    <w:t>/</w:t>
                  </w:r>
                </w:p>
              </w:tc>
              <w:tc>
                <w:tcPr>
                  <w:tcW w:w="1706" w:type="pct"/>
                  <w:tcBorders>
                    <w:tl2br w:val="nil"/>
                    <w:tr2bl w:val="nil"/>
                  </w:tcBorders>
                  <w:vAlign w:val="center"/>
                </w:tcPr>
                <w:p w14:paraId="25376CB2">
                  <w:pPr>
                    <w:keepNext w:val="0"/>
                    <w:keepLines w:val="0"/>
                    <w:pageBreakBefore w:val="0"/>
                    <w:widowControl w:val="0"/>
                    <w:kinsoku/>
                    <w:wordWrap/>
                    <w:overflowPunct/>
                    <w:topLinePunct w:val="0"/>
                    <w:autoSpaceDE/>
                    <w:autoSpaceDN/>
                    <w:bidi w:val="0"/>
                    <w:adjustRightInd/>
                    <w:snapToGrid/>
                    <w:ind w:left="0" w:right="0"/>
                    <w:jc w:val="center"/>
                    <w:textAlignment w:val="auto"/>
                    <w:rPr>
                      <w:color w:val="auto"/>
                      <w:kern w:val="0"/>
                      <w:sz w:val="21"/>
                      <w:szCs w:val="21"/>
                    </w:rPr>
                  </w:pPr>
                  <w:r>
                    <w:rPr>
                      <w:color w:val="auto"/>
                      <w:sz w:val="21"/>
                      <w:szCs w:val="21"/>
                    </w:rPr>
                    <w:t>《</w:t>
                  </w:r>
                  <w:r>
                    <w:rPr>
                      <w:rFonts w:hint="eastAsia"/>
                      <w:color w:val="auto"/>
                      <w:sz w:val="21"/>
                      <w:szCs w:val="21"/>
                    </w:rPr>
                    <w:t>水泥工业</w:t>
                  </w:r>
                  <w:r>
                    <w:rPr>
                      <w:rFonts w:hint="eastAsia"/>
                      <w:color w:val="auto"/>
                      <w:sz w:val="21"/>
                      <w:szCs w:val="21"/>
                      <w:lang w:val="en-US" w:eastAsia="zh-CN"/>
                    </w:rPr>
                    <w:t>大气</w:t>
                  </w:r>
                  <w:r>
                    <w:rPr>
                      <w:color w:val="auto"/>
                      <w:sz w:val="21"/>
                      <w:szCs w:val="21"/>
                    </w:rPr>
                    <w:t>污染物排放标准》</w:t>
                  </w:r>
                  <w:r>
                    <w:rPr>
                      <w:rFonts w:ascii="Times New Roman" w:hAnsi="Times New Roman" w:eastAsia="宋体" w:cs="Times New Roman"/>
                      <w:color w:val="auto"/>
                      <w:kern w:val="0"/>
                      <w:sz w:val="21"/>
                      <w:szCs w:val="21"/>
                    </w:rPr>
                    <w:t>（</w:t>
                  </w:r>
                  <w:r>
                    <w:rPr>
                      <w:rFonts w:hint="eastAsia"/>
                      <w:color w:val="auto"/>
                      <w:sz w:val="21"/>
                      <w:szCs w:val="21"/>
                    </w:rPr>
                    <w:t>GB4915</w:t>
                  </w:r>
                  <w:r>
                    <w:rPr>
                      <w:color w:val="auto"/>
                      <w:sz w:val="21"/>
                      <w:szCs w:val="21"/>
                    </w:rPr>
                    <w:t>-2013</w:t>
                  </w:r>
                  <w:r>
                    <w:rPr>
                      <w:rFonts w:ascii="Times New Roman" w:hAnsi="Times New Roman" w:eastAsia="宋体" w:cs="Times New Roman"/>
                      <w:color w:val="auto"/>
                      <w:kern w:val="0"/>
                      <w:sz w:val="21"/>
                      <w:szCs w:val="21"/>
                    </w:rPr>
                    <w:t>）</w:t>
                  </w:r>
                  <w:r>
                    <w:rPr>
                      <w:rFonts w:hint="default" w:ascii="Times New Roman" w:hAnsi="Times New Roman" w:eastAsia="宋体" w:cs="Times New Roman"/>
                      <w:color w:val="auto"/>
                      <w:kern w:val="2"/>
                      <w:sz w:val="21"/>
                      <w:szCs w:val="21"/>
                      <w:lang w:val="en-US" w:eastAsia="zh-CN" w:bidi="ar"/>
                    </w:rPr>
                    <w:t>中无组织排放浓度</w:t>
                  </w:r>
                  <w:r>
                    <w:rPr>
                      <w:rFonts w:hint="eastAsia" w:ascii="Times New Roman" w:hAnsi="Times New Roman" w:eastAsia="宋体" w:cs="Times New Roman"/>
                      <w:color w:val="auto"/>
                      <w:kern w:val="2"/>
                      <w:sz w:val="21"/>
                      <w:szCs w:val="21"/>
                      <w:lang w:val="en-US" w:eastAsia="zh-CN" w:bidi="ar"/>
                    </w:rPr>
                    <w:t>限值</w:t>
                  </w:r>
                </w:p>
              </w:tc>
            </w:tr>
            <w:tr w14:paraId="34319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59" w:type="pct"/>
                  <w:vMerge w:val="continue"/>
                  <w:tcBorders>
                    <w:tl2br w:val="nil"/>
                    <w:tr2bl w:val="nil"/>
                  </w:tcBorders>
                  <w:vAlign w:val="center"/>
                </w:tcPr>
                <w:p w14:paraId="1A8405AB">
                  <w:pPr>
                    <w:keepNext w:val="0"/>
                    <w:keepLines w:val="0"/>
                    <w:pageBreakBefore w:val="0"/>
                    <w:widowControl w:val="0"/>
                    <w:kinsoku/>
                    <w:wordWrap/>
                    <w:overflowPunct/>
                    <w:topLinePunct w:val="0"/>
                    <w:autoSpaceDN/>
                    <w:bidi w:val="0"/>
                    <w:adjustRightInd/>
                    <w:snapToGrid/>
                    <w:ind w:left="0" w:right="0"/>
                    <w:jc w:val="center"/>
                    <w:textAlignment w:val="auto"/>
                    <w:rPr>
                      <w:rFonts w:hint="eastAsia"/>
                      <w:color w:val="auto"/>
                      <w:sz w:val="21"/>
                      <w:szCs w:val="21"/>
                      <w:lang w:val="en-US" w:eastAsia="zh-CN"/>
                    </w:rPr>
                  </w:pPr>
                </w:p>
              </w:tc>
              <w:tc>
                <w:tcPr>
                  <w:tcW w:w="822" w:type="pct"/>
                  <w:tcBorders>
                    <w:tl2br w:val="nil"/>
                    <w:tr2bl w:val="nil"/>
                  </w:tcBorders>
                  <w:vAlign w:val="center"/>
                </w:tcPr>
                <w:p w14:paraId="74828640">
                  <w:pPr>
                    <w:pStyle w:val="21"/>
                    <w:keepNext w:val="0"/>
                    <w:keepLines w:val="0"/>
                    <w:pageBreakBefore w:val="0"/>
                    <w:widowControl w:val="0"/>
                    <w:kinsoku/>
                    <w:wordWrap/>
                    <w:overflowPunct/>
                    <w:topLinePunct w:val="0"/>
                    <w:autoSpaceDN/>
                    <w:bidi w:val="0"/>
                    <w:adjustRightInd/>
                    <w:snapToGrid/>
                    <w:spacing w:before="0" w:beforeAutospacing="0" w:after="0" w:afterAutospacing="0"/>
                    <w:ind w:left="0" w:leftChars="0" w:right="0" w:rightChars="0"/>
                    <w:jc w:val="both"/>
                    <w:textAlignment w:val="auto"/>
                    <w:rPr>
                      <w:rFonts w:ascii="Times New Roman" w:hAnsi="Times New Roman"/>
                      <w:color w:val="auto"/>
                      <w:kern w:val="2"/>
                      <w:sz w:val="21"/>
                      <w:szCs w:val="21"/>
                    </w:rPr>
                  </w:pPr>
                  <w:r>
                    <w:rPr>
                      <w:rFonts w:hint="eastAsia" w:ascii="Times New Roman" w:hAnsi="Times New Roman" w:eastAsia="宋体" w:cs="Times New Roman"/>
                      <w:color w:val="auto"/>
                      <w:spacing w:val="0"/>
                      <w:kern w:val="0"/>
                      <w:position w:val="0"/>
                      <w:sz w:val="21"/>
                      <w:szCs w:val="21"/>
                      <w:highlight w:val="none"/>
                      <w:lang w:val="en-US" w:eastAsia="zh-CN"/>
                    </w:rPr>
                    <w:t>厂区内非甲烷总烃</w:t>
                  </w:r>
                </w:p>
              </w:tc>
              <w:tc>
                <w:tcPr>
                  <w:tcW w:w="894" w:type="pct"/>
                  <w:tcBorders>
                    <w:tl2br w:val="nil"/>
                    <w:tr2bl w:val="nil"/>
                  </w:tcBorders>
                  <w:vAlign w:val="center"/>
                </w:tcPr>
                <w:p w14:paraId="34EEF99E">
                  <w:pPr>
                    <w:adjustRightInd w:val="0"/>
                    <w:snapToGrid w:val="0"/>
                    <w:jc w:val="center"/>
                    <w:rPr>
                      <w:rFonts w:hint="default" w:ascii="Times New Roman" w:hAnsi="Times New Roman"/>
                      <w:color w:val="auto"/>
                      <w:sz w:val="21"/>
                      <w:szCs w:val="21"/>
                      <w:lang w:val="en-US" w:eastAsia="zh-CN"/>
                    </w:rPr>
                  </w:pPr>
                  <w:r>
                    <w:rPr>
                      <w:rFonts w:hint="eastAsia" w:ascii="Times New Roman" w:hAnsi="Times New Roman" w:eastAsia="宋体" w:cs="Times New Roman"/>
                      <w:color w:val="auto"/>
                      <w:spacing w:val="0"/>
                      <w:kern w:val="0"/>
                      <w:position w:val="0"/>
                      <w:sz w:val="21"/>
                      <w:szCs w:val="21"/>
                      <w:highlight w:val="none"/>
                      <w:lang w:val="en-US" w:eastAsia="zh-CN"/>
                    </w:rPr>
                    <w:t>监控点处1h浓度平均值</w:t>
                  </w:r>
                  <w:r>
                    <w:rPr>
                      <w:rFonts w:hint="eastAsia" w:cs="Times New Roman"/>
                      <w:color w:val="auto"/>
                      <w:spacing w:val="0"/>
                      <w:kern w:val="0"/>
                      <w:position w:val="0"/>
                      <w:sz w:val="21"/>
                      <w:szCs w:val="21"/>
                      <w:highlight w:val="none"/>
                      <w:lang w:val="en-US" w:eastAsia="zh-CN"/>
                    </w:rPr>
                    <w:t>10</w:t>
                  </w:r>
                </w:p>
              </w:tc>
              <w:tc>
                <w:tcPr>
                  <w:tcW w:w="605" w:type="pct"/>
                  <w:tcBorders>
                    <w:tl2br w:val="nil"/>
                    <w:tr2bl w:val="nil"/>
                  </w:tcBorders>
                  <w:vAlign w:val="center"/>
                </w:tcPr>
                <w:p w14:paraId="02BD795C">
                  <w:pPr>
                    <w:keepNext w:val="0"/>
                    <w:keepLines w:val="0"/>
                    <w:pageBreakBefore w:val="0"/>
                    <w:widowControl w:val="0"/>
                    <w:kinsoku/>
                    <w:wordWrap/>
                    <w:overflowPunct/>
                    <w:topLinePunct w:val="0"/>
                    <w:autoSpaceDN/>
                    <w:bidi w:val="0"/>
                    <w:adjustRightInd/>
                    <w:snapToGrid/>
                    <w:ind w:left="0" w:leftChars="0" w:right="0" w:rightChars="0"/>
                    <w:jc w:val="center"/>
                    <w:textAlignment w:val="auto"/>
                    <w:rPr>
                      <w:color w:val="auto"/>
                      <w:kern w:val="0"/>
                      <w:sz w:val="21"/>
                      <w:szCs w:val="21"/>
                    </w:rPr>
                  </w:pPr>
                  <w:r>
                    <w:rPr>
                      <w:color w:val="auto"/>
                      <w:kern w:val="0"/>
                      <w:sz w:val="21"/>
                      <w:szCs w:val="21"/>
                    </w:rPr>
                    <w:t>mg/m</w:t>
                  </w:r>
                  <w:r>
                    <w:rPr>
                      <w:color w:val="auto"/>
                      <w:kern w:val="0"/>
                      <w:sz w:val="21"/>
                      <w:szCs w:val="21"/>
                      <w:vertAlign w:val="superscript"/>
                    </w:rPr>
                    <w:t>3</w:t>
                  </w:r>
                </w:p>
              </w:tc>
              <w:tc>
                <w:tcPr>
                  <w:tcW w:w="511" w:type="pct"/>
                  <w:tcBorders>
                    <w:tl2br w:val="nil"/>
                    <w:tr2bl w:val="nil"/>
                  </w:tcBorders>
                  <w:vAlign w:val="center"/>
                </w:tcPr>
                <w:p w14:paraId="0AF70D1F">
                  <w:pPr>
                    <w:keepNext w:val="0"/>
                    <w:keepLines w:val="0"/>
                    <w:pageBreakBefore w:val="0"/>
                    <w:widowControl w:val="0"/>
                    <w:kinsoku/>
                    <w:wordWrap/>
                    <w:overflowPunct/>
                    <w:topLinePunct w:val="0"/>
                    <w:autoSpaceDN/>
                    <w:bidi w:val="0"/>
                    <w:adjustRightInd/>
                    <w:snapToGrid/>
                    <w:ind w:left="0" w:leftChars="0" w:right="0" w:rightChars="0"/>
                    <w:jc w:val="center"/>
                    <w:textAlignment w:val="auto"/>
                    <w:rPr>
                      <w:rFonts w:hint="eastAsia" w:eastAsia="宋体"/>
                      <w:color w:val="auto"/>
                      <w:kern w:val="0"/>
                      <w:sz w:val="21"/>
                      <w:szCs w:val="21"/>
                      <w:lang w:val="en-US" w:eastAsia="zh-CN"/>
                    </w:rPr>
                  </w:pPr>
                  <w:r>
                    <w:rPr>
                      <w:rFonts w:hint="eastAsia"/>
                      <w:color w:val="auto"/>
                      <w:kern w:val="0"/>
                      <w:sz w:val="21"/>
                      <w:szCs w:val="21"/>
                      <w:lang w:val="en-US" w:eastAsia="zh-CN"/>
                    </w:rPr>
                    <w:t>/</w:t>
                  </w:r>
                </w:p>
              </w:tc>
              <w:tc>
                <w:tcPr>
                  <w:tcW w:w="1706" w:type="pct"/>
                  <w:tcBorders>
                    <w:tl2br w:val="nil"/>
                    <w:tr2bl w:val="nil"/>
                  </w:tcBorders>
                  <w:vAlign w:val="center"/>
                </w:tcPr>
                <w:p w14:paraId="416F0392">
                  <w:pPr>
                    <w:keepNext w:val="0"/>
                    <w:keepLines w:val="0"/>
                    <w:pageBreakBefore w:val="0"/>
                    <w:widowControl w:val="0"/>
                    <w:kinsoku/>
                    <w:wordWrap/>
                    <w:overflowPunct/>
                    <w:topLinePunct w:val="0"/>
                    <w:autoSpaceDE/>
                    <w:autoSpaceDN/>
                    <w:bidi w:val="0"/>
                    <w:adjustRightInd/>
                    <w:snapToGrid/>
                    <w:ind w:left="0" w:right="0"/>
                    <w:jc w:val="center"/>
                    <w:textAlignment w:val="auto"/>
                    <w:rPr>
                      <w:color w:val="auto"/>
                      <w:sz w:val="21"/>
                      <w:szCs w:val="21"/>
                    </w:rPr>
                  </w:pPr>
                  <w:r>
                    <w:rPr>
                      <w:rFonts w:hint="eastAsia" w:ascii="Times New Roman" w:hAnsi="Times New Roman" w:eastAsia="宋体" w:cs="Times New Roman"/>
                      <w:color w:val="auto"/>
                      <w:spacing w:val="0"/>
                      <w:kern w:val="0"/>
                      <w:position w:val="0"/>
                      <w:sz w:val="21"/>
                      <w:szCs w:val="21"/>
                      <w:highlight w:val="none"/>
                      <w:lang w:val="en-US" w:eastAsia="zh-CN"/>
                    </w:rPr>
                    <w:t>《挥发性有机物无组织排放控制标准》（GB37822-2019）表A.1中排放限值</w:t>
                  </w:r>
                </w:p>
              </w:tc>
            </w:tr>
            <w:tr w14:paraId="477D2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59" w:type="pct"/>
                  <w:vMerge w:val="continue"/>
                  <w:tcBorders>
                    <w:tl2br w:val="nil"/>
                    <w:tr2bl w:val="nil"/>
                  </w:tcBorders>
                  <w:vAlign w:val="center"/>
                </w:tcPr>
                <w:p w14:paraId="3FAB9193">
                  <w:pPr>
                    <w:keepNext w:val="0"/>
                    <w:keepLines w:val="0"/>
                    <w:pageBreakBefore w:val="0"/>
                    <w:widowControl w:val="0"/>
                    <w:kinsoku/>
                    <w:wordWrap/>
                    <w:overflowPunct/>
                    <w:topLinePunct w:val="0"/>
                    <w:autoSpaceDN/>
                    <w:bidi w:val="0"/>
                    <w:adjustRightInd/>
                    <w:snapToGrid/>
                    <w:ind w:left="0" w:right="0"/>
                    <w:jc w:val="center"/>
                    <w:textAlignment w:val="auto"/>
                    <w:rPr>
                      <w:rFonts w:hint="eastAsia"/>
                      <w:color w:val="auto"/>
                      <w:sz w:val="21"/>
                      <w:szCs w:val="21"/>
                      <w:lang w:val="en-US" w:eastAsia="zh-CN"/>
                    </w:rPr>
                  </w:pPr>
                </w:p>
              </w:tc>
              <w:tc>
                <w:tcPr>
                  <w:tcW w:w="822" w:type="pct"/>
                  <w:tcBorders>
                    <w:tl2br w:val="nil"/>
                    <w:tr2bl w:val="nil"/>
                  </w:tcBorders>
                  <w:vAlign w:val="center"/>
                </w:tcPr>
                <w:p w14:paraId="51CF64F2">
                  <w:pPr>
                    <w:pStyle w:val="21"/>
                    <w:keepNext w:val="0"/>
                    <w:keepLines w:val="0"/>
                    <w:pageBreakBefore w:val="0"/>
                    <w:widowControl w:val="0"/>
                    <w:kinsoku/>
                    <w:wordWrap/>
                    <w:overflowPunct/>
                    <w:topLinePunct w:val="0"/>
                    <w:autoSpaceDN/>
                    <w:bidi w:val="0"/>
                    <w:adjustRightInd/>
                    <w:snapToGrid/>
                    <w:spacing w:before="0" w:beforeAutospacing="0" w:after="0" w:afterAutospacing="0"/>
                    <w:ind w:left="0" w:leftChars="0" w:right="0" w:rightChars="0"/>
                    <w:jc w:val="center"/>
                    <w:textAlignment w:val="auto"/>
                    <w:rPr>
                      <w:rFonts w:ascii="Times New Roman" w:hAnsi="Times New Roman"/>
                      <w:color w:val="auto"/>
                      <w:kern w:val="2"/>
                      <w:sz w:val="21"/>
                      <w:szCs w:val="21"/>
                    </w:rPr>
                  </w:pPr>
                  <w:r>
                    <w:rPr>
                      <w:rFonts w:hint="eastAsia" w:ascii="Times New Roman" w:hAnsi="Times New Roman" w:eastAsia="宋体" w:cs="Times New Roman"/>
                      <w:color w:val="auto"/>
                      <w:spacing w:val="0"/>
                      <w:kern w:val="0"/>
                      <w:position w:val="0"/>
                      <w:sz w:val="21"/>
                      <w:szCs w:val="21"/>
                      <w:highlight w:val="none"/>
                      <w:lang w:val="en-US" w:eastAsia="zh-CN"/>
                    </w:rPr>
                    <w:t>厂界非甲烷总烃</w:t>
                  </w:r>
                </w:p>
              </w:tc>
              <w:tc>
                <w:tcPr>
                  <w:tcW w:w="894" w:type="pct"/>
                  <w:tcBorders>
                    <w:tl2br w:val="nil"/>
                    <w:tr2bl w:val="nil"/>
                  </w:tcBorders>
                  <w:vAlign w:val="center"/>
                </w:tcPr>
                <w:p w14:paraId="3FB3B52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color w:val="auto"/>
                      <w:sz w:val="21"/>
                      <w:szCs w:val="21"/>
                      <w:lang w:val="en-US" w:eastAsia="zh-CN"/>
                    </w:rPr>
                  </w:pPr>
                  <w:r>
                    <w:rPr>
                      <w:rFonts w:hint="eastAsia" w:ascii="Times New Roman" w:hAnsi="Times New Roman" w:cs="Times New Roman"/>
                      <w:color w:val="auto"/>
                      <w:spacing w:val="0"/>
                      <w:position w:val="0"/>
                      <w:sz w:val="21"/>
                      <w:szCs w:val="21"/>
                      <w:highlight w:val="none"/>
                      <w:lang w:val="en-US" w:eastAsia="zh-CN"/>
                    </w:rPr>
                    <w:t>4</w:t>
                  </w:r>
                </w:p>
              </w:tc>
              <w:tc>
                <w:tcPr>
                  <w:tcW w:w="605" w:type="pct"/>
                  <w:tcBorders>
                    <w:tl2br w:val="nil"/>
                    <w:tr2bl w:val="nil"/>
                  </w:tcBorders>
                  <w:vAlign w:val="center"/>
                </w:tcPr>
                <w:p w14:paraId="2667D4F8">
                  <w:pPr>
                    <w:keepNext w:val="0"/>
                    <w:keepLines w:val="0"/>
                    <w:pageBreakBefore w:val="0"/>
                    <w:widowControl w:val="0"/>
                    <w:kinsoku/>
                    <w:wordWrap/>
                    <w:overflowPunct/>
                    <w:topLinePunct w:val="0"/>
                    <w:autoSpaceDN/>
                    <w:bidi w:val="0"/>
                    <w:adjustRightInd/>
                    <w:snapToGrid/>
                    <w:ind w:left="0" w:leftChars="0" w:right="0" w:rightChars="0"/>
                    <w:jc w:val="center"/>
                    <w:textAlignment w:val="auto"/>
                    <w:rPr>
                      <w:color w:val="auto"/>
                      <w:kern w:val="0"/>
                      <w:sz w:val="21"/>
                      <w:szCs w:val="21"/>
                    </w:rPr>
                  </w:pPr>
                  <w:r>
                    <w:rPr>
                      <w:color w:val="auto"/>
                      <w:kern w:val="0"/>
                      <w:sz w:val="21"/>
                      <w:szCs w:val="21"/>
                    </w:rPr>
                    <w:t>mg/m</w:t>
                  </w:r>
                  <w:r>
                    <w:rPr>
                      <w:color w:val="auto"/>
                      <w:kern w:val="0"/>
                      <w:sz w:val="21"/>
                      <w:szCs w:val="21"/>
                      <w:vertAlign w:val="superscript"/>
                    </w:rPr>
                    <w:t>3</w:t>
                  </w:r>
                </w:p>
              </w:tc>
              <w:tc>
                <w:tcPr>
                  <w:tcW w:w="511" w:type="pct"/>
                  <w:tcBorders>
                    <w:tl2br w:val="nil"/>
                    <w:tr2bl w:val="nil"/>
                  </w:tcBorders>
                  <w:vAlign w:val="center"/>
                </w:tcPr>
                <w:p w14:paraId="62858A5C">
                  <w:pPr>
                    <w:keepNext w:val="0"/>
                    <w:keepLines w:val="0"/>
                    <w:pageBreakBefore w:val="0"/>
                    <w:widowControl w:val="0"/>
                    <w:kinsoku/>
                    <w:wordWrap/>
                    <w:overflowPunct/>
                    <w:topLinePunct w:val="0"/>
                    <w:autoSpaceDN/>
                    <w:bidi w:val="0"/>
                    <w:adjustRightInd/>
                    <w:snapToGrid/>
                    <w:ind w:left="0" w:leftChars="0" w:right="0" w:rightChars="0"/>
                    <w:jc w:val="center"/>
                    <w:textAlignment w:val="auto"/>
                    <w:rPr>
                      <w:rFonts w:hint="eastAsia" w:eastAsia="宋体"/>
                      <w:color w:val="auto"/>
                      <w:kern w:val="0"/>
                      <w:sz w:val="21"/>
                      <w:szCs w:val="21"/>
                      <w:lang w:val="en-US" w:eastAsia="zh-CN"/>
                    </w:rPr>
                  </w:pPr>
                  <w:r>
                    <w:rPr>
                      <w:rFonts w:hint="eastAsia"/>
                      <w:color w:val="auto"/>
                      <w:kern w:val="0"/>
                      <w:sz w:val="21"/>
                      <w:szCs w:val="21"/>
                      <w:lang w:val="en-US" w:eastAsia="zh-CN"/>
                    </w:rPr>
                    <w:t>/</w:t>
                  </w:r>
                </w:p>
              </w:tc>
              <w:tc>
                <w:tcPr>
                  <w:tcW w:w="1706" w:type="pct"/>
                  <w:tcBorders>
                    <w:tl2br w:val="nil"/>
                    <w:tr2bl w:val="nil"/>
                  </w:tcBorders>
                  <w:vAlign w:val="center"/>
                </w:tcPr>
                <w:p w14:paraId="0C230005">
                  <w:pPr>
                    <w:keepNext w:val="0"/>
                    <w:keepLines w:val="0"/>
                    <w:pageBreakBefore w:val="0"/>
                    <w:widowControl w:val="0"/>
                    <w:kinsoku/>
                    <w:wordWrap/>
                    <w:overflowPunct/>
                    <w:topLinePunct w:val="0"/>
                    <w:autoSpaceDE/>
                    <w:autoSpaceDN/>
                    <w:bidi w:val="0"/>
                    <w:adjustRightInd/>
                    <w:snapToGrid/>
                    <w:ind w:left="0" w:right="0"/>
                    <w:jc w:val="center"/>
                    <w:textAlignment w:val="auto"/>
                    <w:rPr>
                      <w:color w:val="auto"/>
                      <w:sz w:val="21"/>
                      <w:szCs w:val="21"/>
                    </w:rPr>
                  </w:pPr>
                  <w:r>
                    <w:rPr>
                      <w:rFonts w:hint="default" w:ascii="Times New Roman" w:hAnsi="Times New Roman" w:eastAsia="宋体" w:cs="Times New Roman"/>
                      <w:color w:val="auto"/>
                      <w:spacing w:val="0"/>
                      <w:kern w:val="0"/>
                      <w:position w:val="0"/>
                      <w:sz w:val="21"/>
                      <w:szCs w:val="21"/>
                      <w:highlight w:val="none"/>
                      <w:lang w:val="en-US" w:eastAsia="zh-CN"/>
                    </w:rPr>
                    <w:t>《合成树脂工业污染物排放标准》</w:t>
                  </w:r>
                  <w:r>
                    <w:rPr>
                      <w:rFonts w:hint="eastAsia" w:ascii="Times New Roman" w:hAnsi="Times New Roman" w:eastAsia="宋体" w:cs="Times New Roman"/>
                      <w:color w:val="auto"/>
                      <w:spacing w:val="0"/>
                      <w:kern w:val="0"/>
                      <w:position w:val="0"/>
                      <w:sz w:val="21"/>
                      <w:szCs w:val="21"/>
                      <w:highlight w:val="none"/>
                      <w:lang w:val="en-US" w:eastAsia="zh-CN"/>
                    </w:rPr>
                    <w:t>（含2024年修改单）</w:t>
                  </w:r>
                  <w:r>
                    <w:rPr>
                      <w:rFonts w:hint="default" w:ascii="Times New Roman" w:hAnsi="Times New Roman" w:eastAsia="宋体" w:cs="Times New Roman"/>
                      <w:color w:val="auto"/>
                      <w:spacing w:val="0"/>
                      <w:kern w:val="0"/>
                      <w:position w:val="0"/>
                      <w:sz w:val="21"/>
                      <w:szCs w:val="21"/>
                      <w:highlight w:val="none"/>
                      <w:lang w:val="en-US" w:eastAsia="zh-CN"/>
                    </w:rPr>
                    <w:t>（GB31572-2015）中表9企业边界大气污染物浓度限值</w:t>
                  </w:r>
                </w:p>
              </w:tc>
            </w:tr>
          </w:tbl>
          <w:p w14:paraId="4AEDED2B">
            <w:pPr>
              <w:pStyle w:val="4"/>
              <w:rPr>
                <w:sz w:val="24"/>
                <w:szCs w:val="24"/>
              </w:rPr>
            </w:pPr>
            <w:r>
              <w:rPr>
                <w:rFonts w:hint="eastAsia"/>
                <w:sz w:val="24"/>
                <w:szCs w:val="24"/>
              </w:rPr>
              <w:t>2.</w:t>
            </w:r>
            <w:r>
              <w:rPr>
                <w:sz w:val="24"/>
                <w:szCs w:val="24"/>
              </w:rPr>
              <w:t>运营期废水</w:t>
            </w:r>
          </w:p>
          <w:p w14:paraId="570CD3AE">
            <w:pPr>
              <w:spacing w:line="360" w:lineRule="auto"/>
              <w:ind w:firstLine="480" w:firstLineChars="200"/>
              <w:rPr>
                <w:sz w:val="24"/>
                <w:szCs w:val="24"/>
              </w:rPr>
            </w:pPr>
            <w:r>
              <w:rPr>
                <w:rFonts w:hint="eastAsia"/>
                <w:sz w:val="24"/>
                <w:szCs w:val="24"/>
              </w:rPr>
              <w:t>本项目运营期无生产污水排放，</w:t>
            </w:r>
            <w:r>
              <w:rPr>
                <w:color w:val="000000"/>
                <w:sz w:val="24"/>
                <w:szCs w:val="24"/>
              </w:rPr>
              <w:t>生活污水</w:t>
            </w:r>
            <w:r>
              <w:rPr>
                <w:rFonts w:hint="eastAsia"/>
                <w:color w:val="000000"/>
                <w:sz w:val="24"/>
                <w:szCs w:val="24"/>
              </w:rPr>
              <w:t>执行</w:t>
            </w:r>
            <w:r>
              <w:rPr>
                <w:sz w:val="24"/>
                <w:szCs w:val="24"/>
              </w:rPr>
              <w:t>《污水综合排放标准》（GB8978-1996）中三级标准</w:t>
            </w:r>
            <w:r>
              <w:rPr>
                <w:rFonts w:hint="eastAsia"/>
                <w:sz w:val="24"/>
                <w:szCs w:val="24"/>
              </w:rPr>
              <w:t>。</w:t>
            </w:r>
          </w:p>
          <w:p w14:paraId="22F15B44">
            <w:pPr>
              <w:spacing w:line="360" w:lineRule="auto"/>
              <w:rPr>
                <w:b/>
                <w:bCs/>
                <w:sz w:val="24"/>
                <w:szCs w:val="24"/>
              </w:rPr>
            </w:pPr>
            <w:r>
              <w:rPr>
                <w:rFonts w:hint="eastAsia"/>
                <w:b/>
                <w:bCs/>
                <w:sz w:val="24"/>
                <w:szCs w:val="24"/>
              </w:rPr>
              <w:t>3.</w:t>
            </w:r>
            <w:r>
              <w:rPr>
                <w:b/>
                <w:bCs/>
                <w:sz w:val="24"/>
                <w:szCs w:val="24"/>
              </w:rPr>
              <w:t>运营期噪声</w:t>
            </w:r>
          </w:p>
          <w:p w14:paraId="722F061E">
            <w:pPr>
              <w:spacing w:line="360" w:lineRule="auto"/>
              <w:ind w:firstLine="480" w:firstLineChars="200"/>
              <w:rPr>
                <w:sz w:val="24"/>
                <w:szCs w:val="24"/>
              </w:rPr>
            </w:pPr>
            <w:r>
              <w:rPr>
                <w:sz w:val="24"/>
                <w:szCs w:val="24"/>
              </w:rPr>
              <w:t>噪声排放标准执行《工业企业厂界环境噪声排放标准》（GB12348-2008）中</w:t>
            </w:r>
            <w:r>
              <w:rPr>
                <w:rFonts w:hint="eastAsia"/>
                <w:sz w:val="24"/>
                <w:szCs w:val="24"/>
              </w:rPr>
              <w:t>3</w:t>
            </w:r>
            <w:r>
              <w:rPr>
                <w:sz w:val="24"/>
                <w:szCs w:val="24"/>
              </w:rPr>
              <w:t>类标准</w:t>
            </w:r>
            <w:r>
              <w:rPr>
                <w:rFonts w:hint="eastAsia"/>
                <w:sz w:val="24"/>
                <w:szCs w:val="24"/>
              </w:rPr>
              <w:t>，</w:t>
            </w:r>
            <w:r>
              <w:rPr>
                <w:sz w:val="24"/>
                <w:szCs w:val="24"/>
              </w:rPr>
              <w:t>即昼间6</w:t>
            </w:r>
            <w:r>
              <w:rPr>
                <w:rFonts w:hint="eastAsia"/>
                <w:sz w:val="24"/>
                <w:szCs w:val="24"/>
              </w:rPr>
              <w:t>5</w:t>
            </w:r>
            <w:r>
              <w:rPr>
                <w:sz w:val="24"/>
                <w:szCs w:val="24"/>
              </w:rPr>
              <w:t>dB（A），夜间5</w:t>
            </w:r>
            <w:r>
              <w:rPr>
                <w:rFonts w:hint="eastAsia"/>
                <w:sz w:val="24"/>
                <w:szCs w:val="24"/>
              </w:rPr>
              <w:t>5</w:t>
            </w:r>
            <w:r>
              <w:rPr>
                <w:sz w:val="24"/>
                <w:szCs w:val="24"/>
              </w:rPr>
              <w:t>dB（A）。</w:t>
            </w:r>
          </w:p>
          <w:p w14:paraId="18ABE94C">
            <w:pPr>
              <w:pStyle w:val="7"/>
              <w:spacing w:line="240" w:lineRule="auto"/>
              <w:ind w:firstLine="0" w:firstLineChars="0"/>
              <w:jc w:val="center"/>
              <w:rPr>
                <w:b/>
                <w:szCs w:val="21"/>
              </w:rPr>
            </w:pPr>
            <w:r>
              <w:rPr>
                <w:rFonts w:hint="eastAsia"/>
                <w:b/>
                <w:szCs w:val="21"/>
              </w:rPr>
              <w:t xml:space="preserve">表3-6   </w:t>
            </w:r>
            <w:r>
              <w:rPr>
                <w:b/>
                <w:szCs w:val="21"/>
              </w:rPr>
              <w:t>噪声评价标准 单位：dB（A）</w:t>
            </w:r>
          </w:p>
          <w:tbl>
            <w:tblPr>
              <w:tblStyle w:val="24"/>
              <w:tblW w:w="8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1"/>
              <w:gridCol w:w="1239"/>
              <w:gridCol w:w="1238"/>
              <w:gridCol w:w="1239"/>
            </w:tblGrid>
            <w:tr w14:paraId="66BE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4621" w:type="dxa"/>
                  <w:tcBorders>
                    <w:tl2br w:val="nil"/>
                    <w:tr2bl w:val="nil"/>
                  </w:tcBorders>
                  <w:noWrap/>
                  <w:vAlign w:val="center"/>
                </w:tcPr>
                <w:p w14:paraId="14CFCD54">
                  <w:pPr>
                    <w:jc w:val="center"/>
                  </w:pPr>
                  <w:r>
                    <w:t>采用标准</w:t>
                  </w:r>
                </w:p>
              </w:tc>
              <w:tc>
                <w:tcPr>
                  <w:tcW w:w="1239" w:type="dxa"/>
                  <w:tcBorders>
                    <w:tl2br w:val="nil"/>
                    <w:tr2bl w:val="nil"/>
                  </w:tcBorders>
                  <w:noWrap/>
                  <w:vAlign w:val="center"/>
                </w:tcPr>
                <w:p w14:paraId="0E7D2A16">
                  <w:pPr>
                    <w:jc w:val="center"/>
                  </w:pPr>
                  <w:r>
                    <w:t>类别</w:t>
                  </w:r>
                </w:p>
              </w:tc>
              <w:tc>
                <w:tcPr>
                  <w:tcW w:w="1238" w:type="dxa"/>
                  <w:tcBorders>
                    <w:tl2br w:val="nil"/>
                    <w:tr2bl w:val="nil"/>
                  </w:tcBorders>
                  <w:noWrap/>
                  <w:vAlign w:val="center"/>
                </w:tcPr>
                <w:p w14:paraId="56B0EE30">
                  <w:pPr>
                    <w:jc w:val="center"/>
                  </w:pPr>
                  <w:r>
                    <w:t>昼  间</w:t>
                  </w:r>
                </w:p>
              </w:tc>
              <w:tc>
                <w:tcPr>
                  <w:tcW w:w="1239" w:type="dxa"/>
                  <w:tcBorders>
                    <w:tl2br w:val="nil"/>
                    <w:tr2bl w:val="nil"/>
                  </w:tcBorders>
                  <w:noWrap/>
                  <w:vAlign w:val="center"/>
                </w:tcPr>
                <w:p w14:paraId="6E99B29F">
                  <w:pPr>
                    <w:jc w:val="center"/>
                  </w:pPr>
                  <w:r>
                    <w:t>夜  间</w:t>
                  </w:r>
                </w:p>
              </w:tc>
            </w:tr>
            <w:tr w14:paraId="1B5A4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621" w:type="dxa"/>
                  <w:tcBorders>
                    <w:tl2br w:val="nil"/>
                    <w:tr2bl w:val="nil"/>
                  </w:tcBorders>
                  <w:noWrap/>
                  <w:vAlign w:val="center"/>
                </w:tcPr>
                <w:p w14:paraId="4A55A339">
                  <w:pPr>
                    <w:jc w:val="center"/>
                  </w:pPr>
                  <w:r>
                    <w:t>工业企业厂界环境噪声排放标准</w:t>
                  </w:r>
                </w:p>
              </w:tc>
              <w:tc>
                <w:tcPr>
                  <w:tcW w:w="1239" w:type="dxa"/>
                  <w:tcBorders>
                    <w:tl2br w:val="nil"/>
                    <w:tr2bl w:val="nil"/>
                  </w:tcBorders>
                  <w:noWrap/>
                  <w:vAlign w:val="center"/>
                </w:tcPr>
                <w:p w14:paraId="04AC4BB4">
                  <w:pPr>
                    <w:jc w:val="center"/>
                  </w:pPr>
                  <w:r>
                    <w:rPr>
                      <w:rFonts w:hint="eastAsia"/>
                    </w:rPr>
                    <w:t>3</w:t>
                  </w:r>
                </w:p>
              </w:tc>
              <w:tc>
                <w:tcPr>
                  <w:tcW w:w="1238" w:type="dxa"/>
                  <w:tcBorders>
                    <w:tl2br w:val="nil"/>
                    <w:tr2bl w:val="nil"/>
                  </w:tcBorders>
                  <w:noWrap/>
                  <w:vAlign w:val="center"/>
                </w:tcPr>
                <w:p w14:paraId="0C4050A2">
                  <w:pPr>
                    <w:jc w:val="center"/>
                  </w:pPr>
                  <w:r>
                    <w:t>65</w:t>
                  </w:r>
                </w:p>
              </w:tc>
              <w:tc>
                <w:tcPr>
                  <w:tcW w:w="1239" w:type="dxa"/>
                  <w:tcBorders>
                    <w:tl2br w:val="nil"/>
                    <w:tr2bl w:val="nil"/>
                  </w:tcBorders>
                  <w:noWrap/>
                  <w:vAlign w:val="center"/>
                </w:tcPr>
                <w:p w14:paraId="208E544A">
                  <w:pPr>
                    <w:jc w:val="center"/>
                  </w:pPr>
                  <w:r>
                    <w:t>5</w:t>
                  </w:r>
                  <w:r>
                    <w:rPr>
                      <w:rFonts w:hint="eastAsia"/>
                    </w:rPr>
                    <w:t>5</w:t>
                  </w:r>
                </w:p>
              </w:tc>
            </w:tr>
          </w:tbl>
          <w:p w14:paraId="035869E3">
            <w:pPr>
              <w:spacing w:line="360" w:lineRule="auto"/>
              <w:rPr>
                <w:b/>
                <w:bCs/>
                <w:sz w:val="24"/>
                <w:szCs w:val="24"/>
              </w:rPr>
            </w:pPr>
            <w:r>
              <w:rPr>
                <w:b/>
                <w:bCs/>
                <w:sz w:val="24"/>
                <w:szCs w:val="24"/>
              </w:rPr>
              <w:t>4</w:t>
            </w:r>
            <w:r>
              <w:rPr>
                <w:rFonts w:hint="eastAsia"/>
                <w:b/>
                <w:bCs/>
                <w:sz w:val="24"/>
                <w:szCs w:val="24"/>
              </w:rPr>
              <w:t>.</w:t>
            </w:r>
            <w:r>
              <w:rPr>
                <w:b/>
                <w:bCs/>
                <w:sz w:val="24"/>
                <w:szCs w:val="24"/>
              </w:rPr>
              <w:t>运营期固废</w:t>
            </w:r>
          </w:p>
          <w:p w14:paraId="11682486">
            <w:pPr>
              <w:spacing w:line="360" w:lineRule="auto"/>
              <w:ind w:firstLine="480" w:firstLineChars="200"/>
              <w:rPr>
                <w:kern w:val="0"/>
              </w:rPr>
            </w:pPr>
            <w:r>
              <w:rPr>
                <w:sz w:val="24"/>
                <w:szCs w:val="24"/>
              </w:rPr>
              <w:t>一般固废执行《一般工业固体废物贮存和填埋污染控制标准》(GB18599-20</w:t>
            </w:r>
            <w:r>
              <w:rPr>
                <w:rFonts w:hint="eastAsia"/>
                <w:sz w:val="24"/>
                <w:szCs w:val="24"/>
              </w:rPr>
              <w:t>20</w:t>
            </w:r>
            <w:r>
              <w:rPr>
                <w:sz w:val="24"/>
                <w:szCs w:val="24"/>
              </w:rPr>
              <w:t>)中相关标准</w:t>
            </w:r>
            <w:r>
              <w:rPr>
                <w:rFonts w:hint="eastAsia"/>
                <w:color w:val="auto"/>
                <w:sz w:val="24"/>
                <w:szCs w:val="24"/>
                <w:lang w:eastAsia="zh-CN"/>
              </w:rPr>
              <w:t>；</w:t>
            </w:r>
            <w:r>
              <w:rPr>
                <w:rFonts w:hint="eastAsia"/>
                <w:color w:val="auto"/>
                <w:sz w:val="24"/>
                <w:szCs w:val="24"/>
                <w:lang w:val="en-US" w:eastAsia="zh-CN"/>
              </w:rPr>
              <w:t>危险废物执行</w:t>
            </w:r>
            <w:r>
              <w:rPr>
                <w:rFonts w:hint="default" w:ascii="Times New Roman" w:hAnsi="Times New Roman" w:eastAsia="宋体" w:cs="Times New Roman"/>
                <w:b w:val="0"/>
                <w:bCs/>
                <w:color w:val="auto"/>
                <w:sz w:val="24"/>
                <w:szCs w:val="24"/>
                <w:lang w:eastAsia="zh-CN"/>
              </w:rPr>
              <w:t>《危险废物贮存污染控制标准》（GB18597-20</w:t>
            </w:r>
            <w:r>
              <w:rPr>
                <w:rFonts w:hint="eastAsia" w:cs="Times New Roman"/>
                <w:b w:val="0"/>
                <w:bCs/>
                <w:color w:val="auto"/>
                <w:sz w:val="24"/>
                <w:szCs w:val="24"/>
                <w:lang w:val="en-US" w:eastAsia="zh-CN"/>
              </w:rPr>
              <w:t>23</w:t>
            </w:r>
            <w:r>
              <w:rPr>
                <w:rFonts w:hint="default" w:ascii="Times New Roman" w:hAnsi="Times New Roman" w:eastAsia="宋体" w:cs="Times New Roman"/>
                <w:b w:val="0"/>
                <w:bCs/>
                <w:color w:val="auto"/>
                <w:sz w:val="24"/>
                <w:szCs w:val="24"/>
                <w:lang w:eastAsia="zh-CN"/>
              </w:rPr>
              <w:t>）有关规定</w:t>
            </w:r>
            <w:r>
              <w:rPr>
                <w:sz w:val="24"/>
                <w:szCs w:val="24"/>
              </w:rPr>
              <w:t>。</w:t>
            </w:r>
          </w:p>
        </w:tc>
      </w:tr>
      <w:tr w14:paraId="004136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456" w:type="dxa"/>
            <w:tcMar>
              <w:left w:w="28" w:type="dxa"/>
              <w:right w:w="28" w:type="dxa"/>
            </w:tcMar>
            <w:vAlign w:val="center"/>
          </w:tcPr>
          <w:p w14:paraId="5D35AD2E">
            <w:pPr>
              <w:jc w:val="center"/>
              <w:rPr>
                <w:kern w:val="0"/>
                <w:sz w:val="24"/>
                <w:szCs w:val="24"/>
              </w:rPr>
            </w:pPr>
            <w:r>
              <w:rPr>
                <w:kern w:val="0"/>
                <w:sz w:val="24"/>
                <w:szCs w:val="24"/>
              </w:rPr>
              <w:t>总量</w:t>
            </w:r>
          </w:p>
          <w:p w14:paraId="23D2AE9D">
            <w:pPr>
              <w:jc w:val="center"/>
              <w:rPr>
                <w:kern w:val="0"/>
                <w:sz w:val="24"/>
                <w:szCs w:val="24"/>
              </w:rPr>
            </w:pPr>
            <w:r>
              <w:rPr>
                <w:kern w:val="0"/>
                <w:sz w:val="24"/>
                <w:szCs w:val="24"/>
              </w:rPr>
              <w:t>控制</w:t>
            </w:r>
          </w:p>
          <w:p w14:paraId="169C4A31">
            <w:pPr>
              <w:jc w:val="center"/>
              <w:rPr>
                <w:kern w:val="0"/>
                <w:sz w:val="24"/>
                <w:szCs w:val="24"/>
              </w:rPr>
            </w:pPr>
            <w:r>
              <w:rPr>
                <w:kern w:val="0"/>
                <w:sz w:val="24"/>
                <w:szCs w:val="24"/>
              </w:rPr>
              <w:t>指标</w:t>
            </w:r>
          </w:p>
        </w:tc>
        <w:tc>
          <w:tcPr>
            <w:tcW w:w="8553" w:type="dxa"/>
            <w:vAlign w:val="center"/>
          </w:tcPr>
          <w:p w14:paraId="42E64F49">
            <w:pPr>
              <w:spacing w:line="360" w:lineRule="auto"/>
              <w:ind w:firstLine="480" w:firstLineChars="200"/>
              <w:rPr>
                <w:rFonts w:ascii="Times New Roman" w:hAnsi="Times New Roman"/>
                <w:sz w:val="24"/>
                <w:szCs w:val="24"/>
                <w:highlight w:val="none"/>
                <w:lang w:val="en-US" w:eastAsia="zh-CN"/>
              </w:rPr>
            </w:pPr>
            <w:r>
              <w:rPr>
                <w:sz w:val="24"/>
                <w:szCs w:val="24"/>
              </w:rPr>
              <w:t>根据国家总量控制指标，并结合本项目排污特点、所在区域环境质量现状等因素综合考虑，</w:t>
            </w:r>
            <w:r>
              <w:rPr>
                <w:rFonts w:ascii="Times New Roman" w:hAnsi="Times New Roman"/>
                <w:sz w:val="24"/>
                <w:szCs w:val="24"/>
                <w:highlight w:val="none"/>
                <w:lang w:val="en-US" w:eastAsia="zh-CN"/>
              </w:rPr>
              <w:t>本项目总量控制指标为：</w:t>
            </w:r>
          </w:p>
          <w:p w14:paraId="60548214">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color w:val="auto"/>
                <w:kern w:val="0"/>
                <w:sz w:val="24"/>
                <w:szCs w:val="24"/>
                <w:lang w:val="en-US" w:eastAsia="zh-CN" w:bidi="ar"/>
              </w:rPr>
              <w:t>项目在运行过程中产生</w:t>
            </w:r>
            <w:r>
              <w:rPr>
                <w:rFonts w:hint="eastAsia" w:ascii="Times New Roman" w:hAnsi="Times New Roman" w:cs="Times New Roman"/>
                <w:color w:val="auto"/>
                <w:kern w:val="0"/>
                <w:sz w:val="24"/>
                <w:szCs w:val="24"/>
                <w:lang w:val="en-US" w:eastAsia="zh-CN" w:bidi="ar"/>
              </w:rPr>
              <w:t>的</w:t>
            </w:r>
            <w:r>
              <w:rPr>
                <w:rFonts w:hint="default" w:ascii="Times New Roman" w:hAnsi="Times New Roman" w:eastAsia="宋体" w:cs="Times New Roman"/>
                <w:color w:val="auto"/>
                <w:kern w:val="0"/>
                <w:sz w:val="24"/>
                <w:szCs w:val="24"/>
                <w:lang w:val="en-US" w:eastAsia="zh-CN" w:bidi="ar"/>
              </w:rPr>
              <w:t>主要污染因子产生量是</w:t>
            </w:r>
            <w:r>
              <w:rPr>
                <w:rFonts w:hint="default" w:ascii="Times New Roman" w:hAnsi="Times New Roman" w:eastAsia="宋体" w:cs="Times New Roman"/>
                <w:sz w:val="24"/>
                <w:szCs w:val="24"/>
                <w:highlight w:val="none"/>
                <w:lang w:val="en-US" w:eastAsia="zh-CN"/>
              </w:rPr>
              <w:t>：颗粒物</w:t>
            </w:r>
            <w:r>
              <w:rPr>
                <w:rFonts w:hint="eastAsia" w:ascii="Times New Roman" w:hAnsi="Times New Roman" w:eastAsia="宋体" w:cs="Times New Roman"/>
                <w:sz w:val="24"/>
                <w:szCs w:val="24"/>
                <w:highlight w:val="none"/>
                <w:lang w:val="en-US" w:eastAsia="zh-CN"/>
              </w:rPr>
              <w:t>1.659</w:t>
            </w:r>
            <w:r>
              <w:rPr>
                <w:rFonts w:hint="default" w:ascii="Times New Roman" w:hAnsi="Times New Roman" w:eastAsia="宋体" w:cs="Times New Roman"/>
                <w:sz w:val="24"/>
                <w:szCs w:val="24"/>
                <w:highlight w:val="none"/>
                <w:lang w:val="en-US" w:eastAsia="zh-CN"/>
              </w:rPr>
              <w:t>t/a、</w:t>
            </w:r>
            <w:r>
              <w:rPr>
                <w:rFonts w:hint="eastAsia" w:ascii="Times New Roman" w:hAnsi="Times New Roman" w:eastAsia="宋体" w:cs="Times New Roman"/>
                <w:sz w:val="24"/>
                <w:szCs w:val="24"/>
                <w:highlight w:val="none"/>
                <w:lang w:val="en-US" w:eastAsia="zh-CN"/>
              </w:rPr>
              <w:t>非甲烷总烃0.1</w:t>
            </w:r>
            <w:r>
              <w:rPr>
                <w:rFonts w:hint="default" w:ascii="Times New Roman" w:hAnsi="Times New Roman" w:eastAsia="宋体" w:cs="Times New Roman"/>
                <w:sz w:val="24"/>
                <w:szCs w:val="24"/>
                <w:highlight w:val="none"/>
                <w:lang w:val="en-US" w:eastAsia="zh-CN"/>
              </w:rPr>
              <w:t>t/a。</w:t>
            </w:r>
          </w:p>
          <w:p w14:paraId="4A123E66">
            <w:pPr>
              <w:spacing w:line="360" w:lineRule="auto"/>
              <w:ind w:firstLine="480" w:firstLineChars="200"/>
              <w:rPr>
                <w:kern w:val="0"/>
                <w:sz w:val="24"/>
                <w:szCs w:val="24"/>
              </w:rPr>
            </w:pPr>
          </w:p>
          <w:p w14:paraId="4115A412">
            <w:pPr>
              <w:spacing w:line="360" w:lineRule="auto"/>
              <w:ind w:firstLine="480" w:firstLineChars="200"/>
              <w:rPr>
                <w:kern w:val="0"/>
                <w:sz w:val="24"/>
                <w:szCs w:val="24"/>
              </w:rPr>
            </w:pPr>
          </w:p>
          <w:p w14:paraId="0F91E9BA">
            <w:pPr>
              <w:spacing w:line="360" w:lineRule="auto"/>
              <w:ind w:firstLine="480" w:firstLineChars="200"/>
              <w:rPr>
                <w:kern w:val="0"/>
                <w:sz w:val="24"/>
                <w:szCs w:val="24"/>
              </w:rPr>
            </w:pPr>
          </w:p>
          <w:p w14:paraId="033D6807">
            <w:pPr>
              <w:spacing w:line="360" w:lineRule="auto"/>
              <w:ind w:firstLine="480" w:firstLineChars="200"/>
              <w:rPr>
                <w:kern w:val="0"/>
                <w:sz w:val="24"/>
                <w:szCs w:val="24"/>
              </w:rPr>
            </w:pPr>
          </w:p>
          <w:p w14:paraId="24A9847B">
            <w:pPr>
              <w:spacing w:line="360" w:lineRule="auto"/>
              <w:ind w:firstLine="480" w:firstLineChars="200"/>
              <w:rPr>
                <w:kern w:val="0"/>
                <w:sz w:val="24"/>
                <w:szCs w:val="24"/>
              </w:rPr>
            </w:pPr>
          </w:p>
          <w:p w14:paraId="03142004">
            <w:pPr>
              <w:spacing w:line="360" w:lineRule="auto"/>
              <w:ind w:firstLine="480" w:firstLineChars="200"/>
              <w:rPr>
                <w:kern w:val="0"/>
                <w:sz w:val="24"/>
                <w:szCs w:val="24"/>
              </w:rPr>
            </w:pPr>
          </w:p>
          <w:p w14:paraId="2A339975">
            <w:pPr>
              <w:spacing w:line="360" w:lineRule="auto"/>
              <w:ind w:firstLine="480" w:firstLineChars="200"/>
              <w:rPr>
                <w:kern w:val="0"/>
                <w:sz w:val="24"/>
                <w:szCs w:val="24"/>
              </w:rPr>
            </w:pPr>
          </w:p>
          <w:p w14:paraId="0A564158">
            <w:pPr>
              <w:spacing w:line="360" w:lineRule="auto"/>
              <w:ind w:firstLine="480" w:firstLineChars="200"/>
              <w:rPr>
                <w:kern w:val="0"/>
                <w:sz w:val="24"/>
                <w:szCs w:val="24"/>
              </w:rPr>
            </w:pPr>
          </w:p>
          <w:p w14:paraId="50EB9C2F">
            <w:pPr>
              <w:spacing w:line="360" w:lineRule="auto"/>
              <w:ind w:firstLine="480" w:firstLineChars="200"/>
              <w:rPr>
                <w:kern w:val="0"/>
                <w:sz w:val="24"/>
                <w:szCs w:val="24"/>
              </w:rPr>
            </w:pPr>
          </w:p>
          <w:p w14:paraId="103A390F">
            <w:pPr>
              <w:spacing w:line="360" w:lineRule="auto"/>
              <w:ind w:firstLine="480" w:firstLineChars="200"/>
              <w:rPr>
                <w:kern w:val="0"/>
                <w:sz w:val="24"/>
                <w:szCs w:val="24"/>
              </w:rPr>
            </w:pPr>
          </w:p>
          <w:p w14:paraId="69D0F309">
            <w:pPr>
              <w:spacing w:line="360" w:lineRule="auto"/>
              <w:rPr>
                <w:kern w:val="0"/>
                <w:sz w:val="24"/>
                <w:szCs w:val="24"/>
              </w:rPr>
            </w:pPr>
          </w:p>
        </w:tc>
      </w:tr>
    </w:tbl>
    <w:p w14:paraId="3194E4FF">
      <w:pPr>
        <w:pStyle w:val="21"/>
        <w:keepNext/>
        <w:widowControl w:val="0"/>
        <w:spacing w:before="0" w:beforeAutospacing="0" w:after="0" w:afterAutospacing="0"/>
        <w:jc w:val="center"/>
        <w:outlineLvl w:val="0"/>
        <w:rPr>
          <w:rFonts w:ascii="Times New Roman" w:hAnsi="Times New Roman"/>
          <w:b/>
          <w:bCs/>
          <w:snapToGrid w:val="0"/>
          <w:sz w:val="30"/>
          <w:szCs w:val="30"/>
        </w:rPr>
      </w:pPr>
      <w:r>
        <w:rPr>
          <w:rFonts w:ascii="Times New Roman" w:hAnsi="Times New Roman"/>
          <w:snapToGrid w:val="0"/>
          <w:sz w:val="21"/>
          <w:szCs w:val="21"/>
        </w:rPr>
        <w:br w:type="page"/>
      </w:r>
      <w:r>
        <w:rPr>
          <w:rFonts w:hint="eastAsia" w:ascii="Times New Roman" w:hAnsi="Times New Roman"/>
          <w:b/>
          <w:bCs/>
          <w:snapToGrid w:val="0"/>
          <w:sz w:val="30"/>
          <w:szCs w:val="30"/>
        </w:rPr>
        <w:t>四、主要环境影响和保护措施</w:t>
      </w:r>
    </w:p>
    <w:tbl>
      <w:tblPr>
        <w:tblStyle w:val="24"/>
        <w:tblW w:w="977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351"/>
      </w:tblGrid>
      <w:tr w14:paraId="688113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jc w:val="center"/>
        </w:trPr>
        <w:tc>
          <w:tcPr>
            <w:tcW w:w="426" w:type="dxa"/>
            <w:tcMar>
              <w:left w:w="28" w:type="dxa"/>
              <w:right w:w="28" w:type="dxa"/>
            </w:tcMar>
            <w:vAlign w:val="center"/>
          </w:tcPr>
          <w:p w14:paraId="5D36193C">
            <w:pPr>
              <w:pStyle w:val="21"/>
              <w:spacing w:before="0" w:beforeAutospacing="0" w:after="0" w:afterAutospacing="0"/>
              <w:jc w:val="center"/>
              <w:rPr>
                <w:rFonts w:ascii="Times New Roman" w:hAnsi="Times New Roman"/>
                <w:kern w:val="2"/>
                <w:sz w:val="24"/>
                <w:szCs w:val="24"/>
              </w:rPr>
            </w:pPr>
            <w:r>
              <w:rPr>
                <w:rFonts w:ascii="Times New Roman" w:hAnsi="Times New Roman"/>
                <w:kern w:val="2"/>
                <w:sz w:val="24"/>
                <w:szCs w:val="24"/>
              </w:rPr>
              <w:t>施工</w:t>
            </w:r>
          </w:p>
          <w:p w14:paraId="65200CD9">
            <w:pPr>
              <w:pStyle w:val="21"/>
              <w:spacing w:before="0" w:beforeAutospacing="0" w:after="0" w:afterAutospacing="0"/>
              <w:jc w:val="center"/>
              <w:rPr>
                <w:rFonts w:ascii="Times New Roman" w:hAnsi="Times New Roman"/>
                <w:kern w:val="2"/>
                <w:sz w:val="24"/>
                <w:szCs w:val="24"/>
              </w:rPr>
            </w:pPr>
            <w:r>
              <w:rPr>
                <w:rFonts w:ascii="Times New Roman" w:hAnsi="Times New Roman"/>
                <w:kern w:val="2"/>
                <w:sz w:val="24"/>
                <w:szCs w:val="24"/>
              </w:rPr>
              <w:t>期环</w:t>
            </w:r>
          </w:p>
          <w:p w14:paraId="71075B80">
            <w:pPr>
              <w:pStyle w:val="21"/>
              <w:spacing w:before="0" w:beforeAutospacing="0" w:after="0" w:afterAutospacing="0"/>
              <w:jc w:val="center"/>
              <w:rPr>
                <w:rFonts w:ascii="Times New Roman" w:hAnsi="Times New Roman"/>
                <w:kern w:val="2"/>
                <w:sz w:val="24"/>
                <w:szCs w:val="24"/>
              </w:rPr>
            </w:pPr>
            <w:r>
              <w:rPr>
                <w:rFonts w:ascii="Times New Roman" w:hAnsi="Times New Roman"/>
                <w:kern w:val="2"/>
                <w:sz w:val="24"/>
                <w:szCs w:val="24"/>
              </w:rPr>
              <w:t>境保</w:t>
            </w:r>
          </w:p>
          <w:p w14:paraId="4252112E">
            <w:pPr>
              <w:pStyle w:val="21"/>
              <w:spacing w:before="0" w:beforeAutospacing="0" w:after="0" w:afterAutospacing="0"/>
              <w:jc w:val="center"/>
              <w:rPr>
                <w:rFonts w:ascii="Times New Roman" w:hAnsi="Times New Roman"/>
                <w:kern w:val="2"/>
                <w:sz w:val="24"/>
                <w:szCs w:val="24"/>
              </w:rPr>
            </w:pPr>
            <w:r>
              <w:rPr>
                <w:rFonts w:ascii="Times New Roman" w:hAnsi="Times New Roman"/>
                <w:kern w:val="2"/>
                <w:sz w:val="24"/>
                <w:szCs w:val="24"/>
              </w:rPr>
              <w:t>护措</w:t>
            </w:r>
          </w:p>
          <w:p w14:paraId="6C16F666">
            <w:pPr>
              <w:pStyle w:val="21"/>
              <w:spacing w:before="0" w:beforeAutospacing="0" w:after="0" w:afterAutospacing="0"/>
              <w:jc w:val="center"/>
              <w:rPr>
                <w:rFonts w:ascii="Times New Roman" w:hAnsi="Times New Roman"/>
                <w:bCs/>
                <w:kern w:val="2"/>
                <w:sz w:val="24"/>
                <w:szCs w:val="24"/>
              </w:rPr>
            </w:pPr>
            <w:r>
              <w:rPr>
                <w:rFonts w:ascii="Times New Roman" w:hAnsi="Times New Roman"/>
                <w:kern w:val="2"/>
                <w:sz w:val="24"/>
                <w:szCs w:val="24"/>
              </w:rPr>
              <w:t>施</w:t>
            </w:r>
          </w:p>
        </w:tc>
        <w:tc>
          <w:tcPr>
            <w:tcW w:w="9351" w:type="dxa"/>
            <w:vAlign w:val="center"/>
          </w:tcPr>
          <w:p w14:paraId="3FA0AE5A">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textAlignment w:val="auto"/>
              <w:rPr>
                <w:rFonts w:hint="default" w:ascii="Times New Roman" w:hAnsi="Times New Roman" w:eastAsia="宋体" w:cs="Times New Roman"/>
                <w:b/>
                <w:bCs/>
                <w:color w:val="000000"/>
                <w:kern w:val="0"/>
                <w:sz w:val="24"/>
                <w:szCs w:val="24"/>
              </w:rPr>
            </w:pPr>
            <w:r>
              <w:rPr>
                <w:rFonts w:hint="eastAsia" w:ascii="Times New Roman" w:hAnsi="Times New Roman" w:eastAsia="宋体" w:cs="Times New Roman"/>
                <w:b/>
                <w:bCs/>
                <w:color w:val="000000"/>
                <w:kern w:val="0"/>
                <w:sz w:val="24"/>
                <w:szCs w:val="24"/>
                <w:lang w:val="en-US" w:eastAsia="zh-CN"/>
              </w:rPr>
              <w:t>1</w:t>
            </w:r>
            <w:r>
              <w:rPr>
                <w:rFonts w:hint="default" w:ascii="Times New Roman" w:hAnsi="Times New Roman" w:eastAsia="宋体" w:cs="Times New Roman"/>
                <w:b/>
                <w:bCs/>
                <w:color w:val="000000"/>
                <w:kern w:val="0"/>
                <w:sz w:val="24"/>
                <w:szCs w:val="24"/>
              </w:rPr>
              <w:t>施工期空气污染防治措施</w:t>
            </w:r>
          </w:p>
          <w:p w14:paraId="41440B7D">
            <w:pPr>
              <w:keepNext w:val="0"/>
              <w:keepLines w:val="0"/>
              <w:pageBreakBefore w:val="0"/>
              <w:widowControl w:val="0"/>
              <w:kinsoku/>
              <w:wordWrap/>
              <w:overflowPunct/>
              <w:topLinePunct w:val="0"/>
              <w:bidi w:val="0"/>
              <w:adjustRightInd/>
              <w:snapToGrid/>
              <w:spacing w:line="360" w:lineRule="auto"/>
              <w:ind w:firstLine="480" w:firstLineChars="200"/>
              <w:rPr>
                <w:sz w:val="24"/>
                <w:szCs w:val="24"/>
              </w:rPr>
            </w:pPr>
            <w:r>
              <w:rPr>
                <w:rFonts w:hint="eastAsia"/>
                <w:sz w:val="24"/>
                <w:szCs w:val="24"/>
              </w:rPr>
              <w:t>（1）</w:t>
            </w:r>
            <w:r>
              <w:rPr>
                <w:sz w:val="24"/>
                <w:szCs w:val="24"/>
              </w:rPr>
              <w:t>实行封闭施工。建筑工地必须实行围挡封闭施工，围挡高度不低于1.8m。建筑工地脚手架外侧必须用密目式安全网全封闭，封闭高度要高出作业面1.5m以上并定期清洗保洁。</w:t>
            </w:r>
          </w:p>
          <w:p w14:paraId="0FFA50F7">
            <w:pPr>
              <w:keepNext w:val="0"/>
              <w:keepLines w:val="0"/>
              <w:pageBreakBefore w:val="0"/>
              <w:widowControl w:val="0"/>
              <w:kinsoku/>
              <w:wordWrap/>
              <w:overflowPunct/>
              <w:topLinePunct w:val="0"/>
              <w:bidi w:val="0"/>
              <w:adjustRightInd/>
              <w:snapToGrid/>
              <w:spacing w:line="360" w:lineRule="auto"/>
              <w:ind w:firstLine="480" w:firstLineChars="200"/>
              <w:rPr>
                <w:sz w:val="24"/>
                <w:szCs w:val="24"/>
              </w:rPr>
            </w:pPr>
            <w:r>
              <w:rPr>
                <w:rFonts w:hint="eastAsia"/>
                <w:sz w:val="24"/>
                <w:szCs w:val="24"/>
              </w:rPr>
              <w:t>（2）</w:t>
            </w:r>
            <w:r>
              <w:rPr>
                <w:sz w:val="24"/>
                <w:szCs w:val="24"/>
              </w:rPr>
              <w:t>工地出入口必须设置车辆冲洗、沉砂、排水设施。并加强场地地面、施工道路的保湿、保洁工作，减轻二次扬尘污染。</w:t>
            </w:r>
          </w:p>
          <w:p w14:paraId="3EC1F9F1">
            <w:pPr>
              <w:keepNext w:val="0"/>
              <w:keepLines w:val="0"/>
              <w:pageBreakBefore w:val="0"/>
              <w:widowControl w:val="0"/>
              <w:kinsoku/>
              <w:wordWrap/>
              <w:overflowPunct/>
              <w:topLinePunct w:val="0"/>
              <w:bidi w:val="0"/>
              <w:adjustRightInd/>
              <w:snapToGrid/>
              <w:spacing w:line="360" w:lineRule="auto"/>
              <w:ind w:firstLine="480" w:firstLineChars="200"/>
              <w:rPr>
                <w:sz w:val="24"/>
                <w:szCs w:val="24"/>
              </w:rPr>
            </w:pPr>
            <w:r>
              <w:rPr>
                <w:rFonts w:hint="eastAsia"/>
                <w:sz w:val="24"/>
                <w:szCs w:val="24"/>
              </w:rPr>
              <w:t>（3）</w:t>
            </w:r>
            <w:r>
              <w:rPr>
                <w:sz w:val="24"/>
                <w:szCs w:val="24"/>
              </w:rPr>
              <w:t>建筑垃圾的防尘管理措施：施工工程中产生的弃土、弃料及其他建筑垃圾，应及时清运。若在工地内堆置超过一周的，则应采取下列措施之一：a）覆盖防尘布、防尘网；b）定期喷洒抑尘剂；c）定期喷水压尘；d）其他有效的防尘措施。</w:t>
            </w:r>
          </w:p>
          <w:p w14:paraId="6F6AA8F8">
            <w:pPr>
              <w:keepNext w:val="0"/>
              <w:keepLines w:val="0"/>
              <w:pageBreakBefore w:val="0"/>
              <w:widowControl w:val="0"/>
              <w:kinsoku/>
              <w:wordWrap/>
              <w:overflowPunct/>
              <w:topLinePunct w:val="0"/>
              <w:bidi w:val="0"/>
              <w:adjustRightInd/>
              <w:snapToGrid/>
              <w:spacing w:line="360" w:lineRule="auto"/>
              <w:ind w:firstLine="480" w:firstLineChars="200"/>
              <w:rPr>
                <w:sz w:val="24"/>
                <w:szCs w:val="24"/>
              </w:rPr>
            </w:pPr>
            <w:r>
              <w:rPr>
                <w:rFonts w:hint="eastAsia"/>
                <w:sz w:val="24"/>
                <w:szCs w:val="24"/>
              </w:rPr>
              <w:t>（4）</w:t>
            </w:r>
            <w:r>
              <w:rPr>
                <w:sz w:val="24"/>
                <w:szCs w:val="24"/>
              </w:rPr>
              <w:t>露天堆放水泥、灰浆等易扬撒的物料或48h内不能清运的建筑垃圾，应当设置不低于堆放物高度的密闭围栏并予以覆盖。</w:t>
            </w:r>
          </w:p>
          <w:p w14:paraId="13806231">
            <w:pPr>
              <w:keepNext w:val="0"/>
              <w:keepLines w:val="0"/>
              <w:pageBreakBefore w:val="0"/>
              <w:widowControl w:val="0"/>
              <w:kinsoku/>
              <w:wordWrap/>
              <w:overflowPunct/>
              <w:topLinePunct w:val="0"/>
              <w:bidi w:val="0"/>
              <w:adjustRightInd/>
              <w:snapToGrid/>
              <w:spacing w:line="360" w:lineRule="auto"/>
              <w:ind w:firstLine="480" w:firstLineChars="200"/>
              <w:rPr>
                <w:sz w:val="24"/>
                <w:szCs w:val="24"/>
              </w:rPr>
            </w:pPr>
            <w:r>
              <w:rPr>
                <w:rFonts w:hint="eastAsia"/>
                <w:sz w:val="24"/>
                <w:szCs w:val="24"/>
              </w:rPr>
              <w:t>（5）</w:t>
            </w:r>
            <w:r>
              <w:rPr>
                <w:sz w:val="24"/>
                <w:szCs w:val="24"/>
              </w:rPr>
              <w:t>施工工地道路积尘清理措施，可采用吸尘或水冲洗的方法清洁施工工地道路积尘，不得在未实施洒水等抑尘措施情况下进行直接清扫。</w:t>
            </w:r>
          </w:p>
          <w:p w14:paraId="6D9415BC">
            <w:pPr>
              <w:keepNext w:val="0"/>
              <w:keepLines w:val="0"/>
              <w:pageBreakBefore w:val="0"/>
              <w:widowControl w:val="0"/>
              <w:kinsoku/>
              <w:wordWrap/>
              <w:overflowPunct/>
              <w:topLinePunct w:val="0"/>
              <w:bidi w:val="0"/>
              <w:adjustRightInd/>
              <w:snapToGrid/>
              <w:spacing w:line="360" w:lineRule="auto"/>
              <w:ind w:firstLine="480" w:firstLineChars="200"/>
              <w:rPr>
                <w:sz w:val="24"/>
                <w:szCs w:val="24"/>
              </w:rPr>
            </w:pPr>
            <w:r>
              <w:rPr>
                <w:rFonts w:hint="eastAsia"/>
                <w:sz w:val="24"/>
                <w:szCs w:val="24"/>
              </w:rPr>
              <w:t>（6）</w:t>
            </w:r>
            <w:r>
              <w:rPr>
                <w:sz w:val="24"/>
                <w:szCs w:val="24"/>
              </w:rPr>
              <w:t>采用商品混凝土，现场不设混凝土搅拌站，可减轻粉尘、噪声污染。</w:t>
            </w:r>
          </w:p>
          <w:p w14:paraId="7A09DCE6">
            <w:pPr>
              <w:keepNext w:val="0"/>
              <w:keepLines w:val="0"/>
              <w:pageBreakBefore w:val="0"/>
              <w:widowControl w:val="0"/>
              <w:kinsoku/>
              <w:wordWrap/>
              <w:overflowPunct/>
              <w:topLinePunct w:val="0"/>
              <w:bidi w:val="0"/>
              <w:adjustRightInd/>
              <w:snapToGrid/>
              <w:spacing w:line="360" w:lineRule="auto"/>
              <w:ind w:firstLine="480" w:firstLineChars="200"/>
              <w:rPr>
                <w:sz w:val="24"/>
                <w:szCs w:val="24"/>
              </w:rPr>
            </w:pPr>
            <w:r>
              <w:rPr>
                <w:rFonts w:hint="eastAsia"/>
                <w:sz w:val="24"/>
                <w:szCs w:val="24"/>
              </w:rPr>
              <w:t>（7）</w:t>
            </w:r>
            <w:r>
              <w:rPr>
                <w:sz w:val="24"/>
                <w:szCs w:val="24"/>
              </w:rPr>
              <w:t>物料、渣土、垃圾等纵向输送作业的防尘措施：施工期间，工地内从建筑上层将具有粉尘逸散性的物料、渣土或废弃物输送至地面建筑内部管道或密闭输送管道输送，或者打包装框搬运，不得凌空抛撒。</w:t>
            </w:r>
          </w:p>
          <w:p w14:paraId="05338551">
            <w:pPr>
              <w:keepNext w:val="0"/>
              <w:keepLines w:val="0"/>
              <w:pageBreakBefore w:val="0"/>
              <w:widowControl w:val="0"/>
              <w:kinsoku/>
              <w:wordWrap/>
              <w:overflowPunct/>
              <w:topLinePunct w:val="0"/>
              <w:bidi w:val="0"/>
              <w:adjustRightInd/>
              <w:snapToGrid/>
              <w:spacing w:line="360" w:lineRule="auto"/>
              <w:ind w:firstLine="480" w:firstLineChars="200"/>
              <w:rPr>
                <w:sz w:val="24"/>
                <w:szCs w:val="24"/>
              </w:rPr>
            </w:pPr>
            <w:r>
              <w:rPr>
                <w:rFonts w:hint="eastAsia"/>
                <w:sz w:val="24"/>
                <w:szCs w:val="24"/>
              </w:rPr>
              <w:t>（8）</w:t>
            </w:r>
            <w:r>
              <w:rPr>
                <w:sz w:val="24"/>
                <w:szCs w:val="24"/>
              </w:rPr>
              <w:t>运输主干道定期洒水，运输车辆加盖防尘布；建筑材料堆放采取土工布围护，并有人工定期洒水，以保持材料一定的湿度，不至于因材料的堆卸、拌和、摊铺作业而产生过量的扬尘。</w:t>
            </w:r>
          </w:p>
          <w:p w14:paraId="2000DE80">
            <w:pPr>
              <w:keepNext w:val="0"/>
              <w:keepLines w:val="0"/>
              <w:pageBreakBefore w:val="0"/>
              <w:widowControl w:val="0"/>
              <w:kinsoku/>
              <w:wordWrap/>
              <w:overflowPunct/>
              <w:topLinePunct w:val="0"/>
              <w:bidi w:val="0"/>
              <w:adjustRightInd/>
              <w:snapToGrid/>
              <w:spacing w:line="360" w:lineRule="auto"/>
              <w:ind w:firstLine="480" w:firstLineChars="200"/>
              <w:rPr>
                <w:sz w:val="24"/>
                <w:szCs w:val="24"/>
              </w:rPr>
            </w:pPr>
            <w:r>
              <w:rPr>
                <w:rFonts w:hint="eastAsia"/>
                <w:sz w:val="24"/>
                <w:szCs w:val="24"/>
              </w:rPr>
              <w:t>（9）</w:t>
            </w:r>
            <w:r>
              <w:rPr>
                <w:sz w:val="24"/>
                <w:szCs w:val="24"/>
              </w:rPr>
              <w:t>定期对施工机械进行维修、保养，始终保持发动机处于良好的状况，降低尾气中有害成分的浓度，满足尾气排放标准。</w:t>
            </w:r>
          </w:p>
          <w:p w14:paraId="2B2744DA">
            <w:pPr>
              <w:keepNext w:val="0"/>
              <w:keepLines w:val="0"/>
              <w:pageBreakBefore w:val="0"/>
              <w:widowControl w:val="0"/>
              <w:kinsoku/>
              <w:wordWrap/>
              <w:overflowPunct/>
              <w:topLinePunct w:val="0"/>
              <w:bidi w:val="0"/>
              <w:adjustRightInd/>
              <w:snapToGrid/>
              <w:spacing w:line="360" w:lineRule="auto"/>
              <w:ind w:firstLine="480" w:firstLineChars="200"/>
              <w:rPr>
                <w:sz w:val="24"/>
                <w:szCs w:val="24"/>
              </w:rPr>
            </w:pPr>
            <w:r>
              <w:rPr>
                <w:rFonts w:hint="eastAsia"/>
                <w:sz w:val="24"/>
                <w:szCs w:val="24"/>
              </w:rPr>
              <w:t>（10）</w:t>
            </w:r>
            <w:r>
              <w:rPr>
                <w:sz w:val="24"/>
                <w:szCs w:val="24"/>
              </w:rPr>
              <w:t>做好施工现场的清洁工作。</w:t>
            </w:r>
          </w:p>
          <w:p w14:paraId="1CE409E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baseline"/>
              <w:rPr>
                <w:sz w:val="24"/>
                <w:szCs w:val="24"/>
              </w:rPr>
            </w:pPr>
            <w:r>
              <w:rPr>
                <w:sz w:val="24"/>
                <w:szCs w:val="24"/>
              </w:rPr>
              <w:t>综上所述，在采取相应措施并严格按照本评价要求进行施工的前提下，本项目施工大气污染物对周围大气环境影响不大，且施工期排尘对周围大气环境的影响类型是短期的、局部的，到项目建设完毕，投入运营，施工期环境影响随之结束。在施工期，只要严格按照有关规范作业，以上不利影响将会降低。</w:t>
            </w:r>
          </w:p>
          <w:p w14:paraId="366A917A">
            <w:pPr>
              <w:keepNext w:val="0"/>
              <w:keepLines w:val="0"/>
              <w:pageBreakBefore w:val="0"/>
              <w:kinsoku/>
              <w:wordWrap/>
              <w:bidi w:val="0"/>
              <w:adjustRightInd/>
              <w:snapToGrid/>
              <w:spacing w:line="360" w:lineRule="auto"/>
              <w:ind w:left="0" w:leftChars="0" w:right="0" w:firstLine="0" w:firstLineChars="0"/>
              <w:rPr>
                <w:rFonts w:hint="default" w:ascii="Times New Roman" w:hAnsi="Times New Roman" w:eastAsia="宋体" w:cs="Times New Roman"/>
                <w:b/>
                <w:bCs/>
                <w:color w:val="000000"/>
                <w:kern w:val="0"/>
                <w:sz w:val="24"/>
                <w:szCs w:val="24"/>
              </w:rPr>
            </w:pPr>
            <w:r>
              <w:rPr>
                <w:rFonts w:hint="eastAsia" w:cs="Times New Roman"/>
                <w:b/>
                <w:bCs/>
                <w:color w:val="000000"/>
                <w:kern w:val="0"/>
                <w:sz w:val="24"/>
                <w:szCs w:val="24"/>
                <w:lang w:val="en-US" w:eastAsia="zh-CN"/>
              </w:rPr>
              <w:t>2</w:t>
            </w:r>
            <w:r>
              <w:rPr>
                <w:rFonts w:hint="default" w:ascii="Times New Roman" w:hAnsi="Times New Roman" w:eastAsia="宋体" w:cs="Times New Roman"/>
                <w:b/>
                <w:bCs/>
                <w:color w:val="000000"/>
                <w:kern w:val="0"/>
                <w:sz w:val="24"/>
                <w:szCs w:val="24"/>
              </w:rPr>
              <w:t>施工期</w:t>
            </w:r>
            <w:r>
              <w:rPr>
                <w:rFonts w:hint="eastAsia" w:ascii="Times New Roman" w:hAnsi="Times New Roman" w:cs="Times New Roman"/>
                <w:b/>
                <w:bCs/>
                <w:color w:val="000000"/>
                <w:kern w:val="0"/>
                <w:sz w:val="24"/>
                <w:szCs w:val="24"/>
                <w:lang w:val="en-US" w:eastAsia="zh-CN"/>
              </w:rPr>
              <w:t>水</w:t>
            </w:r>
            <w:r>
              <w:rPr>
                <w:rFonts w:hint="default" w:ascii="Times New Roman" w:hAnsi="Times New Roman" w:eastAsia="宋体" w:cs="Times New Roman"/>
                <w:b/>
                <w:bCs/>
                <w:color w:val="000000"/>
                <w:kern w:val="0"/>
                <w:sz w:val="24"/>
                <w:szCs w:val="24"/>
              </w:rPr>
              <w:t>污染防治措施</w:t>
            </w:r>
          </w:p>
          <w:p w14:paraId="34F4938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baseline"/>
              <w:rPr>
                <w:sz w:val="24"/>
                <w:szCs w:val="24"/>
              </w:rPr>
            </w:pPr>
            <w:r>
              <w:rPr>
                <w:rFonts w:hint="eastAsia"/>
                <w:sz w:val="24"/>
                <w:szCs w:val="24"/>
              </w:rPr>
              <w:t>（</w:t>
            </w:r>
            <w:r>
              <w:rPr>
                <w:rFonts w:hint="eastAsia"/>
                <w:sz w:val="24"/>
                <w:szCs w:val="24"/>
                <w:lang w:val="en-US" w:eastAsia="zh-CN"/>
              </w:rPr>
              <w:t>1</w:t>
            </w:r>
            <w:r>
              <w:rPr>
                <w:rFonts w:hint="eastAsia"/>
                <w:sz w:val="24"/>
                <w:szCs w:val="24"/>
              </w:rPr>
              <w:t>）</w:t>
            </w:r>
            <w:r>
              <w:rPr>
                <w:sz w:val="24"/>
                <w:szCs w:val="24"/>
              </w:rPr>
              <w:t>施工单位对施工场地用水应严格管理，贯彻</w:t>
            </w:r>
            <w:r>
              <w:rPr>
                <w:rFonts w:hint="eastAsia" w:ascii="宋体" w:hAnsi="宋体" w:cs="宋体"/>
                <w:sz w:val="24"/>
                <w:szCs w:val="24"/>
              </w:rPr>
              <w:t>“</w:t>
            </w:r>
            <w:r>
              <w:rPr>
                <w:sz w:val="24"/>
                <w:szCs w:val="24"/>
              </w:rPr>
              <w:t>一水多用、重复利用、节约用水</w:t>
            </w:r>
            <w:r>
              <w:rPr>
                <w:rFonts w:hint="eastAsia" w:ascii="宋体" w:hAnsi="宋体" w:cs="宋体"/>
                <w:sz w:val="24"/>
                <w:szCs w:val="24"/>
              </w:rPr>
              <w:t>”</w:t>
            </w:r>
            <w:r>
              <w:rPr>
                <w:sz w:val="24"/>
                <w:szCs w:val="24"/>
              </w:rPr>
              <w:t>的原则，尽量减少废水的排放量，减轻废水排放对周围环境的影响。</w:t>
            </w:r>
          </w:p>
          <w:p w14:paraId="64BDB4E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baseline"/>
              <w:rPr>
                <w:sz w:val="24"/>
                <w:szCs w:val="24"/>
              </w:rPr>
            </w:pPr>
            <w:r>
              <w:rPr>
                <w:rFonts w:hint="eastAsia"/>
                <w:sz w:val="24"/>
                <w:szCs w:val="24"/>
              </w:rPr>
              <w:t>（</w:t>
            </w:r>
            <w:r>
              <w:rPr>
                <w:rFonts w:hint="eastAsia"/>
                <w:sz w:val="24"/>
                <w:szCs w:val="24"/>
                <w:lang w:val="en-US" w:eastAsia="zh-CN"/>
              </w:rPr>
              <w:t>2</w:t>
            </w:r>
            <w:r>
              <w:rPr>
                <w:rFonts w:hint="eastAsia"/>
                <w:sz w:val="24"/>
                <w:szCs w:val="24"/>
              </w:rPr>
              <w:t>）</w:t>
            </w:r>
            <w:r>
              <w:rPr>
                <w:sz w:val="24"/>
                <w:szCs w:val="24"/>
              </w:rPr>
              <w:t>加强施工期工地用水管理，节约用水，尽可能避免施工用水过程中的</w:t>
            </w:r>
            <w:r>
              <w:rPr>
                <w:rFonts w:hint="eastAsia" w:ascii="宋体" w:hAnsi="宋体" w:cs="宋体"/>
                <w:sz w:val="24"/>
                <w:szCs w:val="24"/>
              </w:rPr>
              <w:t>“</w:t>
            </w:r>
            <w:r>
              <w:rPr>
                <w:sz w:val="24"/>
                <w:szCs w:val="24"/>
              </w:rPr>
              <w:t>跑、冒、滴、漏</w:t>
            </w:r>
            <w:r>
              <w:rPr>
                <w:rFonts w:hint="eastAsia" w:ascii="宋体" w:hAnsi="宋体" w:cs="宋体"/>
                <w:sz w:val="24"/>
                <w:szCs w:val="24"/>
              </w:rPr>
              <w:t>”</w:t>
            </w:r>
            <w:r>
              <w:rPr>
                <w:sz w:val="24"/>
                <w:szCs w:val="24"/>
              </w:rPr>
              <w:t>，减少施工废水外排量。</w:t>
            </w:r>
          </w:p>
          <w:p w14:paraId="5B93A11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baseline"/>
              <w:rPr>
                <w:sz w:val="24"/>
                <w:szCs w:val="24"/>
              </w:rPr>
            </w:pPr>
            <w:r>
              <w:rPr>
                <w:rFonts w:hint="eastAsia"/>
                <w:sz w:val="24"/>
                <w:szCs w:val="24"/>
              </w:rPr>
              <w:t>（</w:t>
            </w:r>
            <w:r>
              <w:rPr>
                <w:rFonts w:hint="eastAsia"/>
                <w:sz w:val="24"/>
                <w:szCs w:val="24"/>
                <w:lang w:val="en-US" w:eastAsia="zh-CN"/>
              </w:rPr>
              <w:t>3</w:t>
            </w:r>
            <w:r>
              <w:rPr>
                <w:rFonts w:hint="eastAsia"/>
                <w:sz w:val="24"/>
                <w:szCs w:val="24"/>
              </w:rPr>
              <w:t>）</w:t>
            </w:r>
            <w:r>
              <w:rPr>
                <w:sz w:val="24"/>
                <w:szCs w:val="24"/>
              </w:rPr>
              <w:t>严禁施工废水或生活污水排入地表水体。</w:t>
            </w:r>
          </w:p>
          <w:p w14:paraId="73194917">
            <w:pPr>
              <w:keepNext w:val="0"/>
              <w:keepLines w:val="0"/>
              <w:pageBreakBefore w:val="0"/>
              <w:kinsoku/>
              <w:wordWrap/>
              <w:bidi w:val="0"/>
              <w:adjustRightInd/>
              <w:snapToGrid/>
              <w:spacing w:line="360" w:lineRule="auto"/>
              <w:ind w:left="0" w:right="0" w:firstLine="499"/>
              <w:rPr>
                <w:rFonts w:hint="eastAsia"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rPr>
              <w:t>施工期废水主要来自施工人员在施工作业过程中产生的生活污水、车辆清洗废水。</w:t>
            </w:r>
            <w:r>
              <w:rPr>
                <w:rFonts w:hint="eastAsia" w:cs="Times New Roman"/>
                <w:color w:val="000000"/>
                <w:kern w:val="0"/>
                <w:sz w:val="24"/>
                <w:szCs w:val="24"/>
                <w:lang w:val="en-US" w:eastAsia="zh-CN"/>
              </w:rPr>
              <w:t>施工</w:t>
            </w:r>
            <w:r>
              <w:rPr>
                <w:rFonts w:hint="eastAsia" w:ascii="Times New Roman" w:hAnsi="Times New Roman" w:eastAsia="宋体" w:cs="Times New Roman"/>
                <w:color w:val="000000"/>
                <w:kern w:val="0"/>
                <w:sz w:val="24"/>
                <w:szCs w:val="24"/>
                <w:lang w:val="en-US" w:eastAsia="zh-CN"/>
              </w:rPr>
              <w:t>人员不在厂区内食宿，无生活废水产生。运输车辆冲洗废水，废水量较少，主要污染物为泥沙，用于场地洒水抑尘，不会对当地水环境产生明显影响。</w:t>
            </w:r>
          </w:p>
          <w:p w14:paraId="41E8632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default" w:ascii="Times New Roman" w:hAnsi="Times New Roman" w:eastAsia="宋体" w:cs="Times New Roman"/>
                <w:b/>
                <w:bCs/>
                <w:color w:val="000000"/>
                <w:kern w:val="28"/>
                <w:sz w:val="24"/>
                <w:szCs w:val="24"/>
              </w:rPr>
            </w:pPr>
            <w:r>
              <w:rPr>
                <w:rFonts w:hint="eastAsia" w:cs="Times New Roman"/>
                <w:b/>
                <w:bCs/>
                <w:color w:val="000000"/>
                <w:kern w:val="0"/>
                <w:sz w:val="24"/>
                <w:szCs w:val="24"/>
                <w:lang w:val="en-US" w:eastAsia="zh-CN"/>
              </w:rPr>
              <w:t>3</w:t>
            </w:r>
            <w:r>
              <w:rPr>
                <w:rFonts w:hint="default" w:ascii="Times New Roman" w:hAnsi="Times New Roman" w:eastAsia="宋体" w:cs="Times New Roman"/>
                <w:b/>
                <w:bCs/>
                <w:color w:val="000000"/>
                <w:kern w:val="0"/>
                <w:sz w:val="24"/>
                <w:szCs w:val="24"/>
              </w:rPr>
              <w:t>施工期</w:t>
            </w:r>
            <w:r>
              <w:rPr>
                <w:rFonts w:hint="eastAsia" w:ascii="Times New Roman" w:hAnsi="Times New Roman" w:cs="Times New Roman"/>
                <w:b/>
                <w:bCs/>
                <w:color w:val="000000"/>
                <w:kern w:val="0"/>
                <w:sz w:val="24"/>
                <w:szCs w:val="24"/>
                <w:lang w:val="en-US" w:eastAsia="zh-CN"/>
              </w:rPr>
              <w:t>噪声</w:t>
            </w:r>
            <w:r>
              <w:rPr>
                <w:rFonts w:hint="default" w:ascii="Times New Roman" w:hAnsi="Times New Roman" w:eastAsia="宋体" w:cs="Times New Roman"/>
                <w:b/>
                <w:bCs/>
                <w:color w:val="000000"/>
                <w:kern w:val="0"/>
                <w:sz w:val="24"/>
                <w:szCs w:val="24"/>
              </w:rPr>
              <w:t>污染防治措施</w:t>
            </w:r>
          </w:p>
          <w:p w14:paraId="2F019A44">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sz w:val="24"/>
                <w:szCs w:val="24"/>
              </w:rPr>
            </w:pPr>
            <w:r>
              <w:rPr>
                <w:rFonts w:hint="eastAsia"/>
                <w:sz w:val="24"/>
                <w:szCs w:val="24"/>
              </w:rPr>
              <w:t>（1）</w:t>
            </w:r>
            <w:r>
              <w:rPr>
                <w:sz w:val="24"/>
                <w:szCs w:val="24"/>
              </w:rPr>
              <w:t>合理安排好施工时间，尽量缩短施工期。本评价要求建设方禁止在午休时间和夜间进行施工，如特殊工序需进行夜间施工，应按相关规定到环保管理部门办理夜间施工许可证，并通告受影响人群，让其早做准备。</w:t>
            </w:r>
          </w:p>
          <w:p w14:paraId="3C0440E6">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sz w:val="24"/>
                <w:szCs w:val="24"/>
              </w:rPr>
            </w:pPr>
            <w:r>
              <w:rPr>
                <w:rFonts w:hint="eastAsia"/>
                <w:sz w:val="24"/>
                <w:szCs w:val="24"/>
              </w:rPr>
              <w:t>（2）</w:t>
            </w:r>
            <w:r>
              <w:rPr>
                <w:sz w:val="24"/>
                <w:szCs w:val="24"/>
              </w:rPr>
              <w:t>施工设备选型时，在满足施工需要的前提下，尽可能选取噪声低、振动小、能耗小的先进设备，并避免长时间使用高噪声设备，加强施工机械的维护保养，高噪声设备设置在施工场地中部并修建临时隔声棚，并加强对现场工作人员进行培训，严格按操作规范使用各类机械设备。</w:t>
            </w:r>
          </w:p>
          <w:p w14:paraId="7C1ADECC">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sz w:val="24"/>
                <w:szCs w:val="24"/>
              </w:rPr>
            </w:pPr>
            <w:r>
              <w:rPr>
                <w:rFonts w:hint="eastAsia"/>
                <w:sz w:val="24"/>
                <w:szCs w:val="24"/>
              </w:rPr>
              <w:t>（3）</w:t>
            </w:r>
            <w:r>
              <w:rPr>
                <w:sz w:val="24"/>
                <w:szCs w:val="24"/>
              </w:rPr>
              <w:t>尽量将相对固定的机械设备入</w:t>
            </w:r>
            <w:r>
              <w:rPr>
                <w:rFonts w:hint="eastAsia"/>
                <w:sz w:val="24"/>
                <w:szCs w:val="24"/>
                <w:lang w:val="en-US" w:eastAsia="zh-CN"/>
              </w:rPr>
              <w:t>库</w:t>
            </w:r>
            <w:r>
              <w:rPr>
                <w:sz w:val="24"/>
                <w:szCs w:val="24"/>
              </w:rPr>
              <w:t>操作。</w:t>
            </w:r>
          </w:p>
          <w:p w14:paraId="449902F4">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sz w:val="24"/>
                <w:szCs w:val="24"/>
              </w:rPr>
            </w:pPr>
            <w:r>
              <w:rPr>
                <w:rFonts w:hint="eastAsia"/>
                <w:sz w:val="24"/>
                <w:szCs w:val="24"/>
              </w:rPr>
              <w:t>（4）</w:t>
            </w:r>
            <w:r>
              <w:rPr>
                <w:sz w:val="24"/>
                <w:szCs w:val="24"/>
              </w:rPr>
              <w:t>将现场噪声源尽可能集中，缩小噪声范围。</w:t>
            </w:r>
          </w:p>
          <w:p w14:paraId="280BF77D">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sz w:val="24"/>
                <w:szCs w:val="24"/>
              </w:rPr>
            </w:pPr>
            <w:r>
              <w:rPr>
                <w:rFonts w:hint="eastAsia"/>
                <w:sz w:val="24"/>
                <w:szCs w:val="24"/>
              </w:rPr>
              <w:t>（5）</w:t>
            </w:r>
            <w:r>
              <w:rPr>
                <w:sz w:val="24"/>
                <w:szCs w:val="24"/>
              </w:rPr>
              <w:t>施工车辆的运行路线应尽量避开噪声敏感区域，严禁夜间装卸物料，材料运输车辆进入场地需安排专人指挥，场内禁止汽车鸣笛，材料装卸采用人工传递，严禁抛掷或汽车一次性下料。</w:t>
            </w:r>
          </w:p>
          <w:p w14:paraId="49477987">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sz w:val="24"/>
                <w:szCs w:val="24"/>
              </w:rPr>
            </w:pPr>
            <w:r>
              <w:rPr>
                <w:rFonts w:hint="eastAsia"/>
                <w:sz w:val="24"/>
                <w:szCs w:val="24"/>
              </w:rPr>
              <w:t>（6）</w:t>
            </w:r>
            <w:r>
              <w:rPr>
                <w:sz w:val="24"/>
                <w:szCs w:val="24"/>
              </w:rPr>
              <w:t>施工现场使用降噪安全</w:t>
            </w:r>
            <w:r>
              <w:rPr>
                <w:rFonts w:hint="eastAsia"/>
                <w:sz w:val="24"/>
                <w:szCs w:val="24"/>
              </w:rPr>
              <w:t>围栏</w:t>
            </w:r>
            <w:r>
              <w:rPr>
                <w:sz w:val="24"/>
                <w:szCs w:val="24"/>
              </w:rPr>
              <w:t>遮挡。</w:t>
            </w:r>
          </w:p>
          <w:p w14:paraId="4A5FBC70">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sz w:val="24"/>
                <w:szCs w:val="24"/>
              </w:rPr>
            </w:pPr>
            <w:r>
              <w:rPr>
                <w:rFonts w:hint="eastAsia"/>
                <w:sz w:val="24"/>
                <w:szCs w:val="24"/>
              </w:rPr>
              <w:t>（7）</w:t>
            </w:r>
            <w:r>
              <w:rPr>
                <w:sz w:val="24"/>
                <w:szCs w:val="24"/>
              </w:rPr>
              <w:t>使用商品混凝土，杜绝现场混凝土</w:t>
            </w:r>
            <w:r>
              <w:rPr>
                <w:rFonts w:hint="eastAsia"/>
                <w:sz w:val="24"/>
                <w:szCs w:val="24"/>
              </w:rPr>
              <w:t>拌和</w:t>
            </w:r>
            <w:r>
              <w:rPr>
                <w:sz w:val="24"/>
                <w:szCs w:val="24"/>
              </w:rPr>
              <w:t>噪声，尽量选用低噪声混凝土输送泵。</w:t>
            </w:r>
          </w:p>
          <w:p w14:paraId="080B6E37">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sz w:val="24"/>
                <w:szCs w:val="24"/>
              </w:rPr>
            </w:pPr>
            <w:r>
              <w:rPr>
                <w:sz w:val="24"/>
                <w:szCs w:val="24"/>
              </w:rPr>
              <w:t>综上所述，在采取相应措施并严格按照本评价要求进行施工的前提下，本项目施工噪声对周围声环境影响可大大减轻，且随施工结束而消除。</w:t>
            </w:r>
          </w:p>
          <w:p w14:paraId="1ADD28C3">
            <w:pPr>
              <w:keepNext w:val="0"/>
              <w:keepLines w:val="0"/>
              <w:pageBreakBefore w:val="0"/>
              <w:kinsoku/>
              <w:wordWrap/>
              <w:bidi w:val="0"/>
              <w:adjustRightInd/>
              <w:snapToGrid/>
              <w:spacing w:line="360" w:lineRule="auto"/>
              <w:ind w:left="0" w:leftChars="0" w:right="0" w:firstLine="0" w:firstLineChars="0"/>
              <w:rPr>
                <w:rFonts w:hint="default" w:ascii="Times New Roman" w:hAnsi="Times New Roman" w:eastAsia="宋体" w:cs="Times New Roman"/>
                <w:b/>
                <w:bCs/>
                <w:color w:val="auto"/>
                <w:kern w:val="0"/>
                <w:sz w:val="24"/>
                <w:szCs w:val="24"/>
              </w:rPr>
            </w:pPr>
            <w:r>
              <w:rPr>
                <w:rFonts w:hint="eastAsia" w:cs="Times New Roman"/>
                <w:b/>
                <w:bCs/>
                <w:color w:val="auto"/>
                <w:kern w:val="0"/>
                <w:sz w:val="24"/>
                <w:szCs w:val="24"/>
                <w:lang w:val="en-US" w:eastAsia="zh-CN"/>
              </w:rPr>
              <w:t>4</w:t>
            </w:r>
            <w:r>
              <w:rPr>
                <w:rFonts w:hint="default" w:ascii="Times New Roman" w:hAnsi="Times New Roman" w:eastAsia="宋体" w:cs="Times New Roman"/>
                <w:b/>
                <w:bCs/>
                <w:color w:val="auto"/>
                <w:kern w:val="0"/>
                <w:sz w:val="24"/>
                <w:szCs w:val="24"/>
              </w:rPr>
              <w:t>施工期固体废物污染防治措施</w:t>
            </w:r>
          </w:p>
          <w:p w14:paraId="02AB25D0">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sz w:val="24"/>
                <w:szCs w:val="24"/>
              </w:rPr>
            </w:pPr>
            <w:r>
              <w:rPr>
                <w:sz w:val="24"/>
                <w:szCs w:val="24"/>
              </w:rPr>
              <w:t>施工期间固体废弃物主要为施工垃圾和施工人员的生活垃圾。</w:t>
            </w:r>
          </w:p>
          <w:p w14:paraId="6A6C9AEF">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sz w:val="24"/>
                <w:szCs w:val="24"/>
              </w:rPr>
            </w:pPr>
            <w:r>
              <w:rPr>
                <w:sz w:val="24"/>
                <w:szCs w:val="24"/>
              </w:rPr>
              <w:t>尽管施工固体废物并非有毒有害物质，若弃置废物不妥善处置无组织堆放，不采取积极的防护措施，将污染周围环境。如遇雨天，堆弃的泥土会以</w:t>
            </w:r>
            <w:r>
              <w:rPr>
                <w:rFonts w:hint="eastAsia" w:ascii="宋体" w:hAnsi="宋体" w:eastAsia="宋体" w:cs="宋体"/>
                <w:sz w:val="24"/>
                <w:szCs w:val="24"/>
              </w:rPr>
              <w:t>“黄泥水”的形</w:t>
            </w:r>
            <w:r>
              <w:rPr>
                <w:sz w:val="24"/>
                <w:szCs w:val="24"/>
              </w:rPr>
              <w:t>式进入排水沟，沉积堵塞排水沟。因此必须采取措施处置本项目施工产生的固体废物，对于建筑垃圾应及时清运；对于施工生产废料处理，首先应考虑废料的回收利用，对钢筋、钢板、木材等</w:t>
            </w:r>
            <w:r>
              <w:rPr>
                <w:rFonts w:hint="eastAsia"/>
                <w:sz w:val="24"/>
                <w:szCs w:val="24"/>
              </w:rPr>
              <w:t>边</w:t>
            </w:r>
            <w:r>
              <w:rPr>
                <w:sz w:val="24"/>
                <w:szCs w:val="24"/>
              </w:rPr>
              <w:t>角料可分类回收，交废物收购站处理。施工人员产生的生活垃圾</w:t>
            </w:r>
            <w:r>
              <w:rPr>
                <w:rFonts w:hint="eastAsia"/>
                <w:sz w:val="24"/>
                <w:szCs w:val="24"/>
                <w:lang w:eastAsia="zh-CN"/>
              </w:rPr>
              <w:t>（</w:t>
            </w:r>
            <w:r>
              <w:rPr>
                <w:rFonts w:hint="eastAsia"/>
                <w:sz w:val="24"/>
                <w:szCs w:val="24"/>
                <w:lang w:val="en-US" w:eastAsia="zh-CN"/>
              </w:rPr>
              <w:t>约0.3t</w:t>
            </w:r>
            <w:r>
              <w:rPr>
                <w:rFonts w:hint="eastAsia"/>
                <w:sz w:val="24"/>
                <w:szCs w:val="24"/>
                <w:lang w:eastAsia="zh-CN"/>
              </w:rPr>
              <w:t>）</w:t>
            </w:r>
            <w:r>
              <w:rPr>
                <w:sz w:val="24"/>
                <w:szCs w:val="24"/>
              </w:rPr>
              <w:t>在未清除前对周围环境造成的影响主要表现为对施工场地大气环境和环境卫生的不利影响；清除后若乱倒乱堆，则对弃置区土壤、景观造成不利影响，易诱发新的水土流失。因此，环评建议建设单位将施工人员的生活垃圾统一收集，清运至环卫部门指定垃圾堆放点。</w:t>
            </w:r>
          </w:p>
          <w:p w14:paraId="5DE75605">
            <w:pPr>
              <w:keepNext/>
              <w:topLinePunct/>
              <w:spacing w:line="360" w:lineRule="auto"/>
              <w:ind w:firstLine="480" w:firstLineChars="200"/>
              <w:rPr>
                <w:bCs/>
                <w:spacing w:val="-10"/>
                <w:sz w:val="24"/>
                <w:szCs w:val="24"/>
              </w:rPr>
            </w:pPr>
            <w:r>
              <w:rPr>
                <w:rFonts w:hint="eastAsia"/>
                <w:sz w:val="24"/>
                <w:szCs w:val="24"/>
              </w:rPr>
              <w:t>综上所述，</w:t>
            </w:r>
            <w:r>
              <w:rPr>
                <w:rFonts w:hint="eastAsia"/>
                <w:sz w:val="24"/>
                <w:szCs w:val="24"/>
                <w:lang w:val="en-US" w:eastAsia="zh-CN"/>
              </w:rPr>
              <w:t>本</w:t>
            </w:r>
            <w:r>
              <w:rPr>
                <w:rFonts w:hint="eastAsia"/>
                <w:sz w:val="24"/>
                <w:szCs w:val="24"/>
              </w:rPr>
              <w:t>项目</w:t>
            </w:r>
            <w:r>
              <w:rPr>
                <w:rFonts w:hint="eastAsia"/>
                <w:sz w:val="24"/>
                <w:szCs w:val="24"/>
                <w:lang w:val="en-US" w:eastAsia="zh-CN"/>
              </w:rPr>
              <w:t>施工期影响</w:t>
            </w:r>
            <w:r>
              <w:rPr>
                <w:rFonts w:hint="eastAsia"/>
                <w:sz w:val="24"/>
                <w:szCs w:val="24"/>
              </w:rPr>
              <w:t>属局部</w:t>
            </w:r>
            <w:r>
              <w:rPr>
                <w:rFonts w:hint="eastAsia"/>
                <w:sz w:val="24"/>
                <w:szCs w:val="24"/>
                <w:lang w:eastAsia="zh-CN"/>
              </w:rPr>
              <w:t>、</w:t>
            </w:r>
            <w:r>
              <w:rPr>
                <w:rFonts w:hint="eastAsia"/>
                <w:sz w:val="24"/>
                <w:szCs w:val="24"/>
              </w:rPr>
              <w:t>短期不利影响，通过采取有效的预防和治理措施后，其影响程度将会大大降低，且随施工结束消失。</w:t>
            </w:r>
          </w:p>
        </w:tc>
      </w:tr>
      <w:tr w14:paraId="08BE4A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dxa"/>
            <w:tcMar>
              <w:left w:w="28" w:type="dxa"/>
              <w:right w:w="28" w:type="dxa"/>
            </w:tcMar>
            <w:vAlign w:val="center"/>
          </w:tcPr>
          <w:p w14:paraId="22A11C91">
            <w:pPr>
              <w:jc w:val="center"/>
              <w:rPr>
                <w:bCs/>
              </w:rPr>
            </w:pPr>
          </w:p>
          <w:p w14:paraId="0792658B">
            <w:pPr>
              <w:jc w:val="center"/>
              <w:rPr>
                <w:bCs/>
              </w:rPr>
            </w:pPr>
          </w:p>
          <w:p w14:paraId="58DB8812">
            <w:pPr>
              <w:jc w:val="center"/>
              <w:rPr>
                <w:bCs/>
              </w:rPr>
            </w:pPr>
          </w:p>
          <w:p w14:paraId="08A626CE">
            <w:pPr>
              <w:jc w:val="center"/>
              <w:rPr>
                <w:bCs/>
              </w:rPr>
            </w:pPr>
          </w:p>
          <w:p w14:paraId="32749C66">
            <w:pPr>
              <w:jc w:val="center"/>
              <w:rPr>
                <w:bCs/>
              </w:rPr>
            </w:pPr>
          </w:p>
          <w:p w14:paraId="1578C81F">
            <w:pPr>
              <w:jc w:val="center"/>
              <w:rPr>
                <w:bCs/>
              </w:rPr>
            </w:pPr>
          </w:p>
          <w:p w14:paraId="2E5566AD">
            <w:pPr>
              <w:jc w:val="center"/>
              <w:rPr>
                <w:bCs/>
              </w:rPr>
            </w:pPr>
          </w:p>
          <w:p w14:paraId="7140D20C">
            <w:pPr>
              <w:jc w:val="center"/>
              <w:rPr>
                <w:bCs/>
              </w:rPr>
            </w:pPr>
          </w:p>
          <w:p w14:paraId="4D5AB0C1">
            <w:pPr>
              <w:jc w:val="center"/>
              <w:rPr>
                <w:bCs/>
              </w:rPr>
            </w:pPr>
          </w:p>
          <w:p w14:paraId="3A6F67D8">
            <w:pPr>
              <w:jc w:val="center"/>
              <w:rPr>
                <w:bCs/>
              </w:rPr>
            </w:pPr>
          </w:p>
          <w:p w14:paraId="5282AFF8">
            <w:pPr>
              <w:jc w:val="center"/>
              <w:rPr>
                <w:bCs/>
                <w:sz w:val="24"/>
                <w:szCs w:val="24"/>
              </w:rPr>
            </w:pPr>
            <w:r>
              <w:rPr>
                <w:bCs/>
                <w:sz w:val="24"/>
                <w:szCs w:val="24"/>
              </w:rPr>
              <w:t>运营</w:t>
            </w:r>
          </w:p>
          <w:p w14:paraId="696C2CAF">
            <w:pPr>
              <w:jc w:val="center"/>
              <w:rPr>
                <w:bCs/>
                <w:sz w:val="24"/>
                <w:szCs w:val="24"/>
              </w:rPr>
            </w:pPr>
            <w:r>
              <w:rPr>
                <w:bCs/>
                <w:sz w:val="24"/>
                <w:szCs w:val="24"/>
              </w:rPr>
              <w:t>期环</w:t>
            </w:r>
          </w:p>
          <w:p w14:paraId="0BDE8BCF">
            <w:pPr>
              <w:jc w:val="center"/>
              <w:rPr>
                <w:bCs/>
                <w:sz w:val="24"/>
                <w:szCs w:val="24"/>
              </w:rPr>
            </w:pPr>
            <w:r>
              <w:rPr>
                <w:bCs/>
                <w:sz w:val="24"/>
                <w:szCs w:val="24"/>
              </w:rPr>
              <w:t>境影</w:t>
            </w:r>
          </w:p>
          <w:p w14:paraId="177D8DDF">
            <w:pPr>
              <w:jc w:val="center"/>
              <w:rPr>
                <w:bCs/>
                <w:sz w:val="24"/>
                <w:szCs w:val="24"/>
              </w:rPr>
            </w:pPr>
            <w:r>
              <w:rPr>
                <w:bCs/>
                <w:sz w:val="24"/>
                <w:szCs w:val="24"/>
              </w:rPr>
              <w:t>响和</w:t>
            </w:r>
          </w:p>
          <w:p w14:paraId="3CA674B0">
            <w:pPr>
              <w:jc w:val="center"/>
              <w:rPr>
                <w:bCs/>
                <w:sz w:val="24"/>
                <w:szCs w:val="24"/>
              </w:rPr>
            </w:pPr>
            <w:r>
              <w:rPr>
                <w:bCs/>
                <w:sz w:val="24"/>
                <w:szCs w:val="24"/>
              </w:rPr>
              <w:t>保护</w:t>
            </w:r>
          </w:p>
          <w:p w14:paraId="05E34593">
            <w:pPr>
              <w:pStyle w:val="21"/>
              <w:spacing w:before="0" w:beforeAutospacing="0" w:after="0" w:afterAutospacing="0"/>
              <w:jc w:val="center"/>
              <w:rPr>
                <w:rFonts w:ascii="Times New Roman" w:hAnsi="Times New Roman"/>
                <w:kern w:val="2"/>
                <w:sz w:val="21"/>
                <w:szCs w:val="21"/>
              </w:rPr>
            </w:pPr>
            <w:r>
              <w:rPr>
                <w:rFonts w:ascii="Times New Roman" w:hAnsi="Times New Roman"/>
                <w:bCs/>
                <w:sz w:val="24"/>
                <w:szCs w:val="24"/>
              </w:rPr>
              <w:t>措施</w:t>
            </w:r>
          </w:p>
        </w:tc>
        <w:tc>
          <w:tcPr>
            <w:tcW w:w="9351" w:type="dxa"/>
            <w:tcBorders>
              <w:bottom w:val="single" w:color="auto" w:sz="4" w:space="0"/>
            </w:tcBorders>
            <w:vAlign w:val="center"/>
          </w:tcPr>
          <w:p w14:paraId="7A694018">
            <w:pPr>
              <w:spacing w:line="360" w:lineRule="auto"/>
              <w:rPr>
                <w:b/>
                <w:bCs/>
                <w:sz w:val="24"/>
                <w:szCs w:val="24"/>
              </w:rPr>
            </w:pPr>
            <w:r>
              <w:rPr>
                <w:rFonts w:hint="eastAsia"/>
                <w:b/>
                <w:bCs/>
                <w:sz w:val="24"/>
                <w:szCs w:val="24"/>
              </w:rPr>
              <w:t>1.</w:t>
            </w:r>
            <w:r>
              <w:rPr>
                <w:b/>
                <w:bCs/>
                <w:sz w:val="24"/>
                <w:szCs w:val="24"/>
              </w:rPr>
              <w:t>大气环境影响分析</w:t>
            </w:r>
          </w:p>
          <w:p w14:paraId="317FB5E2">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2"/>
                <w:sz w:val="24"/>
                <w:szCs w:val="24"/>
                <w:lang w:val="en-US" w:eastAsia="zh-CN" w:bidi="ar"/>
              </w:rPr>
            </w:pPr>
            <w:r>
              <w:rPr>
                <w:rFonts w:hint="eastAsia" w:ascii="Times New Roman" w:hAnsi="Times New Roman" w:cs="Times New Roman"/>
                <w:color w:val="auto"/>
                <w:kern w:val="2"/>
                <w:sz w:val="24"/>
                <w:szCs w:val="24"/>
                <w:lang w:val="en-US" w:eastAsia="zh-CN" w:bidi="ar"/>
              </w:rPr>
              <w:t>拟建项目运营期废气主要为原材料卸料、储存、</w:t>
            </w:r>
            <w:r>
              <w:rPr>
                <w:rFonts w:hint="eastAsia"/>
                <w:sz w:val="24"/>
                <w:szCs w:val="24"/>
                <w:lang w:val="en-US" w:eastAsia="zh-CN"/>
              </w:rPr>
              <w:t>底板清理等</w:t>
            </w:r>
            <w:r>
              <w:rPr>
                <w:rFonts w:hint="eastAsia" w:ascii="Times New Roman" w:hAnsi="Times New Roman" w:cs="Times New Roman"/>
                <w:color w:val="auto"/>
                <w:kern w:val="2"/>
                <w:sz w:val="24"/>
                <w:szCs w:val="24"/>
                <w:lang w:val="en-US" w:eastAsia="zh-CN" w:bidi="ar"/>
              </w:rPr>
              <w:t>过程产生的粉尘，车辆运输扬尘，钢筋加工产生的有机废气及食堂油烟等。</w:t>
            </w:r>
          </w:p>
          <w:p w14:paraId="2042F7B3">
            <w:pPr>
              <w:pStyle w:val="5"/>
              <w:ind w:firstLine="422"/>
              <w:rPr>
                <w:sz w:val="24"/>
                <w:szCs w:val="24"/>
              </w:rPr>
            </w:pPr>
            <w:r>
              <w:rPr>
                <w:rFonts w:hint="eastAsia"/>
                <w:sz w:val="24"/>
                <w:szCs w:val="24"/>
              </w:rPr>
              <w:t>1.1有组织废气</w:t>
            </w:r>
          </w:p>
          <w:p w14:paraId="368911A2">
            <w:pPr>
              <w:spacing w:line="360" w:lineRule="auto"/>
              <w:ind w:firstLine="480" w:firstLineChars="200"/>
              <w:rPr>
                <w:sz w:val="24"/>
                <w:szCs w:val="24"/>
              </w:rPr>
            </w:pPr>
            <w:r>
              <w:rPr>
                <w:rFonts w:hint="eastAsia"/>
                <w:sz w:val="24"/>
                <w:szCs w:val="24"/>
              </w:rPr>
              <w:t>1.1.1</w:t>
            </w:r>
            <w:r>
              <w:rPr>
                <w:rFonts w:hint="eastAsia"/>
                <w:sz w:val="24"/>
                <w:szCs w:val="24"/>
                <w:lang w:val="en-US" w:eastAsia="zh-CN"/>
              </w:rPr>
              <w:t>物料输送储存</w:t>
            </w:r>
            <w:r>
              <w:rPr>
                <w:rFonts w:hint="eastAsia"/>
                <w:sz w:val="24"/>
                <w:szCs w:val="24"/>
              </w:rPr>
              <w:t>粉尘</w:t>
            </w:r>
          </w:p>
          <w:p w14:paraId="3457E5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default" w:ascii="Times New Roman" w:hAnsi="Times New Roman" w:eastAsia="宋体" w:cs="Times New Roman"/>
                <w:color w:val="000000"/>
                <w:kern w:val="0"/>
                <w:sz w:val="24"/>
                <w:szCs w:val="24"/>
                <w:lang w:val="en-US" w:eastAsia="zh-CN" w:bidi="ar"/>
              </w:rPr>
              <w:t>本项目水泥</w:t>
            </w:r>
            <w:r>
              <w:rPr>
                <w:rFonts w:hint="eastAsia" w:ascii="Times New Roman" w:hAnsi="Times New Roman" w:eastAsia="宋体" w:cs="Times New Roman"/>
                <w:color w:val="000000"/>
                <w:kern w:val="0"/>
                <w:sz w:val="24"/>
                <w:szCs w:val="24"/>
                <w:lang w:val="en-US" w:eastAsia="zh-CN" w:bidi="ar"/>
              </w:rPr>
              <w:t>、粉煤灰和石灰</w:t>
            </w:r>
            <w:r>
              <w:rPr>
                <w:rFonts w:hint="default" w:ascii="Times New Roman" w:hAnsi="Times New Roman" w:eastAsia="宋体" w:cs="Times New Roman"/>
                <w:color w:val="000000"/>
                <w:kern w:val="0"/>
                <w:sz w:val="24"/>
                <w:szCs w:val="24"/>
                <w:lang w:val="en-US" w:eastAsia="zh-CN" w:bidi="ar"/>
              </w:rPr>
              <w:t>于筒仓储存。为使粉料在装料时能够顺利打入料仓内，料仓仓顶设有呼吸口，从呼吸口排出的空气含有大量粉尘。</w:t>
            </w:r>
            <w:r>
              <w:rPr>
                <w:rFonts w:hint="eastAsia"/>
                <w:color w:val="auto"/>
                <w:sz w:val="24"/>
                <w:szCs w:val="24"/>
                <w:lang w:val="en-US" w:eastAsia="zh-CN"/>
              </w:rPr>
              <w:t>项目设有2个水泥筒仓，2个石灰料筒仓和2个粉煤灰料筒仓。项目使用原料均为企业外购。</w:t>
            </w:r>
          </w:p>
          <w:p w14:paraId="6D7E1A2D">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Times New Roman" w:hAnsi="Times New Roman" w:cs="Times New Roman"/>
                <w:color w:val="auto"/>
                <w:sz w:val="24"/>
                <w:szCs w:val="24"/>
                <w:shd w:val="clear" w:color="auto" w:fill="auto"/>
                <w:vertAlign w:val="baseline"/>
                <w:lang w:val="en-US" w:eastAsia="zh-CN"/>
              </w:rPr>
            </w:pPr>
            <w:r>
              <w:rPr>
                <w:rFonts w:hint="default" w:ascii="Times New Roman" w:hAnsi="Times New Roman" w:cs="Times New Roman"/>
                <w:color w:val="auto"/>
                <w:sz w:val="24"/>
                <w:szCs w:val="24"/>
                <w:shd w:val="clear" w:color="auto" w:fill="auto"/>
                <w:lang w:val="en-US" w:eastAsia="zh-CN"/>
              </w:rPr>
              <w:fldChar w:fldCharType="begin"/>
            </w:r>
            <w:r>
              <w:rPr>
                <w:rFonts w:hint="default" w:ascii="Times New Roman" w:hAnsi="Times New Roman" w:cs="Times New Roman"/>
                <w:color w:val="auto"/>
                <w:sz w:val="24"/>
                <w:szCs w:val="24"/>
                <w:shd w:val="clear" w:color="auto" w:fill="auto"/>
                <w:lang w:val="en-US" w:eastAsia="zh-CN"/>
              </w:rPr>
              <w:instrText xml:space="preserve"> = 1 \* GB3 \* MERGEFORMAT </w:instrText>
            </w:r>
            <w:r>
              <w:rPr>
                <w:rFonts w:hint="default" w:ascii="Times New Roman" w:hAnsi="Times New Roman" w:cs="Times New Roman"/>
                <w:color w:val="auto"/>
                <w:sz w:val="24"/>
                <w:szCs w:val="24"/>
                <w:shd w:val="clear" w:color="auto" w:fill="auto"/>
                <w:lang w:val="en-US" w:eastAsia="zh-CN"/>
              </w:rPr>
              <w:fldChar w:fldCharType="separate"/>
            </w:r>
            <w:r>
              <w:rPr>
                <w:rFonts w:hint="default" w:ascii="Times New Roman" w:hAnsi="Times New Roman" w:cs="Times New Roman"/>
                <w:sz w:val="24"/>
                <w:szCs w:val="24"/>
              </w:rPr>
              <w:t>①</w:t>
            </w:r>
            <w:r>
              <w:rPr>
                <w:rFonts w:hint="default" w:ascii="Times New Roman" w:hAnsi="Times New Roman" w:cs="Times New Roman"/>
                <w:color w:val="auto"/>
                <w:sz w:val="24"/>
                <w:szCs w:val="24"/>
                <w:shd w:val="clear" w:color="auto" w:fill="auto"/>
                <w:lang w:val="en-US" w:eastAsia="zh-CN"/>
              </w:rPr>
              <w:fldChar w:fldCharType="end"/>
            </w:r>
            <w:r>
              <w:rPr>
                <w:rFonts w:hint="default" w:ascii="Times New Roman" w:hAnsi="Times New Roman" w:cs="Times New Roman"/>
                <w:color w:val="auto"/>
                <w:sz w:val="24"/>
                <w:szCs w:val="24"/>
                <w:shd w:val="clear" w:color="auto" w:fill="auto"/>
                <w:lang w:val="en-US" w:eastAsia="zh-CN"/>
              </w:rPr>
              <w:t>根据第二次全国污染源普查工业污染源产排污系数手册中3021水泥制品制造产排污系数，物料输送储存过程中颗粒物产生系数为0.19kg/t</w:t>
            </w:r>
            <w:r>
              <w:rPr>
                <w:rFonts w:hint="eastAsia" w:ascii="Times New Roman" w:hAnsi="Times New Roman" w:cs="Times New Roman"/>
                <w:color w:val="auto"/>
                <w:sz w:val="24"/>
                <w:szCs w:val="24"/>
                <w:shd w:val="clear" w:color="auto" w:fill="auto"/>
                <w:lang w:val="en-US" w:eastAsia="zh-CN"/>
              </w:rPr>
              <w:t>-</w:t>
            </w:r>
            <w:r>
              <w:rPr>
                <w:rFonts w:hint="default" w:ascii="Times New Roman" w:hAnsi="Times New Roman" w:cs="Times New Roman"/>
                <w:color w:val="auto"/>
                <w:sz w:val="24"/>
                <w:szCs w:val="24"/>
                <w:shd w:val="clear" w:color="auto" w:fill="auto"/>
                <w:lang w:val="en-US" w:eastAsia="zh-CN"/>
              </w:rPr>
              <w:t>产品，</w:t>
            </w:r>
            <w:r>
              <w:rPr>
                <w:rFonts w:hint="eastAsia" w:ascii="Times New Roman" w:hAnsi="Times New Roman" w:cs="Times New Roman"/>
                <w:color w:val="auto"/>
                <w:sz w:val="24"/>
                <w:szCs w:val="24"/>
                <w:shd w:val="clear" w:color="auto" w:fill="auto"/>
                <w:lang w:val="en-US" w:eastAsia="zh-CN"/>
              </w:rPr>
              <w:t>本项目年使用水泥量为21030.93</w:t>
            </w:r>
            <w:r>
              <w:rPr>
                <w:rFonts w:hint="default" w:ascii="Times New Roman" w:hAnsi="Times New Roman" w:cs="Times New Roman"/>
                <w:color w:val="auto"/>
                <w:sz w:val="24"/>
                <w:szCs w:val="24"/>
                <w:shd w:val="clear" w:color="auto" w:fill="auto"/>
                <w:lang w:val="en-US" w:eastAsia="zh-CN"/>
              </w:rPr>
              <w:t>t</w:t>
            </w:r>
            <w:r>
              <w:rPr>
                <w:rFonts w:hint="eastAsia" w:ascii="Times New Roman" w:hAnsi="Times New Roman" w:cs="Times New Roman"/>
                <w:color w:val="auto"/>
                <w:sz w:val="24"/>
                <w:szCs w:val="24"/>
                <w:shd w:val="clear" w:color="auto" w:fill="auto"/>
                <w:lang w:val="en-US" w:eastAsia="zh-CN"/>
              </w:rPr>
              <w:t>，</w:t>
            </w:r>
            <w:r>
              <w:rPr>
                <w:rFonts w:hint="default" w:ascii="Times New Roman" w:hAnsi="Times New Roman" w:cs="Times New Roman"/>
                <w:color w:val="auto"/>
                <w:sz w:val="24"/>
                <w:szCs w:val="24"/>
                <w:shd w:val="clear" w:color="auto" w:fill="auto"/>
                <w:lang w:val="en-US" w:eastAsia="zh-CN"/>
              </w:rPr>
              <w:t>所以水泥筒仓呼吸颗粒物产生量为</w:t>
            </w:r>
            <w:r>
              <w:rPr>
                <w:rFonts w:hint="eastAsia" w:ascii="Times New Roman" w:hAnsi="Times New Roman" w:cs="Times New Roman"/>
                <w:color w:val="auto"/>
                <w:sz w:val="24"/>
                <w:szCs w:val="24"/>
                <w:shd w:val="clear" w:color="auto" w:fill="auto"/>
                <w:lang w:val="en-US" w:eastAsia="zh-CN"/>
              </w:rPr>
              <w:t>3.996</w:t>
            </w:r>
            <w:r>
              <w:rPr>
                <w:rFonts w:hint="default" w:ascii="Times New Roman" w:hAnsi="Times New Roman" w:cs="Times New Roman"/>
                <w:color w:val="auto"/>
                <w:sz w:val="24"/>
                <w:szCs w:val="24"/>
                <w:shd w:val="clear" w:color="auto" w:fill="auto"/>
                <w:lang w:val="en-US" w:eastAsia="zh-CN"/>
              </w:rPr>
              <w:t>t/a，产生速率为</w:t>
            </w:r>
            <w:r>
              <w:rPr>
                <w:rFonts w:hint="eastAsia" w:ascii="Times New Roman" w:hAnsi="Times New Roman" w:cs="Times New Roman"/>
                <w:color w:val="auto"/>
                <w:sz w:val="24"/>
                <w:szCs w:val="24"/>
                <w:shd w:val="clear" w:color="auto" w:fill="auto"/>
                <w:lang w:val="en-US" w:eastAsia="zh-CN"/>
              </w:rPr>
              <w:t>2.08</w:t>
            </w:r>
            <w:r>
              <w:rPr>
                <w:rFonts w:hint="default" w:ascii="Times New Roman" w:hAnsi="Times New Roman" w:cs="Times New Roman"/>
                <w:color w:val="auto"/>
                <w:sz w:val="24"/>
                <w:szCs w:val="24"/>
                <w:shd w:val="clear" w:color="auto" w:fill="auto"/>
                <w:lang w:val="en-US" w:eastAsia="zh-CN"/>
              </w:rPr>
              <w:t>kg/h，产生浓度为</w:t>
            </w:r>
            <w:r>
              <w:rPr>
                <w:rFonts w:hint="eastAsia" w:ascii="Times New Roman" w:hAnsi="Times New Roman" w:cs="Times New Roman"/>
                <w:color w:val="auto"/>
                <w:sz w:val="24"/>
                <w:szCs w:val="24"/>
                <w:shd w:val="clear" w:color="auto" w:fill="auto"/>
                <w:lang w:val="en-US" w:eastAsia="zh-CN"/>
              </w:rPr>
              <w:t>416.25</w:t>
            </w:r>
            <w:r>
              <w:rPr>
                <w:rFonts w:hint="default" w:ascii="Times New Roman" w:hAnsi="Times New Roman" w:cs="Times New Roman"/>
                <w:color w:val="auto"/>
                <w:sz w:val="24"/>
                <w:szCs w:val="24"/>
                <w:shd w:val="clear" w:color="auto" w:fill="auto"/>
                <w:lang w:val="en-US" w:eastAsia="zh-CN"/>
              </w:rPr>
              <w:t>mg/m</w:t>
            </w:r>
            <w:r>
              <w:rPr>
                <w:rFonts w:hint="default" w:ascii="Times New Roman" w:hAnsi="Times New Roman" w:cs="Times New Roman"/>
                <w:color w:val="auto"/>
                <w:sz w:val="24"/>
                <w:szCs w:val="24"/>
                <w:shd w:val="clear" w:color="auto" w:fill="auto"/>
                <w:vertAlign w:val="superscript"/>
                <w:lang w:val="en-US" w:eastAsia="zh-CN"/>
              </w:rPr>
              <w:t>3</w:t>
            </w:r>
            <w:r>
              <w:rPr>
                <w:rFonts w:hint="default" w:ascii="Times New Roman" w:hAnsi="Times New Roman" w:cs="Times New Roman"/>
                <w:color w:val="auto"/>
                <w:sz w:val="24"/>
                <w:szCs w:val="24"/>
                <w:shd w:val="clear" w:color="auto" w:fill="auto"/>
                <w:lang w:val="en-US" w:eastAsia="zh-CN"/>
              </w:rPr>
              <w:t>。拟建项目水泥筒仓上自带</w:t>
            </w:r>
            <w:r>
              <w:rPr>
                <w:rFonts w:hint="eastAsia"/>
                <w:color w:val="auto"/>
                <w:sz w:val="24"/>
                <w:szCs w:val="24"/>
                <w:shd w:val="clear" w:color="auto" w:fill="auto"/>
                <w:lang w:val="en-US" w:eastAsia="zh-CN"/>
              </w:rPr>
              <w:t>布袋</w:t>
            </w:r>
            <w:r>
              <w:rPr>
                <w:rFonts w:hint="default" w:ascii="Times New Roman" w:hAnsi="Times New Roman" w:cs="Times New Roman"/>
                <w:color w:val="auto"/>
                <w:sz w:val="24"/>
                <w:szCs w:val="24"/>
                <w:shd w:val="clear" w:color="auto" w:fill="auto"/>
                <w:lang w:val="en-US" w:eastAsia="zh-CN"/>
              </w:rPr>
              <w:t>除尘设施（风量</w:t>
            </w:r>
            <w:r>
              <w:rPr>
                <w:rFonts w:hint="eastAsia" w:ascii="Times New Roman" w:hAnsi="Times New Roman" w:cs="Times New Roman"/>
                <w:color w:val="auto"/>
                <w:sz w:val="24"/>
                <w:szCs w:val="24"/>
                <w:shd w:val="clear" w:color="auto" w:fill="auto"/>
                <w:lang w:val="en-US" w:eastAsia="zh-CN"/>
              </w:rPr>
              <w:t>5</w:t>
            </w:r>
            <w:r>
              <w:rPr>
                <w:rFonts w:hint="default" w:ascii="Times New Roman" w:hAnsi="Times New Roman" w:cs="Times New Roman"/>
                <w:color w:val="auto"/>
                <w:sz w:val="24"/>
                <w:szCs w:val="24"/>
                <w:shd w:val="clear" w:color="auto" w:fill="auto"/>
                <w:lang w:val="en-US" w:eastAsia="zh-CN"/>
              </w:rPr>
              <w:t>000m</w:t>
            </w:r>
            <w:r>
              <w:rPr>
                <w:rFonts w:hint="default" w:ascii="Times New Roman" w:hAnsi="Times New Roman" w:cs="Times New Roman"/>
                <w:color w:val="auto"/>
                <w:sz w:val="24"/>
                <w:szCs w:val="24"/>
                <w:shd w:val="clear" w:color="auto" w:fill="auto"/>
                <w:vertAlign w:val="superscript"/>
                <w:lang w:val="en-US" w:eastAsia="zh-CN"/>
              </w:rPr>
              <w:t>3</w:t>
            </w:r>
            <w:r>
              <w:rPr>
                <w:rFonts w:hint="default" w:ascii="Times New Roman" w:hAnsi="Times New Roman" w:cs="Times New Roman"/>
                <w:color w:val="auto"/>
                <w:sz w:val="24"/>
                <w:szCs w:val="24"/>
                <w:shd w:val="clear" w:color="auto" w:fill="auto"/>
                <w:lang w:val="en-US" w:eastAsia="zh-CN"/>
              </w:rPr>
              <w:t>/h，处理效率为99%），产生颗粒物经除尘设施处理后高空排放</w:t>
            </w:r>
            <w:r>
              <w:rPr>
                <w:rFonts w:hint="eastAsia" w:ascii="Times New Roman" w:hAnsi="Times New Roman" w:cs="Times New Roman"/>
                <w:color w:val="auto"/>
                <w:sz w:val="24"/>
                <w:szCs w:val="24"/>
                <w:shd w:val="clear" w:color="auto" w:fill="auto"/>
                <w:lang w:val="en-US" w:eastAsia="zh-CN"/>
              </w:rPr>
              <w:t>（DA001、DA002）</w:t>
            </w:r>
            <w:r>
              <w:rPr>
                <w:rFonts w:hint="default" w:ascii="Times New Roman" w:hAnsi="Times New Roman" w:cs="Times New Roman"/>
                <w:color w:val="auto"/>
                <w:sz w:val="24"/>
                <w:szCs w:val="24"/>
                <w:shd w:val="clear" w:color="auto" w:fill="auto"/>
                <w:lang w:val="en-US" w:eastAsia="zh-CN"/>
              </w:rPr>
              <w:t>，所以水泥筒仓颗粒物排放量为0.0</w:t>
            </w:r>
            <w:r>
              <w:rPr>
                <w:rFonts w:hint="eastAsia" w:ascii="Times New Roman" w:hAnsi="Times New Roman" w:cs="Times New Roman"/>
                <w:color w:val="auto"/>
                <w:sz w:val="24"/>
                <w:szCs w:val="24"/>
                <w:shd w:val="clear" w:color="auto" w:fill="auto"/>
                <w:lang w:val="en-US" w:eastAsia="zh-CN"/>
              </w:rPr>
              <w:t>4</w:t>
            </w:r>
            <w:r>
              <w:rPr>
                <w:rFonts w:hint="default" w:ascii="Times New Roman" w:hAnsi="Times New Roman" w:cs="Times New Roman"/>
                <w:color w:val="auto"/>
                <w:sz w:val="24"/>
                <w:szCs w:val="24"/>
                <w:shd w:val="clear" w:color="auto" w:fill="auto"/>
                <w:lang w:val="en-US" w:eastAsia="zh-CN"/>
              </w:rPr>
              <w:t>t/a，排放速率为0.0</w:t>
            </w:r>
            <w:r>
              <w:rPr>
                <w:rFonts w:hint="eastAsia" w:ascii="Times New Roman" w:hAnsi="Times New Roman" w:cs="Times New Roman"/>
                <w:color w:val="auto"/>
                <w:sz w:val="24"/>
                <w:szCs w:val="24"/>
                <w:shd w:val="clear" w:color="auto" w:fill="auto"/>
                <w:lang w:val="en-US" w:eastAsia="zh-CN"/>
              </w:rPr>
              <w:t>2</w:t>
            </w:r>
            <w:r>
              <w:rPr>
                <w:rFonts w:hint="default" w:ascii="Times New Roman" w:hAnsi="Times New Roman" w:cs="Times New Roman"/>
                <w:color w:val="auto"/>
                <w:sz w:val="24"/>
                <w:szCs w:val="24"/>
                <w:shd w:val="clear" w:color="auto" w:fill="auto"/>
                <w:lang w:val="en-US" w:eastAsia="zh-CN"/>
              </w:rPr>
              <w:t>kg/h，排放浓度为</w:t>
            </w:r>
            <w:r>
              <w:rPr>
                <w:rFonts w:hint="eastAsia" w:ascii="Times New Roman" w:hAnsi="Times New Roman" w:cs="Times New Roman"/>
                <w:color w:val="auto"/>
                <w:sz w:val="24"/>
                <w:szCs w:val="24"/>
                <w:shd w:val="clear" w:color="auto" w:fill="auto"/>
                <w:lang w:val="en-US" w:eastAsia="zh-CN"/>
              </w:rPr>
              <w:t>4.16</w:t>
            </w:r>
            <w:r>
              <w:rPr>
                <w:rFonts w:hint="default" w:ascii="Times New Roman" w:hAnsi="Times New Roman" w:cs="Times New Roman"/>
                <w:color w:val="auto"/>
                <w:sz w:val="24"/>
                <w:szCs w:val="24"/>
                <w:shd w:val="clear" w:color="auto" w:fill="auto"/>
                <w:lang w:val="en-US" w:eastAsia="zh-CN"/>
              </w:rPr>
              <w:t>mg/m</w:t>
            </w:r>
            <w:r>
              <w:rPr>
                <w:rFonts w:hint="default" w:ascii="Times New Roman" w:hAnsi="Times New Roman" w:cs="Times New Roman"/>
                <w:color w:val="auto"/>
                <w:sz w:val="24"/>
                <w:szCs w:val="24"/>
                <w:shd w:val="clear" w:color="auto" w:fill="auto"/>
                <w:vertAlign w:val="superscript"/>
                <w:lang w:val="en-US" w:eastAsia="zh-CN"/>
              </w:rPr>
              <w:t>3</w:t>
            </w:r>
            <w:r>
              <w:rPr>
                <w:rFonts w:hint="default" w:ascii="Times New Roman" w:hAnsi="Times New Roman" w:cs="Times New Roman"/>
                <w:color w:val="auto"/>
                <w:sz w:val="24"/>
                <w:szCs w:val="24"/>
                <w:shd w:val="clear" w:color="auto" w:fill="auto"/>
                <w:vertAlign w:val="baseline"/>
                <w:lang w:val="en-US" w:eastAsia="zh-CN"/>
              </w:rPr>
              <w:t>。</w:t>
            </w:r>
          </w:p>
          <w:p w14:paraId="34CDE5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shd w:val="clear" w:color="auto" w:fill="auto"/>
                <w:vertAlign w:val="baseline"/>
                <w:lang w:val="en-US" w:eastAsia="zh-CN"/>
              </w:rPr>
            </w:pPr>
            <w:r>
              <w:rPr>
                <w:rFonts w:ascii="Times New Roman" w:hAnsi="Times New Roman"/>
                <w:kern w:val="2"/>
                <w:sz w:val="24"/>
                <w:szCs w:val="24"/>
              </w:rPr>
              <w:t>②</w:t>
            </w:r>
            <w:r>
              <w:rPr>
                <w:rFonts w:hint="eastAsia"/>
                <w:color w:val="auto"/>
                <w:sz w:val="24"/>
                <w:szCs w:val="24"/>
                <w:shd w:val="clear" w:color="auto" w:fill="auto"/>
                <w:lang w:val="en-US" w:eastAsia="zh-CN"/>
              </w:rPr>
              <w:t>石灰粉筒仓呼吸颗粒物产生量为3t/a，产生速率为1.56kg/h，产生浓度为312.5mg/m</w:t>
            </w:r>
            <w:r>
              <w:rPr>
                <w:rFonts w:hint="eastAsia"/>
                <w:color w:val="auto"/>
                <w:sz w:val="24"/>
                <w:szCs w:val="24"/>
                <w:shd w:val="clear" w:color="auto" w:fill="auto"/>
                <w:vertAlign w:val="superscript"/>
                <w:lang w:val="en-US" w:eastAsia="zh-CN"/>
              </w:rPr>
              <w:t>3</w:t>
            </w:r>
            <w:r>
              <w:rPr>
                <w:rFonts w:hint="eastAsia"/>
                <w:color w:val="auto"/>
                <w:sz w:val="24"/>
                <w:szCs w:val="24"/>
                <w:shd w:val="clear" w:color="auto" w:fill="auto"/>
                <w:lang w:val="en-US" w:eastAsia="zh-CN"/>
              </w:rPr>
              <w:t>。拟建项目水生筒仓上自带布袋脉冲除尘设施（风量5000m</w:t>
            </w:r>
            <w:r>
              <w:rPr>
                <w:rFonts w:hint="eastAsia"/>
                <w:color w:val="auto"/>
                <w:sz w:val="24"/>
                <w:szCs w:val="24"/>
                <w:shd w:val="clear" w:color="auto" w:fill="auto"/>
                <w:vertAlign w:val="superscript"/>
                <w:lang w:val="en-US" w:eastAsia="zh-CN"/>
              </w:rPr>
              <w:t>3</w:t>
            </w:r>
            <w:r>
              <w:rPr>
                <w:rFonts w:hint="eastAsia"/>
                <w:color w:val="auto"/>
                <w:sz w:val="24"/>
                <w:szCs w:val="24"/>
                <w:shd w:val="clear" w:color="auto" w:fill="auto"/>
                <w:lang w:val="en-US" w:eastAsia="zh-CN"/>
              </w:rPr>
              <w:t>/h，处理效率为99%），产生颗粒物经除尘设施处理后，高空排放</w:t>
            </w:r>
            <w:r>
              <w:rPr>
                <w:rFonts w:hint="eastAsia" w:ascii="Times New Roman" w:hAnsi="Times New Roman" w:cs="Times New Roman"/>
                <w:color w:val="auto"/>
                <w:sz w:val="24"/>
                <w:szCs w:val="24"/>
                <w:shd w:val="clear" w:color="auto" w:fill="auto"/>
                <w:lang w:val="en-US" w:eastAsia="zh-CN"/>
              </w:rPr>
              <w:t>（DA003、DA004）</w:t>
            </w:r>
            <w:r>
              <w:rPr>
                <w:rFonts w:hint="eastAsia"/>
                <w:color w:val="auto"/>
                <w:sz w:val="24"/>
                <w:szCs w:val="24"/>
                <w:shd w:val="clear" w:color="auto" w:fill="auto"/>
                <w:lang w:val="en-US" w:eastAsia="zh-CN"/>
              </w:rPr>
              <w:t>，所以石灰筒仓颗粒物排放量为0.03t/a，排放速率为0.016kg/h，排放浓度为3.13mg/m</w:t>
            </w:r>
            <w:r>
              <w:rPr>
                <w:rFonts w:hint="eastAsia"/>
                <w:color w:val="auto"/>
                <w:sz w:val="24"/>
                <w:szCs w:val="24"/>
                <w:shd w:val="clear" w:color="auto" w:fill="auto"/>
                <w:vertAlign w:val="superscript"/>
                <w:lang w:val="en-US" w:eastAsia="zh-CN"/>
              </w:rPr>
              <w:t>3</w:t>
            </w:r>
            <w:r>
              <w:rPr>
                <w:rFonts w:hint="eastAsia"/>
                <w:color w:val="auto"/>
                <w:sz w:val="24"/>
                <w:szCs w:val="24"/>
                <w:shd w:val="clear" w:color="auto" w:fill="auto"/>
                <w:vertAlign w:val="baseline"/>
                <w:lang w:val="en-US" w:eastAsia="zh-CN"/>
              </w:rPr>
              <w:t>。</w:t>
            </w:r>
          </w:p>
          <w:p w14:paraId="1E77B1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shd w:val="clear" w:color="auto" w:fill="auto"/>
                <w:vertAlign w:val="baseline"/>
                <w:lang w:val="en-US" w:eastAsia="zh-CN"/>
              </w:rPr>
            </w:pPr>
            <w:r>
              <w:rPr>
                <w:rFonts w:hint="default" w:ascii="Times New Roman" w:hAnsi="Times New Roman" w:cs="Times New Roman"/>
                <w:color w:val="auto"/>
                <w:sz w:val="24"/>
                <w:szCs w:val="24"/>
                <w:shd w:val="clear" w:color="auto" w:fill="auto"/>
                <w:vertAlign w:val="baseline"/>
                <w:lang w:val="en-US" w:eastAsia="zh-CN"/>
              </w:rPr>
              <w:t>③</w:t>
            </w:r>
            <w:r>
              <w:rPr>
                <w:rFonts w:hint="eastAsia"/>
                <w:color w:val="auto"/>
                <w:sz w:val="24"/>
                <w:szCs w:val="24"/>
                <w:shd w:val="clear" w:color="auto" w:fill="auto"/>
                <w:vertAlign w:val="baseline"/>
                <w:lang w:val="en-US" w:eastAsia="zh-CN"/>
              </w:rPr>
              <w:t>粉煤灰料筒仓年产生颗粒物15.75t/a，产生速率为8.2kg/h，产生浓度为820.3mg/m</w:t>
            </w:r>
            <w:r>
              <w:rPr>
                <w:rFonts w:hint="eastAsia"/>
                <w:color w:val="auto"/>
                <w:sz w:val="24"/>
                <w:szCs w:val="24"/>
                <w:shd w:val="clear" w:color="auto" w:fill="auto"/>
                <w:vertAlign w:val="superscript"/>
                <w:lang w:val="en-US" w:eastAsia="zh-CN"/>
              </w:rPr>
              <w:t>3</w:t>
            </w:r>
            <w:r>
              <w:rPr>
                <w:rFonts w:hint="eastAsia"/>
                <w:color w:val="auto"/>
                <w:sz w:val="24"/>
                <w:szCs w:val="24"/>
                <w:shd w:val="clear" w:color="auto" w:fill="auto"/>
                <w:vertAlign w:val="baseline"/>
                <w:lang w:val="en-US" w:eastAsia="zh-CN"/>
              </w:rPr>
              <w:t>，</w:t>
            </w:r>
            <w:r>
              <w:rPr>
                <w:rFonts w:hint="eastAsia"/>
                <w:color w:val="auto"/>
                <w:sz w:val="24"/>
                <w:szCs w:val="24"/>
                <w:shd w:val="clear" w:color="auto" w:fill="auto"/>
                <w:lang w:val="en-US" w:eastAsia="zh-CN"/>
              </w:rPr>
              <w:t>拟建项目粉煤灰筒仓上自带布袋脉冲除尘设施（风量10000m</w:t>
            </w:r>
            <w:r>
              <w:rPr>
                <w:rFonts w:hint="eastAsia"/>
                <w:color w:val="auto"/>
                <w:sz w:val="24"/>
                <w:szCs w:val="24"/>
                <w:shd w:val="clear" w:color="auto" w:fill="auto"/>
                <w:vertAlign w:val="superscript"/>
                <w:lang w:val="en-US" w:eastAsia="zh-CN"/>
              </w:rPr>
              <w:t>3</w:t>
            </w:r>
            <w:r>
              <w:rPr>
                <w:rFonts w:hint="eastAsia"/>
                <w:color w:val="auto"/>
                <w:sz w:val="24"/>
                <w:szCs w:val="24"/>
                <w:shd w:val="clear" w:color="auto" w:fill="auto"/>
                <w:lang w:val="en-US" w:eastAsia="zh-CN"/>
              </w:rPr>
              <w:t>/h，处理效率为99%），产生颗粒物经除尘设施处理后，高空排放</w:t>
            </w:r>
            <w:r>
              <w:rPr>
                <w:rFonts w:hint="eastAsia" w:ascii="Times New Roman" w:hAnsi="Times New Roman" w:cs="Times New Roman"/>
                <w:color w:val="auto"/>
                <w:sz w:val="24"/>
                <w:szCs w:val="24"/>
                <w:shd w:val="clear" w:color="auto" w:fill="auto"/>
                <w:lang w:val="en-US" w:eastAsia="zh-CN"/>
              </w:rPr>
              <w:t>（DA005、DA006）</w:t>
            </w:r>
            <w:r>
              <w:rPr>
                <w:rFonts w:hint="eastAsia"/>
                <w:color w:val="auto"/>
                <w:sz w:val="24"/>
                <w:szCs w:val="24"/>
                <w:shd w:val="clear" w:color="auto" w:fill="auto"/>
                <w:lang w:val="en-US" w:eastAsia="zh-CN"/>
              </w:rPr>
              <w:t>，所以粉煤灰筒仓颗粒物排放量为1.58t/a，排放速率为0.82kg/h，排放浓度为8.2mg/m</w:t>
            </w:r>
            <w:r>
              <w:rPr>
                <w:rFonts w:hint="eastAsia"/>
                <w:color w:val="auto"/>
                <w:sz w:val="24"/>
                <w:szCs w:val="24"/>
                <w:shd w:val="clear" w:color="auto" w:fill="auto"/>
                <w:vertAlign w:val="superscript"/>
                <w:lang w:val="en-US" w:eastAsia="zh-CN"/>
              </w:rPr>
              <w:t>3</w:t>
            </w:r>
            <w:r>
              <w:rPr>
                <w:rFonts w:hint="eastAsia"/>
                <w:color w:val="auto"/>
                <w:sz w:val="24"/>
                <w:szCs w:val="24"/>
                <w:shd w:val="clear" w:color="auto" w:fill="auto"/>
                <w:vertAlign w:val="baseline"/>
                <w:lang w:val="en-US" w:eastAsia="zh-CN"/>
              </w:rPr>
              <w:t>。</w:t>
            </w:r>
          </w:p>
          <w:p w14:paraId="1548486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lang w:val="en-US" w:eastAsia="zh-CN"/>
              </w:rPr>
            </w:pPr>
            <w:r>
              <w:rPr>
                <w:rFonts w:hint="eastAsia"/>
                <w:sz w:val="24"/>
                <w:szCs w:val="24"/>
              </w:rPr>
              <w:t>1.1.</w:t>
            </w:r>
            <w:r>
              <w:rPr>
                <w:rFonts w:hint="eastAsia"/>
                <w:sz w:val="24"/>
                <w:szCs w:val="24"/>
                <w:lang w:val="en-US" w:eastAsia="zh-CN"/>
              </w:rPr>
              <w:t>2底板清理</w:t>
            </w:r>
          </w:p>
          <w:p w14:paraId="176EA5E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lang w:val="en-US" w:eastAsia="zh-CN"/>
              </w:rPr>
            </w:pPr>
            <w:r>
              <w:rPr>
                <w:rFonts w:hint="eastAsia"/>
                <w:sz w:val="24"/>
                <w:szCs w:val="24"/>
                <w:lang w:val="en-US" w:eastAsia="zh-CN"/>
              </w:rPr>
              <w:t>项目在切割之前，需进行拆下来的底板打磨，在此过程中产生打粉尘，根据同类型企业江苏至上新材料科技有限公司年产25万立方米蒸压加气混凝土板项目的类比调查，该项目与本项目生产工艺、原辅料相同，打磨粉尘产生量约为0.01kg/m</w:t>
            </w:r>
            <w:r>
              <w:rPr>
                <w:rFonts w:hint="eastAsia"/>
                <w:sz w:val="24"/>
                <w:szCs w:val="24"/>
                <w:vertAlign w:val="superscript"/>
                <w:lang w:val="en-US" w:eastAsia="zh-CN"/>
              </w:rPr>
              <w:t>3</w:t>
            </w:r>
            <w:r>
              <w:rPr>
                <w:rFonts w:hint="eastAsia"/>
                <w:sz w:val="24"/>
                <w:szCs w:val="24"/>
                <w:lang w:val="en-US" w:eastAsia="zh-CN"/>
              </w:rPr>
              <w:t>-产品。</w:t>
            </w:r>
          </w:p>
          <w:p w14:paraId="4C78AE5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lang w:val="en-US" w:eastAsia="zh-CN"/>
              </w:rPr>
            </w:pPr>
            <w:r>
              <w:rPr>
                <w:rFonts w:hint="eastAsia"/>
                <w:sz w:val="24"/>
                <w:szCs w:val="24"/>
                <w:lang w:val="en-US" w:eastAsia="zh-CN"/>
              </w:rPr>
              <w:t>本项目蒸压加气混凝土板生产线产品产能10万m</w:t>
            </w:r>
            <w:r>
              <w:rPr>
                <w:rFonts w:hint="eastAsia"/>
                <w:sz w:val="24"/>
                <w:szCs w:val="24"/>
                <w:vertAlign w:val="superscript"/>
                <w:lang w:val="en-US" w:eastAsia="zh-CN"/>
              </w:rPr>
              <w:t>3</w:t>
            </w:r>
            <w:r>
              <w:rPr>
                <w:rFonts w:hint="eastAsia"/>
                <w:sz w:val="24"/>
                <w:szCs w:val="24"/>
                <w:lang w:val="en-US" w:eastAsia="zh-CN"/>
              </w:rPr>
              <w:t>/a，则打磨粉尘产生量约为1t/a。打磨产尘设备上方设置集气罩并安装布袋除尘器进行除尘，通过15m高排气筒DA007排气简外排。集气罩收集效率90%，布袋除尘器除尘效率99%，风机风量为2000m</w:t>
            </w:r>
            <w:r>
              <w:rPr>
                <w:rFonts w:hint="eastAsia"/>
                <w:sz w:val="24"/>
                <w:szCs w:val="24"/>
                <w:vertAlign w:val="superscript"/>
                <w:lang w:val="en-US" w:eastAsia="zh-CN"/>
              </w:rPr>
              <w:t>3</w:t>
            </w:r>
            <w:r>
              <w:rPr>
                <w:rFonts w:hint="eastAsia"/>
                <w:sz w:val="24"/>
                <w:szCs w:val="24"/>
                <w:lang w:val="en-US" w:eastAsia="zh-CN"/>
              </w:rPr>
              <w:t>/h。粉尘有组织排放浓度2.34mg/m</w:t>
            </w:r>
            <w:r>
              <w:rPr>
                <w:rFonts w:hint="eastAsia"/>
                <w:sz w:val="24"/>
                <w:szCs w:val="24"/>
                <w:vertAlign w:val="superscript"/>
                <w:lang w:val="en-US" w:eastAsia="zh-CN"/>
              </w:rPr>
              <w:t>3</w:t>
            </w:r>
            <w:r>
              <w:rPr>
                <w:rFonts w:hint="eastAsia"/>
                <w:sz w:val="24"/>
                <w:szCs w:val="24"/>
                <w:lang w:val="en-US" w:eastAsia="zh-CN"/>
              </w:rPr>
              <w:t>，排放量0.009t/a、排放速率为0.005kg/h。</w:t>
            </w:r>
          </w:p>
          <w:p w14:paraId="4FA485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1.1.3防腐处理有机废气</w:t>
            </w:r>
          </w:p>
          <w:p w14:paraId="35330A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项目钢钎防腐处理工序使用的羧基丁苯胶乳在浸渍过程中会产生少量的有机废气，以非甲烷总烃计。根据同类型企业江苏至上新材料科技有限公司年产年产80</w:t>
            </w:r>
            <w:r>
              <w:rPr>
                <w:rFonts w:hint="default" w:ascii="Times New Roman" w:hAnsi="Times New Roman" w:cs="Times New Roman"/>
                <w:sz w:val="24"/>
                <w:szCs w:val="24"/>
                <w:lang w:val="en-US" w:eastAsia="zh-CN"/>
              </w:rPr>
              <w:t>万m³</w:t>
            </w:r>
            <w:r>
              <w:rPr>
                <w:rFonts w:hint="eastAsia"/>
                <w:sz w:val="24"/>
                <w:szCs w:val="24"/>
                <w:lang w:val="en-US" w:eastAsia="zh-CN"/>
              </w:rPr>
              <w:t>蒸压加气混凝土板材项目的类比调查，该项目与本项目生产工艺、原辅料相同，本项目取挥发性有机化合物的检出限作为最大值进行计算，检出限为2g，羧基丁苯胶乳密度为1.02kg，VOCs含量以2g计，则VOCs含量=[2÷(1.02</w:t>
            </w:r>
            <w:r>
              <w:rPr>
                <w:rFonts w:hint="default" w:ascii="Arial" w:hAnsi="Arial" w:cs="Arial"/>
                <w:sz w:val="24"/>
                <w:szCs w:val="24"/>
                <w:lang w:val="en-US" w:eastAsia="zh-CN"/>
              </w:rPr>
              <w:t>×</w:t>
            </w:r>
            <w:r>
              <w:rPr>
                <w:rFonts w:hint="eastAsia"/>
                <w:sz w:val="24"/>
                <w:szCs w:val="24"/>
                <w:lang w:val="en-US" w:eastAsia="zh-CN"/>
              </w:rPr>
              <w:t>1000)</w:t>
            </w:r>
            <w:r>
              <w:rPr>
                <w:rFonts w:hint="default" w:ascii="Arial" w:hAnsi="Arial" w:cs="Arial"/>
                <w:sz w:val="24"/>
                <w:szCs w:val="24"/>
                <w:lang w:val="en-US" w:eastAsia="zh-CN"/>
              </w:rPr>
              <w:t>×</w:t>
            </w:r>
            <w:r>
              <w:rPr>
                <w:rFonts w:hint="eastAsia"/>
                <w:sz w:val="24"/>
                <w:szCs w:val="24"/>
                <w:lang w:val="en-US" w:eastAsia="zh-CN"/>
              </w:rPr>
              <w:t>100%]≈0.21%。</w:t>
            </w:r>
          </w:p>
          <w:p w14:paraId="410C50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项目防腐剂使用量为73.33t/a，则项目防腐处理工序非甲烷总烃产生量约0.15t/a，产生速率为0.08kg/h，产生浓度15.63mg/m</w:t>
            </w:r>
            <w:r>
              <w:rPr>
                <w:rFonts w:hint="eastAsia"/>
                <w:sz w:val="24"/>
                <w:szCs w:val="24"/>
                <w:vertAlign w:val="superscript"/>
                <w:lang w:val="en-US" w:eastAsia="zh-CN"/>
              </w:rPr>
              <w:t>3</w:t>
            </w:r>
            <w:r>
              <w:rPr>
                <w:rFonts w:hint="eastAsia"/>
                <w:sz w:val="24"/>
                <w:szCs w:val="24"/>
                <w:lang w:val="en-US" w:eastAsia="zh-CN"/>
              </w:rPr>
              <w:t>。</w:t>
            </w:r>
          </w:p>
          <w:p w14:paraId="144567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采用集气罩收集后，由管道送至二级活性炭吸附装置处理后经15m排气筒DA008排放。收集效率为90%，风机风量为5000m</w:t>
            </w:r>
            <w:r>
              <w:rPr>
                <w:rFonts w:hint="eastAsia"/>
                <w:sz w:val="24"/>
                <w:szCs w:val="24"/>
                <w:vertAlign w:val="superscript"/>
                <w:lang w:val="en-US" w:eastAsia="zh-CN"/>
              </w:rPr>
              <w:t>3</w:t>
            </w:r>
            <w:r>
              <w:rPr>
                <w:rFonts w:hint="eastAsia"/>
                <w:sz w:val="24"/>
                <w:szCs w:val="24"/>
                <w:lang w:val="en-US" w:eastAsia="zh-CN"/>
              </w:rPr>
              <w:t>/h，二级活性炭吸附装置处理效率为26%，处理后通过DA008排气筒排放，则有组织非甲烷总烃排放量为0.1t/a，排放速率为0.05kg/h，排放量浓度10.42mg/m</w:t>
            </w:r>
            <w:r>
              <w:rPr>
                <w:rFonts w:hint="eastAsia"/>
                <w:sz w:val="24"/>
                <w:szCs w:val="24"/>
                <w:vertAlign w:val="superscript"/>
                <w:lang w:val="en-US" w:eastAsia="zh-CN"/>
              </w:rPr>
              <w:t>3</w:t>
            </w:r>
            <w:r>
              <w:rPr>
                <w:rFonts w:hint="eastAsia"/>
                <w:sz w:val="24"/>
                <w:szCs w:val="24"/>
                <w:lang w:val="en-US" w:eastAsia="zh-CN"/>
              </w:rPr>
              <w:t>。</w:t>
            </w:r>
          </w:p>
          <w:p w14:paraId="1D800B69">
            <w:pPr>
              <w:pStyle w:val="23"/>
              <w:keepNext w:val="0"/>
              <w:keepLines w:val="0"/>
              <w:pageBreakBefore w:val="0"/>
              <w:widowControl/>
              <w:kinsoku/>
              <w:wordWrap/>
              <w:overflowPunct/>
              <w:topLinePunct w:val="0"/>
              <w:autoSpaceDE/>
              <w:autoSpaceDN/>
              <w:bidi w:val="0"/>
              <w:adjustRightInd/>
              <w:snapToGrid/>
              <w:spacing w:after="0" w:line="360" w:lineRule="auto"/>
              <w:ind w:left="0" w:leftChars="0"/>
              <w:rPr>
                <w:rFonts w:hint="eastAsia" w:ascii="Times New Roman" w:hAnsi="Times New Roman" w:eastAsia="宋体" w:cs="Times New Roman"/>
                <w:color w:val="auto"/>
                <w:kern w:val="2"/>
                <w:sz w:val="24"/>
                <w:szCs w:val="24"/>
                <w:lang w:val="en-US" w:eastAsia="zh-CN" w:bidi="ar-SA"/>
              </w:rPr>
            </w:pPr>
            <w:r>
              <w:rPr>
                <w:rFonts w:hint="eastAsia"/>
                <w:lang w:val="en-US" w:eastAsia="zh-CN"/>
              </w:rPr>
              <w:t>1.1.4</w:t>
            </w:r>
            <w:r>
              <w:rPr>
                <w:rFonts w:hint="eastAsia" w:ascii="Times New Roman" w:hAnsi="Times New Roman" w:eastAsia="宋体" w:cs="Times New Roman"/>
                <w:color w:val="auto"/>
                <w:kern w:val="2"/>
                <w:sz w:val="24"/>
                <w:szCs w:val="24"/>
                <w:lang w:val="en-US" w:eastAsia="zh-CN" w:bidi="ar-SA"/>
              </w:rPr>
              <w:t>食堂油烟</w:t>
            </w:r>
          </w:p>
          <w:p w14:paraId="192D885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本项目厂区设有职工食堂，职工食堂烹饪过程中会产生油烟，其是食用油加热到250℃以上，发生氧化、水解、聚合、裂解等反应，随沸腾的油挥发出来的烹调烟气。油烟是一种混合性烟气，据有关研究表明，油烟中含有300多种成分，主要是脂肪酸、烷烃、烯烃、醛、酮、醇、酯、芳香化合物、杂环化合物等，其中至少有数十种会危害人体健康。</w:t>
            </w:r>
          </w:p>
          <w:p w14:paraId="3E86EA1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据调查，人均食用油用量约30g/人·d，本项目厂区新增食宿人员</w:t>
            </w:r>
            <w:r>
              <w:rPr>
                <w:rFonts w:hint="eastAsia" w:eastAsia="宋体" w:cs="Times New Roman"/>
                <w:color w:val="auto"/>
                <w:kern w:val="2"/>
                <w:sz w:val="24"/>
                <w:szCs w:val="24"/>
                <w:lang w:val="en-US" w:eastAsia="zh-CN" w:bidi="ar-SA"/>
              </w:rPr>
              <w:t>53</w:t>
            </w:r>
            <w:r>
              <w:rPr>
                <w:rFonts w:hint="eastAsia" w:ascii="Times New Roman" w:hAnsi="Times New Roman" w:eastAsia="宋体" w:cs="Times New Roman"/>
                <w:color w:val="auto"/>
                <w:kern w:val="2"/>
                <w:sz w:val="24"/>
                <w:szCs w:val="24"/>
                <w:lang w:val="en-US" w:eastAsia="zh-CN" w:bidi="ar-SA"/>
              </w:rPr>
              <w:t>人，年工作以</w:t>
            </w:r>
            <w:r>
              <w:rPr>
                <w:rFonts w:hint="eastAsia" w:eastAsia="宋体" w:cs="Times New Roman"/>
                <w:color w:val="auto"/>
                <w:kern w:val="2"/>
                <w:sz w:val="24"/>
                <w:szCs w:val="24"/>
                <w:lang w:val="en-US" w:eastAsia="zh-CN" w:bidi="ar-SA"/>
              </w:rPr>
              <w:t>24</w:t>
            </w:r>
            <w:r>
              <w:rPr>
                <w:rFonts w:hint="eastAsia" w:ascii="Times New Roman" w:hAnsi="Times New Roman" w:eastAsia="宋体" w:cs="Times New Roman"/>
                <w:color w:val="auto"/>
                <w:kern w:val="2"/>
                <w:sz w:val="24"/>
                <w:szCs w:val="24"/>
                <w:lang w:val="en-US" w:eastAsia="zh-CN" w:bidi="ar-SA"/>
              </w:rPr>
              <w:t>0d计，则本项目食用油用量约</w:t>
            </w:r>
            <w:r>
              <w:rPr>
                <w:rFonts w:hint="eastAsia" w:eastAsia="宋体" w:cs="Times New Roman"/>
                <w:color w:val="auto"/>
                <w:kern w:val="2"/>
                <w:sz w:val="24"/>
                <w:szCs w:val="24"/>
                <w:lang w:val="en-US" w:eastAsia="zh-CN" w:bidi="ar-SA"/>
              </w:rPr>
              <w:t>381.6</w:t>
            </w:r>
            <w:r>
              <w:rPr>
                <w:rFonts w:hint="eastAsia" w:ascii="Times New Roman" w:hAnsi="Times New Roman" w:eastAsia="宋体" w:cs="Times New Roman"/>
                <w:color w:val="auto"/>
                <w:kern w:val="2"/>
                <w:sz w:val="24"/>
                <w:szCs w:val="24"/>
                <w:lang w:val="en-US" w:eastAsia="zh-CN" w:bidi="ar-SA"/>
              </w:rPr>
              <w:t>kg/a。根据对餐饮行业调查，油烟挥发量一般占食用油用量的2-4%，由于职工食堂油烟挥发量低于餐饮行业油烟挥发量，故职工食堂油烟挥发量按2%计算，则油烟产生量为</w:t>
            </w:r>
            <w:r>
              <w:rPr>
                <w:rFonts w:hint="eastAsia" w:eastAsia="宋体" w:cs="Times New Roman"/>
                <w:color w:val="auto"/>
                <w:kern w:val="2"/>
                <w:sz w:val="24"/>
                <w:szCs w:val="24"/>
                <w:lang w:val="en-US" w:eastAsia="zh-CN" w:bidi="ar-SA"/>
              </w:rPr>
              <w:t>7.63</w:t>
            </w:r>
            <w:r>
              <w:rPr>
                <w:rFonts w:hint="eastAsia" w:ascii="Times New Roman" w:hAnsi="Times New Roman" w:eastAsia="宋体" w:cs="Times New Roman"/>
                <w:color w:val="auto"/>
                <w:kern w:val="2"/>
                <w:sz w:val="24"/>
                <w:szCs w:val="24"/>
                <w:lang w:val="en-US" w:eastAsia="zh-CN" w:bidi="ar-SA"/>
              </w:rPr>
              <w:t>kg/a。</w:t>
            </w:r>
          </w:p>
          <w:p w14:paraId="15D27AE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lang w:val="en-US" w:eastAsia="zh-CN"/>
              </w:rPr>
            </w:pPr>
            <w:r>
              <w:rPr>
                <w:rFonts w:hint="eastAsia" w:ascii="Times New Roman" w:hAnsi="Times New Roman" w:eastAsia="宋体" w:cs="Times New Roman"/>
                <w:color w:val="auto"/>
                <w:kern w:val="2"/>
                <w:sz w:val="24"/>
                <w:szCs w:val="24"/>
                <w:lang w:val="en-US" w:eastAsia="zh-CN" w:bidi="ar-SA"/>
              </w:rPr>
              <w:t>食堂烹饪所产生的油烟在未采取净化措施加以治理的情况下，一般平均浓度约为12.0mg/m</w:t>
            </w:r>
            <w:r>
              <w:rPr>
                <w:rFonts w:hint="eastAsia" w:ascii="Times New Roman" w:hAnsi="Times New Roman" w:eastAsia="宋体" w:cs="Times New Roman"/>
                <w:color w:val="auto"/>
                <w:kern w:val="2"/>
                <w:sz w:val="24"/>
                <w:szCs w:val="24"/>
                <w:vertAlign w:val="superscript"/>
                <w:lang w:val="en-US" w:eastAsia="zh-CN" w:bidi="ar-SA"/>
              </w:rPr>
              <w:t>3</w:t>
            </w:r>
            <w:r>
              <w:rPr>
                <w:rFonts w:hint="eastAsia" w:ascii="Times New Roman" w:hAnsi="Times New Roman" w:eastAsia="宋体" w:cs="Times New Roman"/>
                <w:color w:val="auto"/>
                <w:kern w:val="2"/>
                <w:sz w:val="24"/>
                <w:szCs w:val="24"/>
                <w:lang w:val="en-US" w:eastAsia="zh-CN" w:bidi="ar-SA"/>
              </w:rPr>
              <w:t>，超过《饮食业油烟排放标准》（GB18483-2001）中最高允许排放浓度为2.0mg/m</w:t>
            </w:r>
            <w:r>
              <w:rPr>
                <w:rFonts w:hint="eastAsia" w:ascii="Times New Roman" w:hAnsi="Times New Roman" w:eastAsia="宋体" w:cs="Times New Roman"/>
                <w:color w:val="auto"/>
                <w:kern w:val="2"/>
                <w:sz w:val="24"/>
                <w:szCs w:val="24"/>
                <w:vertAlign w:val="superscript"/>
                <w:lang w:val="en-US" w:eastAsia="zh-CN" w:bidi="ar-SA"/>
              </w:rPr>
              <w:t>3</w:t>
            </w:r>
            <w:r>
              <w:rPr>
                <w:rFonts w:hint="eastAsia" w:ascii="Times New Roman" w:hAnsi="Times New Roman" w:eastAsia="宋体" w:cs="Times New Roman"/>
                <w:color w:val="auto"/>
                <w:kern w:val="2"/>
                <w:sz w:val="24"/>
                <w:szCs w:val="24"/>
                <w:lang w:val="en-US" w:eastAsia="zh-CN" w:bidi="ar-SA"/>
              </w:rPr>
              <w:t>的限值。食堂烹饪油烟为间隙、不定量排放，食堂安装油烟净化器，使油烟处理效率达到85%，油烟经处理后，油烟废气排放量较少，且为分散、不连续排放，项目区通风好，油烟废气容易扩散，集中收集后经排气筒引至食堂房顶高空排放，排放量为</w:t>
            </w:r>
            <w:r>
              <w:rPr>
                <w:rFonts w:hint="eastAsia" w:eastAsia="宋体" w:cs="Times New Roman"/>
                <w:color w:val="auto"/>
                <w:kern w:val="2"/>
                <w:sz w:val="24"/>
                <w:szCs w:val="24"/>
                <w:lang w:val="en-US" w:eastAsia="zh-CN" w:bidi="ar-SA"/>
              </w:rPr>
              <w:t>1.14</w:t>
            </w:r>
            <w:r>
              <w:rPr>
                <w:rFonts w:hint="eastAsia" w:ascii="Times New Roman" w:hAnsi="Times New Roman" w:eastAsia="宋体" w:cs="Times New Roman"/>
                <w:color w:val="auto"/>
                <w:kern w:val="2"/>
                <w:sz w:val="24"/>
                <w:szCs w:val="24"/>
                <w:lang w:val="en-US" w:eastAsia="zh-CN" w:bidi="ar-SA"/>
              </w:rPr>
              <w:t>kg/a，排风量取1000m</w:t>
            </w:r>
            <w:r>
              <w:rPr>
                <w:rFonts w:hint="eastAsia" w:ascii="Times New Roman" w:hAnsi="Times New Roman" w:eastAsia="宋体" w:cs="Times New Roman"/>
                <w:color w:val="auto"/>
                <w:kern w:val="2"/>
                <w:sz w:val="24"/>
                <w:szCs w:val="24"/>
                <w:vertAlign w:val="superscript"/>
                <w:lang w:val="en-US" w:eastAsia="zh-CN" w:bidi="ar-SA"/>
              </w:rPr>
              <w:t>3</w:t>
            </w:r>
            <w:r>
              <w:rPr>
                <w:rFonts w:hint="eastAsia" w:ascii="Times New Roman" w:hAnsi="Times New Roman" w:eastAsia="宋体" w:cs="Times New Roman"/>
                <w:color w:val="auto"/>
                <w:kern w:val="2"/>
                <w:sz w:val="24"/>
                <w:szCs w:val="24"/>
                <w:lang w:val="en-US" w:eastAsia="zh-CN" w:bidi="ar-SA"/>
              </w:rPr>
              <w:t>/h，排放浓度为0.</w:t>
            </w:r>
            <w:r>
              <w:rPr>
                <w:rFonts w:hint="eastAsia" w:eastAsia="宋体" w:cs="Times New Roman"/>
                <w:color w:val="auto"/>
                <w:kern w:val="2"/>
                <w:sz w:val="24"/>
                <w:szCs w:val="24"/>
                <w:lang w:val="en-US" w:eastAsia="zh-CN" w:bidi="ar-SA"/>
              </w:rPr>
              <w:t>59</w:t>
            </w:r>
            <w:r>
              <w:rPr>
                <w:rFonts w:hint="eastAsia" w:ascii="Times New Roman" w:hAnsi="Times New Roman" w:eastAsia="宋体" w:cs="Times New Roman"/>
                <w:color w:val="auto"/>
                <w:kern w:val="2"/>
                <w:sz w:val="24"/>
                <w:szCs w:val="24"/>
                <w:lang w:val="en-US" w:eastAsia="zh-CN" w:bidi="ar-SA"/>
              </w:rPr>
              <w:t>mg/m</w:t>
            </w:r>
            <w:r>
              <w:rPr>
                <w:rFonts w:hint="eastAsia" w:ascii="Times New Roman" w:hAnsi="Times New Roman" w:eastAsia="宋体" w:cs="Times New Roman"/>
                <w:color w:val="auto"/>
                <w:kern w:val="2"/>
                <w:sz w:val="24"/>
                <w:szCs w:val="24"/>
                <w:vertAlign w:val="superscript"/>
                <w:lang w:val="en-US" w:eastAsia="zh-CN" w:bidi="ar-SA"/>
              </w:rPr>
              <w:t>3</w:t>
            </w:r>
            <w:r>
              <w:rPr>
                <w:rFonts w:hint="eastAsia" w:ascii="Times New Roman" w:hAnsi="Times New Roman" w:eastAsia="宋体" w:cs="Times New Roman"/>
                <w:color w:val="auto"/>
                <w:kern w:val="2"/>
                <w:sz w:val="24"/>
                <w:szCs w:val="24"/>
                <w:lang w:val="en-US" w:eastAsia="zh-CN" w:bidi="ar-SA"/>
              </w:rPr>
              <w:t>，可满足《饮食业油烟排放标准》（GB18483-2001）中最高允许排放浓度为2.0mg/m</w:t>
            </w:r>
            <w:r>
              <w:rPr>
                <w:rFonts w:hint="eastAsia" w:ascii="Times New Roman" w:hAnsi="Times New Roman" w:eastAsia="宋体" w:cs="Times New Roman"/>
                <w:color w:val="auto"/>
                <w:kern w:val="2"/>
                <w:sz w:val="24"/>
                <w:szCs w:val="24"/>
                <w:vertAlign w:val="superscript"/>
                <w:lang w:val="en-US" w:eastAsia="zh-CN" w:bidi="ar-SA"/>
              </w:rPr>
              <w:t>3</w:t>
            </w:r>
            <w:r>
              <w:rPr>
                <w:rFonts w:hint="eastAsia" w:ascii="Times New Roman" w:hAnsi="Times New Roman" w:eastAsia="宋体" w:cs="Times New Roman"/>
                <w:color w:val="auto"/>
                <w:kern w:val="2"/>
                <w:sz w:val="24"/>
                <w:szCs w:val="24"/>
                <w:lang w:val="en-US" w:eastAsia="zh-CN" w:bidi="ar-SA"/>
              </w:rPr>
              <w:t>的限值要求。</w:t>
            </w:r>
          </w:p>
          <w:p w14:paraId="27B95C56">
            <w:pPr>
              <w:topLinePunct/>
              <w:spacing w:line="360" w:lineRule="auto"/>
              <w:ind w:firstLine="480" w:firstLineChars="200"/>
              <w:textAlignment w:val="baseline"/>
              <w:rPr>
                <w:rFonts w:ascii="宋体" w:hAnsi="宋体" w:cs="宋体"/>
                <w:sz w:val="24"/>
                <w:szCs w:val="24"/>
              </w:rPr>
            </w:pPr>
            <w:r>
              <w:rPr>
                <w:sz w:val="24"/>
                <w:szCs w:val="24"/>
              </w:rPr>
              <w:t>1.1.</w:t>
            </w:r>
            <w:r>
              <w:rPr>
                <w:rFonts w:hint="eastAsia"/>
                <w:sz w:val="24"/>
                <w:szCs w:val="24"/>
                <w:lang w:val="en-US" w:eastAsia="zh-CN"/>
              </w:rPr>
              <w:t>5</w:t>
            </w:r>
            <w:r>
              <w:rPr>
                <w:rFonts w:hint="eastAsia" w:ascii="宋体" w:hAnsi="宋体" w:cs="宋体"/>
                <w:sz w:val="24"/>
                <w:szCs w:val="24"/>
              </w:rPr>
              <w:t>有组织废气污染源强统计</w:t>
            </w:r>
          </w:p>
          <w:p w14:paraId="1C6DF32D">
            <w:pPr>
              <w:pStyle w:val="36"/>
              <w:adjustRightInd/>
              <w:snapToGrid/>
              <w:spacing w:after="0" w:line="360" w:lineRule="auto"/>
              <w:ind w:firstLine="480" w:firstLineChars="200"/>
              <w:jc w:val="both"/>
              <w:rPr>
                <w:rFonts w:eastAsia="宋体"/>
                <w:b/>
                <w:bCs/>
                <w:sz w:val="24"/>
                <w:szCs w:val="24"/>
              </w:rPr>
            </w:pPr>
            <w:r>
              <w:rPr>
                <w:rFonts w:hint="eastAsia" w:eastAsia="宋体"/>
                <w:sz w:val="24"/>
                <w:szCs w:val="24"/>
              </w:rPr>
              <w:t>本项目有组织废气污染物产排情况及执行标准见下表。</w:t>
            </w:r>
          </w:p>
          <w:p w14:paraId="08DB410B">
            <w:pPr>
              <w:pStyle w:val="36"/>
              <w:adjustRightInd/>
              <w:snapToGrid/>
              <w:spacing w:after="0" w:line="240" w:lineRule="auto"/>
              <w:rPr>
                <w:rFonts w:eastAsia="宋体"/>
                <w:b/>
                <w:bCs/>
                <w:sz w:val="21"/>
                <w:szCs w:val="21"/>
              </w:rPr>
            </w:pPr>
            <w:r>
              <w:rPr>
                <w:rFonts w:hint="eastAsia" w:eastAsia="宋体"/>
                <w:b/>
                <w:bCs/>
                <w:sz w:val="21"/>
                <w:szCs w:val="21"/>
              </w:rPr>
              <w:t>表4-1  有组织废气污染物产排情况及执行标准一览表</w:t>
            </w:r>
          </w:p>
          <w:tbl>
            <w:tblPr>
              <w:tblStyle w:val="24"/>
              <w:tblW w:w="900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0"/>
              <w:gridCol w:w="680"/>
              <w:gridCol w:w="899"/>
              <w:gridCol w:w="1100"/>
              <w:gridCol w:w="1161"/>
              <w:gridCol w:w="2347"/>
              <w:gridCol w:w="2178"/>
            </w:tblGrid>
            <w:tr w14:paraId="4C658B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20" w:type="dxa"/>
                  <w:gridSpan w:val="2"/>
                  <w:tcBorders>
                    <w:tl2br w:val="nil"/>
                    <w:tr2bl w:val="nil"/>
                  </w:tcBorders>
                  <w:noWrap/>
                  <w:vAlign w:val="center"/>
                </w:tcPr>
                <w:p w14:paraId="51F0ED6C">
                  <w:pPr>
                    <w:keepNext w:val="0"/>
                    <w:keepLines w:val="0"/>
                    <w:pageBreakBefore w:val="0"/>
                    <w:kinsoku/>
                    <w:wordWrap/>
                    <w:topLinePunct w:val="0"/>
                    <w:autoSpaceDN/>
                    <w:bidi w:val="0"/>
                    <w:adjustRightInd/>
                    <w:snapToGrid/>
                    <w:jc w:val="center"/>
                    <w:textAlignment w:val="auto"/>
                    <w:rPr>
                      <w:b/>
                      <w:bCs/>
                      <w:sz w:val="21"/>
                      <w:szCs w:val="21"/>
                    </w:rPr>
                  </w:pPr>
                  <w:r>
                    <w:rPr>
                      <w:b/>
                      <w:bCs/>
                      <w:sz w:val="21"/>
                      <w:szCs w:val="21"/>
                    </w:rPr>
                    <w:t>排放源</w:t>
                  </w:r>
                </w:p>
              </w:tc>
              <w:tc>
                <w:tcPr>
                  <w:tcW w:w="899" w:type="dxa"/>
                  <w:tcBorders>
                    <w:tl2br w:val="nil"/>
                    <w:tr2bl w:val="nil"/>
                  </w:tcBorders>
                  <w:noWrap/>
                  <w:vAlign w:val="center"/>
                </w:tcPr>
                <w:p w14:paraId="311839FC">
                  <w:pPr>
                    <w:keepNext w:val="0"/>
                    <w:keepLines w:val="0"/>
                    <w:pageBreakBefore w:val="0"/>
                    <w:kinsoku/>
                    <w:wordWrap/>
                    <w:topLinePunct w:val="0"/>
                    <w:autoSpaceDN/>
                    <w:bidi w:val="0"/>
                    <w:adjustRightInd/>
                    <w:snapToGrid/>
                    <w:jc w:val="center"/>
                    <w:textAlignment w:val="auto"/>
                    <w:rPr>
                      <w:b/>
                      <w:bCs/>
                      <w:sz w:val="21"/>
                      <w:szCs w:val="21"/>
                    </w:rPr>
                  </w:pPr>
                  <w:r>
                    <w:rPr>
                      <w:b/>
                      <w:bCs/>
                      <w:sz w:val="21"/>
                      <w:szCs w:val="21"/>
                    </w:rPr>
                    <w:t>污染物名称</w:t>
                  </w:r>
                </w:p>
              </w:tc>
              <w:tc>
                <w:tcPr>
                  <w:tcW w:w="1100" w:type="dxa"/>
                  <w:tcBorders>
                    <w:tl2br w:val="nil"/>
                    <w:tr2bl w:val="nil"/>
                  </w:tcBorders>
                  <w:noWrap/>
                  <w:vAlign w:val="center"/>
                </w:tcPr>
                <w:p w14:paraId="383AF9D7">
                  <w:pPr>
                    <w:keepNext w:val="0"/>
                    <w:keepLines w:val="0"/>
                    <w:pageBreakBefore w:val="0"/>
                    <w:kinsoku/>
                    <w:wordWrap/>
                    <w:overflowPunct w:val="0"/>
                    <w:topLinePunct w:val="0"/>
                    <w:autoSpaceDN/>
                    <w:bidi w:val="0"/>
                    <w:adjustRightInd/>
                    <w:snapToGrid/>
                    <w:jc w:val="center"/>
                    <w:textAlignment w:val="auto"/>
                    <w:rPr>
                      <w:b/>
                      <w:bCs/>
                      <w:sz w:val="21"/>
                      <w:szCs w:val="21"/>
                    </w:rPr>
                  </w:pPr>
                  <w:r>
                    <w:rPr>
                      <w:b/>
                      <w:bCs/>
                      <w:sz w:val="21"/>
                      <w:szCs w:val="21"/>
                    </w:rPr>
                    <w:t>排放量</w:t>
                  </w:r>
                  <w:r>
                    <w:rPr>
                      <w:rFonts w:hint="eastAsia"/>
                      <w:b/>
                      <w:bCs/>
                      <w:sz w:val="21"/>
                      <w:szCs w:val="21"/>
                    </w:rPr>
                    <w:t>（t/a）</w:t>
                  </w:r>
                </w:p>
              </w:tc>
              <w:tc>
                <w:tcPr>
                  <w:tcW w:w="1161" w:type="dxa"/>
                  <w:tcBorders>
                    <w:tl2br w:val="nil"/>
                    <w:tr2bl w:val="nil"/>
                  </w:tcBorders>
                  <w:noWrap/>
                  <w:vAlign w:val="center"/>
                </w:tcPr>
                <w:p w14:paraId="23B6D3CD">
                  <w:pPr>
                    <w:keepNext w:val="0"/>
                    <w:keepLines w:val="0"/>
                    <w:pageBreakBefore w:val="0"/>
                    <w:kinsoku/>
                    <w:wordWrap/>
                    <w:topLinePunct w:val="0"/>
                    <w:autoSpaceDE w:val="0"/>
                    <w:autoSpaceDN/>
                    <w:bidi w:val="0"/>
                    <w:adjustRightInd/>
                    <w:snapToGrid/>
                    <w:jc w:val="center"/>
                    <w:textAlignment w:val="auto"/>
                    <w:rPr>
                      <w:b/>
                      <w:bCs/>
                      <w:sz w:val="21"/>
                      <w:szCs w:val="21"/>
                    </w:rPr>
                  </w:pPr>
                  <w:r>
                    <w:rPr>
                      <w:b/>
                      <w:bCs/>
                      <w:sz w:val="21"/>
                      <w:szCs w:val="21"/>
                    </w:rPr>
                    <w:t>排放浓度</w:t>
                  </w:r>
                  <w:r>
                    <w:rPr>
                      <w:rFonts w:hint="eastAsia"/>
                      <w:b/>
                      <w:bCs/>
                      <w:sz w:val="21"/>
                      <w:szCs w:val="21"/>
                    </w:rPr>
                    <w:t>/（</w:t>
                  </w:r>
                  <w:r>
                    <w:rPr>
                      <w:rFonts w:hint="eastAsia"/>
                      <w:sz w:val="21"/>
                      <w:szCs w:val="21"/>
                    </w:rPr>
                    <w:t>mg/m</w:t>
                  </w:r>
                  <w:r>
                    <w:rPr>
                      <w:rFonts w:hint="eastAsia"/>
                      <w:sz w:val="21"/>
                      <w:szCs w:val="21"/>
                      <w:vertAlign w:val="superscript"/>
                    </w:rPr>
                    <w:t>3</w:t>
                  </w:r>
                  <w:r>
                    <w:rPr>
                      <w:rFonts w:hint="eastAsia"/>
                      <w:b/>
                      <w:bCs/>
                      <w:sz w:val="21"/>
                      <w:szCs w:val="21"/>
                    </w:rPr>
                    <w:t>）</w:t>
                  </w:r>
                </w:p>
              </w:tc>
              <w:tc>
                <w:tcPr>
                  <w:tcW w:w="2347" w:type="dxa"/>
                  <w:tcBorders>
                    <w:tl2br w:val="nil"/>
                    <w:tr2bl w:val="nil"/>
                  </w:tcBorders>
                  <w:noWrap/>
                  <w:vAlign w:val="center"/>
                </w:tcPr>
                <w:p w14:paraId="3AA0CFB0">
                  <w:pPr>
                    <w:keepNext w:val="0"/>
                    <w:keepLines w:val="0"/>
                    <w:pageBreakBefore w:val="0"/>
                    <w:kinsoku/>
                    <w:wordWrap/>
                    <w:topLinePunct w:val="0"/>
                    <w:autoSpaceDN/>
                    <w:bidi w:val="0"/>
                    <w:adjustRightInd/>
                    <w:snapToGrid/>
                    <w:jc w:val="center"/>
                    <w:textAlignment w:val="auto"/>
                    <w:rPr>
                      <w:b/>
                      <w:bCs/>
                      <w:sz w:val="21"/>
                      <w:szCs w:val="21"/>
                    </w:rPr>
                  </w:pPr>
                  <w:r>
                    <w:rPr>
                      <w:b/>
                      <w:bCs/>
                      <w:sz w:val="21"/>
                      <w:szCs w:val="21"/>
                    </w:rPr>
                    <w:t>处理措施</w:t>
                  </w:r>
                  <w:r>
                    <w:rPr>
                      <w:rFonts w:hint="eastAsia"/>
                      <w:b/>
                      <w:bCs/>
                      <w:sz w:val="21"/>
                      <w:szCs w:val="21"/>
                    </w:rPr>
                    <w:t>及效率</w:t>
                  </w:r>
                </w:p>
              </w:tc>
              <w:tc>
                <w:tcPr>
                  <w:tcW w:w="2178" w:type="dxa"/>
                  <w:tcBorders>
                    <w:tl2br w:val="nil"/>
                    <w:tr2bl w:val="nil"/>
                  </w:tcBorders>
                  <w:noWrap/>
                  <w:vAlign w:val="center"/>
                </w:tcPr>
                <w:p w14:paraId="4FDFE90B">
                  <w:pPr>
                    <w:keepNext w:val="0"/>
                    <w:keepLines w:val="0"/>
                    <w:pageBreakBefore w:val="0"/>
                    <w:kinsoku/>
                    <w:wordWrap/>
                    <w:topLinePunct w:val="0"/>
                    <w:autoSpaceDN/>
                    <w:bidi w:val="0"/>
                    <w:adjustRightInd/>
                    <w:snapToGrid/>
                    <w:jc w:val="center"/>
                    <w:textAlignment w:val="auto"/>
                    <w:rPr>
                      <w:b/>
                      <w:bCs/>
                      <w:sz w:val="21"/>
                      <w:szCs w:val="21"/>
                    </w:rPr>
                  </w:pPr>
                  <w:r>
                    <w:rPr>
                      <w:b/>
                      <w:bCs/>
                      <w:sz w:val="21"/>
                      <w:szCs w:val="21"/>
                    </w:rPr>
                    <w:t>执行标准</w:t>
                  </w:r>
                </w:p>
              </w:tc>
            </w:tr>
            <w:tr w14:paraId="7E9FD4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40" w:type="dxa"/>
                  <w:vMerge w:val="restart"/>
                  <w:tcBorders>
                    <w:tl2br w:val="nil"/>
                    <w:tr2bl w:val="nil"/>
                  </w:tcBorders>
                  <w:noWrap/>
                  <w:vAlign w:val="center"/>
                </w:tcPr>
                <w:p w14:paraId="3E9C5D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hint="eastAsia"/>
                      <w:sz w:val="21"/>
                      <w:szCs w:val="21"/>
                      <w:lang w:val="en-US" w:eastAsia="zh-CN"/>
                    </w:rPr>
                    <w:t>物料输送储存</w:t>
                  </w:r>
                </w:p>
              </w:tc>
              <w:tc>
                <w:tcPr>
                  <w:tcW w:w="680" w:type="dxa"/>
                  <w:tcBorders>
                    <w:tl2br w:val="nil"/>
                    <w:tr2bl w:val="nil"/>
                  </w:tcBorders>
                  <w:noWrap/>
                  <w:vAlign w:val="center"/>
                </w:tcPr>
                <w:p w14:paraId="1DC381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水泥</w:t>
                  </w:r>
                </w:p>
              </w:tc>
              <w:tc>
                <w:tcPr>
                  <w:tcW w:w="899" w:type="dxa"/>
                  <w:vMerge w:val="restart"/>
                  <w:tcBorders>
                    <w:tl2br w:val="nil"/>
                    <w:tr2bl w:val="nil"/>
                  </w:tcBorders>
                  <w:noWrap/>
                  <w:vAlign w:val="center"/>
                </w:tcPr>
                <w:p w14:paraId="275FFE15">
                  <w:pPr>
                    <w:keepNext w:val="0"/>
                    <w:keepLines w:val="0"/>
                    <w:pageBreakBefore w:val="0"/>
                    <w:kinsoku/>
                    <w:wordWrap/>
                    <w:topLinePunct w:val="0"/>
                    <w:autoSpaceDN/>
                    <w:bidi w:val="0"/>
                    <w:adjustRightInd/>
                    <w:snapToGrid/>
                    <w:jc w:val="center"/>
                    <w:textAlignment w:val="auto"/>
                    <w:rPr>
                      <w:sz w:val="21"/>
                      <w:szCs w:val="21"/>
                    </w:rPr>
                  </w:pPr>
                  <w:r>
                    <w:rPr>
                      <w:rFonts w:hint="eastAsia"/>
                      <w:sz w:val="21"/>
                      <w:szCs w:val="21"/>
                    </w:rPr>
                    <w:t>粉尘</w:t>
                  </w:r>
                </w:p>
              </w:tc>
              <w:tc>
                <w:tcPr>
                  <w:tcW w:w="1100" w:type="dxa"/>
                  <w:tcBorders>
                    <w:tl2br w:val="nil"/>
                    <w:tr2bl w:val="nil"/>
                  </w:tcBorders>
                  <w:noWrap/>
                  <w:vAlign w:val="center"/>
                </w:tcPr>
                <w:p w14:paraId="5A88E028">
                  <w:pPr>
                    <w:keepNext w:val="0"/>
                    <w:keepLines w:val="0"/>
                    <w:pageBreakBefore w:val="0"/>
                    <w:kinsoku/>
                    <w:wordWrap/>
                    <w:topLinePunct w:val="0"/>
                    <w:autoSpaceDN/>
                    <w:bidi w:val="0"/>
                    <w:adjustRightInd/>
                    <w:snapToGrid/>
                    <w:jc w:val="center"/>
                    <w:textAlignment w:val="auto"/>
                    <w:rPr>
                      <w:rFonts w:hint="default" w:eastAsia="宋体"/>
                      <w:sz w:val="21"/>
                      <w:szCs w:val="21"/>
                      <w:lang w:val="en-US" w:eastAsia="zh-CN"/>
                    </w:rPr>
                  </w:pPr>
                  <w:r>
                    <w:rPr>
                      <w:rFonts w:hint="eastAsia"/>
                      <w:sz w:val="21"/>
                      <w:szCs w:val="21"/>
                      <w:lang w:val="en-US" w:eastAsia="zh-CN"/>
                    </w:rPr>
                    <w:t>0.04</w:t>
                  </w:r>
                </w:p>
              </w:tc>
              <w:tc>
                <w:tcPr>
                  <w:tcW w:w="1161" w:type="dxa"/>
                  <w:tcBorders>
                    <w:tl2br w:val="nil"/>
                    <w:tr2bl w:val="nil"/>
                  </w:tcBorders>
                  <w:noWrap/>
                  <w:vAlign w:val="center"/>
                </w:tcPr>
                <w:p w14:paraId="79011CA8">
                  <w:pPr>
                    <w:keepNext w:val="0"/>
                    <w:keepLines w:val="0"/>
                    <w:pageBreakBefore w:val="0"/>
                    <w:kinsoku/>
                    <w:wordWrap/>
                    <w:topLinePunct w:val="0"/>
                    <w:autoSpaceDN/>
                    <w:bidi w:val="0"/>
                    <w:adjustRightInd/>
                    <w:snapToGrid/>
                    <w:jc w:val="center"/>
                    <w:textAlignment w:val="auto"/>
                    <w:rPr>
                      <w:rFonts w:hint="default" w:eastAsia="宋体"/>
                      <w:sz w:val="21"/>
                      <w:szCs w:val="21"/>
                      <w:lang w:val="en-US" w:eastAsia="zh-CN"/>
                    </w:rPr>
                  </w:pPr>
                  <w:r>
                    <w:rPr>
                      <w:rFonts w:hint="eastAsia"/>
                      <w:sz w:val="21"/>
                      <w:szCs w:val="21"/>
                      <w:lang w:val="en-US" w:eastAsia="zh-CN"/>
                    </w:rPr>
                    <w:t>4.16</w:t>
                  </w:r>
                </w:p>
              </w:tc>
              <w:tc>
                <w:tcPr>
                  <w:tcW w:w="2347" w:type="dxa"/>
                  <w:vMerge w:val="restart"/>
                  <w:tcBorders>
                    <w:tl2br w:val="nil"/>
                    <w:tr2bl w:val="nil"/>
                  </w:tcBorders>
                  <w:noWrap/>
                  <w:vAlign w:val="center"/>
                </w:tcPr>
                <w:p w14:paraId="4A26B462">
                  <w:pPr>
                    <w:keepNext w:val="0"/>
                    <w:keepLines w:val="0"/>
                    <w:pageBreakBefore w:val="0"/>
                    <w:kinsoku/>
                    <w:wordWrap/>
                    <w:topLinePunct w:val="0"/>
                    <w:autoSpaceDN/>
                    <w:bidi w:val="0"/>
                    <w:adjustRightInd/>
                    <w:snapToGrid/>
                    <w:jc w:val="center"/>
                    <w:textAlignment w:val="auto"/>
                    <w:rPr>
                      <w:sz w:val="21"/>
                      <w:szCs w:val="21"/>
                    </w:rPr>
                  </w:pPr>
                  <w:r>
                    <w:rPr>
                      <w:rFonts w:hint="eastAsia"/>
                      <w:sz w:val="21"/>
                      <w:szCs w:val="21"/>
                      <w:lang w:val="en-US" w:eastAsia="zh-CN"/>
                    </w:rPr>
                    <w:t>筒仓自带</w:t>
                  </w:r>
                  <w:r>
                    <w:rPr>
                      <w:rFonts w:hint="eastAsia"/>
                      <w:sz w:val="21"/>
                      <w:szCs w:val="21"/>
                    </w:rPr>
                    <w:t>布袋除尘+</w:t>
                  </w:r>
                  <w:r>
                    <w:rPr>
                      <w:rFonts w:hint="eastAsia"/>
                      <w:sz w:val="21"/>
                      <w:szCs w:val="21"/>
                      <w:lang w:val="en-US" w:eastAsia="zh-CN"/>
                    </w:rPr>
                    <w:t>高空排放</w:t>
                  </w:r>
                  <w:r>
                    <w:rPr>
                      <w:rFonts w:hint="eastAsia"/>
                      <w:sz w:val="21"/>
                      <w:szCs w:val="21"/>
                    </w:rPr>
                    <w:t>（DA001</w:t>
                  </w:r>
                  <w:r>
                    <w:rPr>
                      <w:rFonts w:hint="eastAsia"/>
                      <w:sz w:val="21"/>
                      <w:szCs w:val="21"/>
                      <w:lang w:val="en-US" w:eastAsia="zh-CN"/>
                    </w:rPr>
                    <w:t>-</w:t>
                  </w:r>
                  <w:r>
                    <w:rPr>
                      <w:rFonts w:hint="eastAsia"/>
                      <w:sz w:val="21"/>
                      <w:szCs w:val="21"/>
                    </w:rPr>
                    <w:t>DA00</w:t>
                  </w:r>
                  <w:r>
                    <w:rPr>
                      <w:rFonts w:hint="eastAsia"/>
                      <w:sz w:val="21"/>
                      <w:szCs w:val="21"/>
                      <w:lang w:val="en-US" w:eastAsia="zh-CN"/>
                    </w:rPr>
                    <w:t>6</w:t>
                  </w:r>
                  <w:r>
                    <w:rPr>
                      <w:rFonts w:hint="eastAsia"/>
                      <w:sz w:val="21"/>
                      <w:szCs w:val="21"/>
                    </w:rPr>
                    <w:t>），</w:t>
                  </w:r>
                  <w:r>
                    <w:rPr>
                      <w:sz w:val="21"/>
                      <w:szCs w:val="21"/>
                    </w:rPr>
                    <w:t>除尘效率约为9</w:t>
                  </w:r>
                  <w:r>
                    <w:rPr>
                      <w:rFonts w:hint="eastAsia"/>
                      <w:sz w:val="21"/>
                      <w:szCs w:val="21"/>
                    </w:rPr>
                    <w:t>9</w:t>
                  </w:r>
                  <w:r>
                    <w:rPr>
                      <w:sz w:val="21"/>
                      <w:szCs w:val="21"/>
                    </w:rPr>
                    <w:t>%</w:t>
                  </w:r>
                </w:p>
              </w:tc>
              <w:tc>
                <w:tcPr>
                  <w:tcW w:w="2178" w:type="dxa"/>
                  <w:vMerge w:val="restart"/>
                  <w:tcBorders>
                    <w:tl2br w:val="nil"/>
                    <w:tr2bl w:val="nil"/>
                  </w:tcBorders>
                  <w:noWrap/>
                  <w:vAlign w:val="center"/>
                </w:tcPr>
                <w:p w14:paraId="48AC2E96">
                  <w:pPr>
                    <w:keepNext w:val="0"/>
                    <w:keepLines w:val="0"/>
                    <w:pageBreakBefore w:val="0"/>
                    <w:widowControl/>
                    <w:suppressLineNumbers w:val="0"/>
                    <w:kinsoku/>
                    <w:wordWrap/>
                    <w:topLinePunct w:val="0"/>
                    <w:autoSpaceDN/>
                    <w:bidi w:val="0"/>
                    <w:adjustRightInd/>
                    <w:snapToGrid/>
                    <w:jc w:val="center"/>
                    <w:textAlignment w:val="auto"/>
                    <w:rPr>
                      <w:sz w:val="21"/>
                      <w:szCs w:val="21"/>
                    </w:rPr>
                  </w:pPr>
                  <w:r>
                    <w:rPr>
                      <w:color w:val="auto"/>
                      <w:sz w:val="21"/>
                      <w:szCs w:val="21"/>
                    </w:rPr>
                    <w:t>《</w:t>
                  </w:r>
                  <w:r>
                    <w:rPr>
                      <w:rFonts w:hint="eastAsia"/>
                      <w:color w:val="auto"/>
                      <w:sz w:val="21"/>
                      <w:szCs w:val="21"/>
                    </w:rPr>
                    <w:t>水泥工业</w:t>
                  </w:r>
                  <w:r>
                    <w:rPr>
                      <w:rFonts w:hint="eastAsia"/>
                      <w:color w:val="auto"/>
                      <w:sz w:val="21"/>
                      <w:szCs w:val="21"/>
                      <w:lang w:val="en-US" w:eastAsia="zh-CN"/>
                    </w:rPr>
                    <w:t>大气</w:t>
                  </w:r>
                  <w:r>
                    <w:rPr>
                      <w:color w:val="auto"/>
                      <w:sz w:val="21"/>
                      <w:szCs w:val="21"/>
                    </w:rPr>
                    <w:t>污染物排放标准》</w:t>
                  </w:r>
                  <w:r>
                    <w:rPr>
                      <w:rFonts w:ascii="Times New Roman" w:hAnsi="Times New Roman" w:eastAsia="宋体" w:cs="Times New Roman"/>
                      <w:color w:val="auto"/>
                      <w:kern w:val="0"/>
                      <w:sz w:val="21"/>
                      <w:szCs w:val="21"/>
                    </w:rPr>
                    <w:t>（</w:t>
                  </w:r>
                  <w:r>
                    <w:rPr>
                      <w:rFonts w:hint="eastAsia"/>
                      <w:color w:val="auto"/>
                      <w:sz w:val="21"/>
                      <w:szCs w:val="21"/>
                    </w:rPr>
                    <w:t>GB4915</w:t>
                  </w:r>
                  <w:r>
                    <w:rPr>
                      <w:color w:val="auto"/>
                      <w:sz w:val="21"/>
                      <w:szCs w:val="21"/>
                    </w:rPr>
                    <w:t>-2013</w:t>
                  </w:r>
                  <w:r>
                    <w:rPr>
                      <w:rFonts w:ascii="Times New Roman" w:hAnsi="Times New Roman" w:eastAsia="宋体" w:cs="Times New Roman"/>
                      <w:color w:val="auto"/>
                      <w:kern w:val="0"/>
                      <w:sz w:val="21"/>
                      <w:szCs w:val="21"/>
                    </w:rPr>
                    <w:t>）</w:t>
                  </w:r>
                  <w:r>
                    <w:rPr>
                      <w:rFonts w:hint="eastAsia" w:cs="Times New Roman"/>
                      <w:color w:val="auto"/>
                      <w:kern w:val="0"/>
                      <w:sz w:val="21"/>
                      <w:szCs w:val="21"/>
                      <w:lang w:val="en-US" w:eastAsia="zh-CN"/>
                    </w:rPr>
                    <w:t>表1</w:t>
                  </w:r>
                  <w:r>
                    <w:rPr>
                      <w:rFonts w:hint="eastAsia" w:ascii="宋体" w:hAnsi="宋体" w:eastAsia="宋体" w:cs="宋体"/>
                      <w:color w:val="000000"/>
                      <w:kern w:val="0"/>
                      <w:sz w:val="21"/>
                      <w:szCs w:val="21"/>
                      <w:lang w:val="en-US" w:eastAsia="zh-CN" w:bidi="ar"/>
                    </w:rPr>
                    <w:t>大气污染物排放限值</w:t>
                  </w:r>
                </w:p>
              </w:tc>
            </w:tr>
            <w:tr w14:paraId="53D414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40" w:type="dxa"/>
                  <w:vMerge w:val="continue"/>
                  <w:tcBorders>
                    <w:tl2br w:val="nil"/>
                    <w:tr2bl w:val="nil"/>
                  </w:tcBorders>
                  <w:noWrap/>
                  <w:vAlign w:val="center"/>
                </w:tcPr>
                <w:p w14:paraId="1B2402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p>
              </w:tc>
              <w:tc>
                <w:tcPr>
                  <w:tcW w:w="680" w:type="dxa"/>
                  <w:tcBorders>
                    <w:tl2br w:val="nil"/>
                    <w:tr2bl w:val="nil"/>
                  </w:tcBorders>
                  <w:noWrap/>
                  <w:vAlign w:val="center"/>
                </w:tcPr>
                <w:p w14:paraId="25477F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石灰</w:t>
                  </w:r>
                </w:p>
              </w:tc>
              <w:tc>
                <w:tcPr>
                  <w:tcW w:w="899" w:type="dxa"/>
                  <w:vMerge w:val="continue"/>
                  <w:tcBorders>
                    <w:tl2br w:val="nil"/>
                    <w:tr2bl w:val="nil"/>
                  </w:tcBorders>
                  <w:noWrap/>
                  <w:vAlign w:val="center"/>
                </w:tcPr>
                <w:p w14:paraId="0FCD6E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p>
              </w:tc>
              <w:tc>
                <w:tcPr>
                  <w:tcW w:w="1100" w:type="dxa"/>
                  <w:tcBorders>
                    <w:tl2br w:val="nil"/>
                    <w:tr2bl w:val="nil"/>
                  </w:tcBorders>
                  <w:noWrap/>
                  <w:vAlign w:val="center"/>
                </w:tcPr>
                <w:p w14:paraId="1AE96E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0.03</w:t>
                  </w:r>
                </w:p>
              </w:tc>
              <w:tc>
                <w:tcPr>
                  <w:tcW w:w="1161" w:type="dxa"/>
                  <w:tcBorders>
                    <w:tl2br w:val="nil"/>
                    <w:tr2bl w:val="nil"/>
                  </w:tcBorders>
                  <w:noWrap/>
                  <w:vAlign w:val="center"/>
                </w:tcPr>
                <w:p w14:paraId="0B68FB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3.13</w:t>
                  </w:r>
                </w:p>
              </w:tc>
              <w:tc>
                <w:tcPr>
                  <w:tcW w:w="2347" w:type="dxa"/>
                  <w:vMerge w:val="continue"/>
                  <w:tcBorders>
                    <w:tl2br w:val="nil"/>
                    <w:tr2bl w:val="nil"/>
                  </w:tcBorders>
                  <w:noWrap/>
                  <w:vAlign w:val="center"/>
                </w:tcPr>
                <w:p w14:paraId="005659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p>
              </w:tc>
              <w:tc>
                <w:tcPr>
                  <w:tcW w:w="2178" w:type="dxa"/>
                  <w:vMerge w:val="continue"/>
                  <w:tcBorders>
                    <w:tl2br w:val="nil"/>
                    <w:tr2bl w:val="nil"/>
                  </w:tcBorders>
                  <w:noWrap/>
                  <w:vAlign w:val="center"/>
                </w:tcPr>
                <w:p w14:paraId="7A1626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p>
              </w:tc>
            </w:tr>
            <w:tr w14:paraId="4FEE00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40" w:type="dxa"/>
                  <w:vMerge w:val="continue"/>
                  <w:tcBorders>
                    <w:tl2br w:val="nil"/>
                    <w:tr2bl w:val="nil"/>
                  </w:tcBorders>
                  <w:noWrap/>
                  <w:vAlign w:val="center"/>
                </w:tcPr>
                <w:p w14:paraId="399ADE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p>
              </w:tc>
              <w:tc>
                <w:tcPr>
                  <w:tcW w:w="680" w:type="dxa"/>
                  <w:tcBorders>
                    <w:tl2br w:val="nil"/>
                    <w:tr2bl w:val="nil"/>
                  </w:tcBorders>
                  <w:noWrap/>
                  <w:vAlign w:val="center"/>
                </w:tcPr>
                <w:p w14:paraId="0A315FE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粉煤灰</w:t>
                  </w:r>
                </w:p>
              </w:tc>
              <w:tc>
                <w:tcPr>
                  <w:tcW w:w="899" w:type="dxa"/>
                  <w:vMerge w:val="continue"/>
                  <w:tcBorders>
                    <w:tl2br w:val="nil"/>
                    <w:tr2bl w:val="nil"/>
                  </w:tcBorders>
                  <w:noWrap/>
                  <w:vAlign w:val="center"/>
                </w:tcPr>
                <w:p w14:paraId="28F2C2F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p>
              </w:tc>
              <w:tc>
                <w:tcPr>
                  <w:tcW w:w="1100" w:type="dxa"/>
                  <w:tcBorders>
                    <w:tl2br w:val="nil"/>
                    <w:tr2bl w:val="nil"/>
                  </w:tcBorders>
                  <w:noWrap/>
                  <w:vAlign w:val="center"/>
                </w:tcPr>
                <w:p w14:paraId="7E995A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1.58</w:t>
                  </w:r>
                </w:p>
              </w:tc>
              <w:tc>
                <w:tcPr>
                  <w:tcW w:w="1161" w:type="dxa"/>
                  <w:tcBorders>
                    <w:tl2br w:val="nil"/>
                    <w:tr2bl w:val="nil"/>
                  </w:tcBorders>
                  <w:noWrap/>
                  <w:vAlign w:val="center"/>
                </w:tcPr>
                <w:p w14:paraId="0AF02F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8.2</w:t>
                  </w:r>
                </w:p>
              </w:tc>
              <w:tc>
                <w:tcPr>
                  <w:tcW w:w="2347" w:type="dxa"/>
                  <w:vMerge w:val="continue"/>
                  <w:tcBorders>
                    <w:tl2br w:val="nil"/>
                    <w:tr2bl w:val="nil"/>
                  </w:tcBorders>
                  <w:noWrap/>
                  <w:vAlign w:val="center"/>
                </w:tcPr>
                <w:p w14:paraId="3FC7675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p>
              </w:tc>
              <w:tc>
                <w:tcPr>
                  <w:tcW w:w="2178" w:type="dxa"/>
                  <w:vMerge w:val="continue"/>
                  <w:tcBorders>
                    <w:tl2br w:val="nil"/>
                    <w:tr2bl w:val="nil"/>
                  </w:tcBorders>
                  <w:noWrap/>
                  <w:vAlign w:val="center"/>
                </w:tcPr>
                <w:p w14:paraId="42AD9D4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p>
              </w:tc>
            </w:tr>
            <w:tr w14:paraId="478A29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320" w:type="dxa"/>
                  <w:gridSpan w:val="2"/>
                  <w:tcBorders>
                    <w:tl2br w:val="nil"/>
                    <w:tr2bl w:val="nil"/>
                  </w:tcBorders>
                  <w:noWrap/>
                  <w:vAlign w:val="center"/>
                </w:tcPr>
                <w:p w14:paraId="7CD9888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rPr>
                  </w:pPr>
                  <w:r>
                    <w:rPr>
                      <w:rFonts w:hint="eastAsia"/>
                      <w:sz w:val="21"/>
                      <w:szCs w:val="21"/>
                      <w:lang w:val="en-US" w:eastAsia="zh-CN"/>
                    </w:rPr>
                    <w:t>底板清理</w:t>
                  </w:r>
                </w:p>
              </w:tc>
              <w:tc>
                <w:tcPr>
                  <w:tcW w:w="899" w:type="dxa"/>
                  <w:vMerge w:val="continue"/>
                  <w:tcBorders>
                    <w:tl2br w:val="nil"/>
                    <w:tr2bl w:val="nil"/>
                  </w:tcBorders>
                  <w:noWrap/>
                  <w:vAlign w:val="center"/>
                </w:tcPr>
                <w:p w14:paraId="5634525B">
                  <w:pPr>
                    <w:keepNext w:val="0"/>
                    <w:keepLines w:val="0"/>
                    <w:pageBreakBefore w:val="0"/>
                    <w:kinsoku/>
                    <w:wordWrap/>
                    <w:topLinePunct w:val="0"/>
                    <w:autoSpaceDN/>
                    <w:bidi w:val="0"/>
                    <w:adjustRightInd/>
                    <w:snapToGrid/>
                    <w:jc w:val="center"/>
                    <w:textAlignment w:val="auto"/>
                    <w:rPr>
                      <w:sz w:val="21"/>
                      <w:szCs w:val="21"/>
                    </w:rPr>
                  </w:pPr>
                </w:p>
              </w:tc>
              <w:tc>
                <w:tcPr>
                  <w:tcW w:w="1100" w:type="dxa"/>
                  <w:tcBorders>
                    <w:tl2br w:val="nil"/>
                    <w:tr2bl w:val="nil"/>
                  </w:tcBorders>
                  <w:noWrap/>
                  <w:vAlign w:val="center"/>
                </w:tcPr>
                <w:p w14:paraId="5B655900">
                  <w:pPr>
                    <w:keepNext w:val="0"/>
                    <w:keepLines w:val="0"/>
                    <w:pageBreakBefore w:val="0"/>
                    <w:kinsoku/>
                    <w:wordWrap/>
                    <w:topLinePunct w:val="0"/>
                    <w:autoSpaceDN/>
                    <w:bidi w:val="0"/>
                    <w:adjustRightInd/>
                    <w:snapToGrid/>
                    <w:jc w:val="center"/>
                    <w:textAlignment w:val="auto"/>
                    <w:rPr>
                      <w:rFonts w:hint="default" w:eastAsia="宋体"/>
                      <w:sz w:val="21"/>
                      <w:szCs w:val="21"/>
                      <w:lang w:val="en-US" w:eastAsia="zh-CN"/>
                    </w:rPr>
                  </w:pPr>
                  <w:r>
                    <w:rPr>
                      <w:rFonts w:hint="eastAsia"/>
                      <w:sz w:val="21"/>
                      <w:szCs w:val="21"/>
                      <w:lang w:val="en-US" w:eastAsia="zh-CN"/>
                    </w:rPr>
                    <w:t>0.009</w:t>
                  </w:r>
                </w:p>
              </w:tc>
              <w:tc>
                <w:tcPr>
                  <w:tcW w:w="1161" w:type="dxa"/>
                  <w:tcBorders>
                    <w:tl2br w:val="nil"/>
                    <w:tr2bl w:val="nil"/>
                  </w:tcBorders>
                  <w:noWrap/>
                  <w:vAlign w:val="center"/>
                </w:tcPr>
                <w:p w14:paraId="77F2518D">
                  <w:pPr>
                    <w:keepNext w:val="0"/>
                    <w:keepLines w:val="0"/>
                    <w:pageBreakBefore w:val="0"/>
                    <w:kinsoku/>
                    <w:wordWrap/>
                    <w:topLinePunct w:val="0"/>
                    <w:autoSpaceDN/>
                    <w:bidi w:val="0"/>
                    <w:adjustRightInd/>
                    <w:snapToGrid/>
                    <w:jc w:val="center"/>
                    <w:textAlignment w:val="auto"/>
                    <w:rPr>
                      <w:rFonts w:hint="default" w:eastAsia="宋体"/>
                      <w:sz w:val="21"/>
                      <w:szCs w:val="21"/>
                      <w:lang w:val="en-US" w:eastAsia="zh-CN"/>
                    </w:rPr>
                  </w:pPr>
                  <w:r>
                    <w:rPr>
                      <w:rFonts w:hint="eastAsia"/>
                      <w:sz w:val="21"/>
                      <w:szCs w:val="21"/>
                      <w:lang w:val="en-US" w:eastAsia="zh-CN"/>
                    </w:rPr>
                    <w:t>2.34</w:t>
                  </w:r>
                </w:p>
              </w:tc>
              <w:tc>
                <w:tcPr>
                  <w:tcW w:w="2347" w:type="dxa"/>
                  <w:tcBorders>
                    <w:tl2br w:val="nil"/>
                    <w:tr2bl w:val="nil"/>
                  </w:tcBorders>
                  <w:noWrap/>
                  <w:vAlign w:val="center"/>
                </w:tcPr>
                <w:p w14:paraId="379DE573">
                  <w:pPr>
                    <w:keepNext w:val="0"/>
                    <w:keepLines w:val="0"/>
                    <w:pageBreakBefore w:val="0"/>
                    <w:kinsoku/>
                    <w:wordWrap/>
                    <w:topLinePunct w:val="0"/>
                    <w:autoSpaceDN/>
                    <w:bidi w:val="0"/>
                    <w:adjustRightInd/>
                    <w:snapToGrid/>
                    <w:jc w:val="center"/>
                    <w:textAlignment w:val="auto"/>
                    <w:rPr>
                      <w:sz w:val="21"/>
                      <w:szCs w:val="21"/>
                    </w:rPr>
                  </w:pPr>
                  <w:r>
                    <w:rPr>
                      <w:rFonts w:hint="eastAsia"/>
                      <w:sz w:val="21"/>
                      <w:szCs w:val="21"/>
                    </w:rPr>
                    <w:t>集气罩+布袋除尘+15m高排气筒（DA00</w:t>
                  </w:r>
                  <w:r>
                    <w:rPr>
                      <w:rFonts w:hint="eastAsia"/>
                      <w:sz w:val="21"/>
                      <w:szCs w:val="21"/>
                      <w:lang w:val="en-US" w:eastAsia="zh-CN"/>
                    </w:rPr>
                    <w:t>7</w:t>
                  </w:r>
                  <w:r>
                    <w:rPr>
                      <w:rFonts w:hint="eastAsia"/>
                      <w:sz w:val="21"/>
                      <w:szCs w:val="21"/>
                    </w:rPr>
                    <w:t>），集气罩收集效率</w:t>
                  </w:r>
                  <w:r>
                    <w:rPr>
                      <w:rFonts w:hint="eastAsia"/>
                      <w:sz w:val="21"/>
                      <w:szCs w:val="21"/>
                      <w:lang w:val="en-US" w:eastAsia="zh-CN"/>
                    </w:rPr>
                    <w:t>90</w:t>
                  </w:r>
                  <w:r>
                    <w:rPr>
                      <w:sz w:val="21"/>
                      <w:szCs w:val="21"/>
                    </w:rPr>
                    <w:t>%</w:t>
                  </w:r>
                  <w:r>
                    <w:rPr>
                      <w:rFonts w:hint="eastAsia"/>
                      <w:sz w:val="21"/>
                      <w:szCs w:val="21"/>
                    </w:rPr>
                    <w:t>，</w:t>
                  </w:r>
                  <w:r>
                    <w:rPr>
                      <w:sz w:val="21"/>
                      <w:szCs w:val="21"/>
                    </w:rPr>
                    <w:t>除尘效率约为9</w:t>
                  </w:r>
                  <w:r>
                    <w:rPr>
                      <w:rFonts w:hint="eastAsia"/>
                      <w:sz w:val="21"/>
                      <w:szCs w:val="21"/>
                    </w:rPr>
                    <w:t>9</w:t>
                  </w:r>
                  <w:r>
                    <w:rPr>
                      <w:sz w:val="21"/>
                      <w:szCs w:val="21"/>
                    </w:rPr>
                    <w:t>%</w:t>
                  </w:r>
                </w:p>
              </w:tc>
              <w:tc>
                <w:tcPr>
                  <w:tcW w:w="2178" w:type="dxa"/>
                  <w:vMerge w:val="continue"/>
                  <w:tcBorders>
                    <w:tl2br w:val="nil"/>
                    <w:tr2bl w:val="nil"/>
                  </w:tcBorders>
                  <w:noWrap/>
                  <w:vAlign w:val="center"/>
                </w:tcPr>
                <w:p w14:paraId="1A03DA40">
                  <w:pPr>
                    <w:keepNext w:val="0"/>
                    <w:keepLines w:val="0"/>
                    <w:pageBreakBefore w:val="0"/>
                    <w:kinsoku/>
                    <w:wordWrap/>
                    <w:topLinePunct w:val="0"/>
                    <w:autoSpaceDN/>
                    <w:bidi w:val="0"/>
                    <w:adjustRightInd/>
                    <w:snapToGrid/>
                    <w:jc w:val="center"/>
                    <w:textAlignment w:val="auto"/>
                    <w:rPr>
                      <w:rFonts w:hAnsi="宋体"/>
                      <w:sz w:val="21"/>
                      <w:szCs w:val="21"/>
                    </w:rPr>
                  </w:pPr>
                </w:p>
              </w:tc>
            </w:tr>
            <w:tr w14:paraId="086920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320" w:type="dxa"/>
                  <w:gridSpan w:val="2"/>
                  <w:tcBorders>
                    <w:tl2br w:val="nil"/>
                    <w:tr2bl w:val="nil"/>
                  </w:tcBorders>
                  <w:noWrap/>
                  <w:vAlign w:val="center"/>
                </w:tcPr>
                <w:p w14:paraId="541D2ABB">
                  <w:pPr>
                    <w:keepNext w:val="0"/>
                    <w:keepLines w:val="0"/>
                    <w:pageBreakBefore w:val="0"/>
                    <w:kinsoku/>
                    <w:wordWrap/>
                    <w:topLinePunct w:val="0"/>
                    <w:autoSpaceDN/>
                    <w:bidi w:val="0"/>
                    <w:adjustRightInd/>
                    <w:snapToGrid/>
                    <w:jc w:val="center"/>
                    <w:textAlignment w:val="auto"/>
                    <w:rPr>
                      <w:rFonts w:hint="default" w:eastAsia="宋体"/>
                      <w:sz w:val="21"/>
                      <w:szCs w:val="21"/>
                      <w:lang w:val="en-US" w:eastAsia="zh-CN"/>
                    </w:rPr>
                  </w:pPr>
                  <w:r>
                    <w:rPr>
                      <w:rFonts w:hint="eastAsia"/>
                      <w:sz w:val="21"/>
                      <w:szCs w:val="21"/>
                      <w:lang w:val="en-US" w:eastAsia="zh-CN"/>
                    </w:rPr>
                    <w:t>防腐有机废气</w:t>
                  </w:r>
                </w:p>
              </w:tc>
              <w:tc>
                <w:tcPr>
                  <w:tcW w:w="899" w:type="dxa"/>
                  <w:tcBorders>
                    <w:tl2br w:val="nil"/>
                    <w:tr2bl w:val="nil"/>
                  </w:tcBorders>
                  <w:noWrap/>
                  <w:vAlign w:val="center"/>
                </w:tcPr>
                <w:p w14:paraId="7C121677">
                  <w:pPr>
                    <w:keepNext w:val="0"/>
                    <w:keepLines w:val="0"/>
                    <w:pageBreakBefore w:val="0"/>
                    <w:kinsoku/>
                    <w:wordWrap/>
                    <w:topLinePunct w:val="0"/>
                    <w:autoSpaceDN/>
                    <w:bidi w:val="0"/>
                    <w:adjustRightInd/>
                    <w:snapToGrid/>
                    <w:jc w:val="center"/>
                    <w:textAlignment w:val="auto"/>
                    <w:rPr>
                      <w:rFonts w:hint="eastAsia" w:eastAsia="宋体"/>
                      <w:sz w:val="21"/>
                      <w:szCs w:val="21"/>
                      <w:lang w:eastAsia="zh-CN"/>
                    </w:rPr>
                  </w:pPr>
                  <w:r>
                    <w:rPr>
                      <w:rFonts w:hint="eastAsia"/>
                      <w:sz w:val="21"/>
                      <w:szCs w:val="21"/>
                      <w:lang w:val="en-US" w:eastAsia="zh-CN"/>
                    </w:rPr>
                    <w:t>非甲烷总烃</w:t>
                  </w:r>
                </w:p>
              </w:tc>
              <w:tc>
                <w:tcPr>
                  <w:tcW w:w="1100" w:type="dxa"/>
                  <w:tcBorders>
                    <w:tl2br w:val="nil"/>
                    <w:tr2bl w:val="nil"/>
                  </w:tcBorders>
                  <w:noWrap/>
                  <w:vAlign w:val="center"/>
                </w:tcPr>
                <w:p w14:paraId="167CC3DD">
                  <w:pPr>
                    <w:keepNext w:val="0"/>
                    <w:keepLines w:val="0"/>
                    <w:pageBreakBefore w:val="0"/>
                    <w:kinsoku/>
                    <w:wordWrap/>
                    <w:topLinePunct w:val="0"/>
                    <w:autoSpaceDN/>
                    <w:bidi w:val="0"/>
                    <w:adjustRightInd/>
                    <w:snapToGrid/>
                    <w:jc w:val="center"/>
                    <w:textAlignment w:val="auto"/>
                    <w:rPr>
                      <w:rFonts w:hint="default" w:eastAsia="宋体"/>
                      <w:sz w:val="21"/>
                      <w:szCs w:val="21"/>
                      <w:lang w:val="en-US" w:eastAsia="zh-CN"/>
                    </w:rPr>
                  </w:pPr>
                  <w:r>
                    <w:rPr>
                      <w:rFonts w:hint="eastAsia"/>
                      <w:sz w:val="21"/>
                      <w:szCs w:val="21"/>
                      <w:lang w:val="en-US" w:eastAsia="zh-CN"/>
                    </w:rPr>
                    <w:t>0.1</w:t>
                  </w:r>
                </w:p>
              </w:tc>
              <w:tc>
                <w:tcPr>
                  <w:tcW w:w="1161" w:type="dxa"/>
                  <w:tcBorders>
                    <w:tl2br w:val="nil"/>
                    <w:tr2bl w:val="nil"/>
                  </w:tcBorders>
                  <w:noWrap/>
                  <w:vAlign w:val="center"/>
                </w:tcPr>
                <w:p w14:paraId="58FFA2F1">
                  <w:pPr>
                    <w:keepNext w:val="0"/>
                    <w:keepLines w:val="0"/>
                    <w:pageBreakBefore w:val="0"/>
                    <w:kinsoku/>
                    <w:wordWrap/>
                    <w:topLinePunct w:val="0"/>
                    <w:autoSpaceDN/>
                    <w:bidi w:val="0"/>
                    <w:adjustRightInd/>
                    <w:snapToGrid/>
                    <w:jc w:val="center"/>
                    <w:textAlignment w:val="auto"/>
                    <w:rPr>
                      <w:rFonts w:hint="default" w:eastAsia="宋体"/>
                      <w:sz w:val="21"/>
                      <w:szCs w:val="21"/>
                      <w:lang w:val="en-US" w:eastAsia="zh-CN"/>
                    </w:rPr>
                  </w:pPr>
                  <w:r>
                    <w:rPr>
                      <w:rFonts w:hint="eastAsia"/>
                      <w:sz w:val="21"/>
                      <w:szCs w:val="21"/>
                      <w:lang w:val="en-US" w:eastAsia="zh-CN"/>
                    </w:rPr>
                    <w:t>10.42</w:t>
                  </w:r>
                </w:p>
              </w:tc>
              <w:tc>
                <w:tcPr>
                  <w:tcW w:w="2347" w:type="dxa"/>
                  <w:tcBorders>
                    <w:tl2br w:val="nil"/>
                    <w:tr2bl w:val="nil"/>
                  </w:tcBorders>
                  <w:noWrap/>
                  <w:vAlign w:val="center"/>
                </w:tcPr>
                <w:p w14:paraId="11849667">
                  <w:pPr>
                    <w:keepNext w:val="0"/>
                    <w:keepLines w:val="0"/>
                    <w:pageBreakBefore w:val="0"/>
                    <w:kinsoku/>
                    <w:wordWrap/>
                    <w:topLinePunct w:val="0"/>
                    <w:autoSpaceDN/>
                    <w:bidi w:val="0"/>
                    <w:adjustRightInd/>
                    <w:snapToGrid/>
                    <w:jc w:val="center"/>
                    <w:textAlignment w:val="auto"/>
                    <w:rPr>
                      <w:sz w:val="21"/>
                      <w:szCs w:val="21"/>
                    </w:rPr>
                  </w:pPr>
                  <w:r>
                    <w:rPr>
                      <w:rFonts w:hint="eastAsia"/>
                      <w:sz w:val="21"/>
                      <w:szCs w:val="21"/>
                    </w:rPr>
                    <w:t>集气罩+</w:t>
                  </w:r>
                  <w:r>
                    <w:rPr>
                      <w:rFonts w:hint="eastAsia"/>
                      <w:sz w:val="21"/>
                      <w:szCs w:val="21"/>
                      <w:lang w:val="en-US" w:eastAsia="zh-CN"/>
                    </w:rPr>
                    <w:t>二级活性炭吸附</w:t>
                  </w:r>
                  <w:r>
                    <w:rPr>
                      <w:rFonts w:hint="eastAsia"/>
                      <w:sz w:val="21"/>
                      <w:szCs w:val="21"/>
                    </w:rPr>
                    <w:t>+15m高排气筒（DA00</w:t>
                  </w:r>
                  <w:r>
                    <w:rPr>
                      <w:rFonts w:hint="eastAsia"/>
                      <w:sz w:val="21"/>
                      <w:szCs w:val="21"/>
                      <w:lang w:val="en-US" w:eastAsia="zh-CN"/>
                    </w:rPr>
                    <w:t>8</w:t>
                  </w:r>
                  <w:r>
                    <w:rPr>
                      <w:rFonts w:hint="eastAsia"/>
                      <w:sz w:val="21"/>
                      <w:szCs w:val="21"/>
                    </w:rPr>
                    <w:t>），集气罩收集效率</w:t>
                  </w:r>
                  <w:r>
                    <w:rPr>
                      <w:rFonts w:hint="eastAsia"/>
                      <w:sz w:val="21"/>
                      <w:szCs w:val="21"/>
                      <w:lang w:val="en-US" w:eastAsia="zh-CN"/>
                    </w:rPr>
                    <w:t>90</w:t>
                  </w:r>
                  <w:r>
                    <w:rPr>
                      <w:sz w:val="21"/>
                      <w:szCs w:val="21"/>
                    </w:rPr>
                    <w:t>%</w:t>
                  </w:r>
                  <w:r>
                    <w:rPr>
                      <w:rFonts w:hint="eastAsia"/>
                      <w:sz w:val="21"/>
                      <w:szCs w:val="21"/>
                    </w:rPr>
                    <w:t>，</w:t>
                  </w:r>
                  <w:r>
                    <w:rPr>
                      <w:rFonts w:hint="eastAsia"/>
                      <w:sz w:val="21"/>
                      <w:szCs w:val="21"/>
                      <w:lang w:val="en-US" w:eastAsia="zh-CN"/>
                    </w:rPr>
                    <w:t>去除</w:t>
                  </w:r>
                  <w:r>
                    <w:rPr>
                      <w:sz w:val="21"/>
                      <w:szCs w:val="21"/>
                    </w:rPr>
                    <w:t>效率约为</w:t>
                  </w:r>
                  <w:r>
                    <w:rPr>
                      <w:rFonts w:hint="eastAsia"/>
                      <w:sz w:val="21"/>
                      <w:szCs w:val="21"/>
                      <w:lang w:val="en-US" w:eastAsia="zh-CN"/>
                    </w:rPr>
                    <w:t>26</w:t>
                  </w:r>
                  <w:r>
                    <w:rPr>
                      <w:sz w:val="21"/>
                      <w:szCs w:val="21"/>
                    </w:rPr>
                    <w:t>%</w:t>
                  </w:r>
                </w:p>
              </w:tc>
              <w:tc>
                <w:tcPr>
                  <w:tcW w:w="2178" w:type="dxa"/>
                  <w:tcBorders>
                    <w:tl2br w:val="nil"/>
                    <w:tr2bl w:val="nil"/>
                  </w:tcBorders>
                  <w:noWrap/>
                  <w:vAlign w:val="center"/>
                </w:tcPr>
                <w:p w14:paraId="3C67E542">
                  <w:pPr>
                    <w:keepNext w:val="0"/>
                    <w:keepLines w:val="0"/>
                    <w:pageBreakBefore w:val="0"/>
                    <w:widowControl w:val="0"/>
                    <w:kinsoku/>
                    <w:wordWrap/>
                    <w:overflowPunct/>
                    <w:topLinePunct w:val="0"/>
                    <w:autoSpaceDE/>
                    <w:autoSpaceDN/>
                    <w:bidi w:val="0"/>
                    <w:adjustRightInd/>
                    <w:snapToGrid/>
                    <w:jc w:val="center"/>
                    <w:textAlignment w:val="auto"/>
                    <w:rPr>
                      <w:rFonts w:hAnsi="宋体"/>
                      <w:sz w:val="21"/>
                      <w:szCs w:val="21"/>
                    </w:rPr>
                  </w:pPr>
                  <w:r>
                    <w:rPr>
                      <w:rFonts w:hint="default" w:ascii="Times New Roman" w:hAnsi="Times New Roman" w:eastAsia="宋体" w:cs="Times New Roman"/>
                      <w:color w:val="auto"/>
                      <w:spacing w:val="0"/>
                      <w:kern w:val="0"/>
                      <w:position w:val="0"/>
                      <w:sz w:val="21"/>
                      <w:szCs w:val="21"/>
                      <w:highlight w:val="none"/>
                      <w:lang w:val="en-US" w:eastAsia="zh-CN"/>
                    </w:rPr>
                    <w:t>《合成树脂工业污染物排放标准》</w:t>
                  </w:r>
                  <w:r>
                    <w:rPr>
                      <w:rFonts w:hint="eastAsia" w:ascii="Times New Roman" w:hAnsi="Times New Roman" w:eastAsia="宋体" w:cs="Times New Roman"/>
                      <w:color w:val="auto"/>
                      <w:spacing w:val="0"/>
                      <w:kern w:val="0"/>
                      <w:position w:val="0"/>
                      <w:sz w:val="21"/>
                      <w:szCs w:val="21"/>
                      <w:highlight w:val="none"/>
                      <w:lang w:val="en-US" w:eastAsia="zh-CN"/>
                    </w:rPr>
                    <w:t>（含2024年修改单）</w:t>
                  </w:r>
                  <w:r>
                    <w:rPr>
                      <w:rFonts w:hint="default" w:ascii="Times New Roman" w:hAnsi="Times New Roman" w:eastAsia="宋体" w:cs="Times New Roman"/>
                      <w:color w:val="auto"/>
                      <w:spacing w:val="0"/>
                      <w:kern w:val="0"/>
                      <w:position w:val="0"/>
                      <w:sz w:val="21"/>
                      <w:szCs w:val="21"/>
                      <w:highlight w:val="none"/>
                      <w:lang w:val="en-US" w:eastAsia="zh-CN"/>
                    </w:rPr>
                    <w:t>（GB31572-2015）中表</w:t>
                  </w:r>
                  <w:r>
                    <w:rPr>
                      <w:rFonts w:hint="eastAsia" w:cs="Times New Roman"/>
                      <w:color w:val="auto"/>
                      <w:spacing w:val="0"/>
                      <w:kern w:val="0"/>
                      <w:position w:val="0"/>
                      <w:sz w:val="21"/>
                      <w:szCs w:val="21"/>
                      <w:highlight w:val="none"/>
                      <w:lang w:val="en-US" w:eastAsia="zh-CN"/>
                    </w:rPr>
                    <w:t>4</w:t>
                  </w:r>
                  <w:r>
                    <w:rPr>
                      <w:rFonts w:hint="default" w:ascii="Times New Roman" w:hAnsi="Times New Roman" w:eastAsia="宋体" w:cs="Times New Roman"/>
                      <w:color w:val="auto"/>
                      <w:spacing w:val="0"/>
                      <w:kern w:val="0"/>
                      <w:position w:val="0"/>
                      <w:sz w:val="21"/>
                      <w:szCs w:val="21"/>
                      <w:highlight w:val="none"/>
                      <w:lang w:val="en-US" w:eastAsia="zh-CN"/>
                    </w:rPr>
                    <w:t>大气污染物排放限值</w:t>
                  </w:r>
                </w:p>
              </w:tc>
            </w:tr>
            <w:tr w14:paraId="2200FA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320" w:type="dxa"/>
                  <w:gridSpan w:val="2"/>
                  <w:tcBorders>
                    <w:tl2br w:val="nil"/>
                    <w:tr2bl w:val="nil"/>
                  </w:tcBorders>
                  <w:noWrap/>
                  <w:vAlign w:val="center"/>
                </w:tcPr>
                <w:p w14:paraId="4C073810">
                  <w:pPr>
                    <w:keepNext w:val="0"/>
                    <w:keepLines w:val="0"/>
                    <w:pageBreakBefore w:val="0"/>
                    <w:kinsoku/>
                    <w:wordWrap/>
                    <w:topLinePunct w:val="0"/>
                    <w:autoSpaceDN/>
                    <w:bidi w:val="0"/>
                    <w:adjustRightInd/>
                    <w:snapToGrid/>
                    <w:jc w:val="center"/>
                    <w:textAlignment w:val="auto"/>
                    <w:rPr>
                      <w:rFonts w:hint="default"/>
                      <w:sz w:val="21"/>
                      <w:szCs w:val="21"/>
                      <w:lang w:val="en-US" w:eastAsia="zh-CN"/>
                    </w:rPr>
                  </w:pPr>
                  <w:r>
                    <w:rPr>
                      <w:rFonts w:hint="eastAsia"/>
                      <w:sz w:val="21"/>
                      <w:szCs w:val="21"/>
                      <w:lang w:val="en-US" w:eastAsia="zh-CN"/>
                    </w:rPr>
                    <w:t>食堂</w:t>
                  </w:r>
                </w:p>
              </w:tc>
              <w:tc>
                <w:tcPr>
                  <w:tcW w:w="899" w:type="dxa"/>
                  <w:tcBorders>
                    <w:tl2br w:val="nil"/>
                    <w:tr2bl w:val="nil"/>
                  </w:tcBorders>
                  <w:noWrap/>
                  <w:vAlign w:val="center"/>
                </w:tcPr>
                <w:p w14:paraId="26B06BA0">
                  <w:pPr>
                    <w:keepNext w:val="0"/>
                    <w:keepLines w:val="0"/>
                    <w:pageBreakBefore w:val="0"/>
                    <w:kinsoku/>
                    <w:wordWrap/>
                    <w:topLinePunct w:val="0"/>
                    <w:autoSpaceDN/>
                    <w:bidi w:val="0"/>
                    <w:adjustRightInd/>
                    <w:snapToGrid/>
                    <w:jc w:val="center"/>
                    <w:textAlignment w:val="auto"/>
                    <w:rPr>
                      <w:rFonts w:hint="default"/>
                      <w:sz w:val="21"/>
                      <w:szCs w:val="21"/>
                      <w:lang w:val="en-US" w:eastAsia="zh-CN"/>
                    </w:rPr>
                  </w:pPr>
                  <w:r>
                    <w:rPr>
                      <w:rFonts w:hint="eastAsia"/>
                      <w:sz w:val="21"/>
                      <w:szCs w:val="21"/>
                      <w:lang w:val="en-US" w:eastAsia="zh-CN"/>
                    </w:rPr>
                    <w:t>油烟</w:t>
                  </w:r>
                </w:p>
              </w:tc>
              <w:tc>
                <w:tcPr>
                  <w:tcW w:w="1100" w:type="dxa"/>
                  <w:tcBorders>
                    <w:tl2br w:val="nil"/>
                    <w:tr2bl w:val="nil"/>
                  </w:tcBorders>
                  <w:noWrap/>
                  <w:vAlign w:val="center"/>
                </w:tcPr>
                <w:p w14:paraId="7729DA4C">
                  <w:pPr>
                    <w:keepNext w:val="0"/>
                    <w:keepLines w:val="0"/>
                    <w:pageBreakBefore w:val="0"/>
                    <w:kinsoku/>
                    <w:wordWrap/>
                    <w:topLinePunct w:val="0"/>
                    <w:autoSpaceDN/>
                    <w:bidi w:val="0"/>
                    <w:adjustRightInd/>
                    <w:snapToGrid/>
                    <w:jc w:val="center"/>
                    <w:textAlignment w:val="auto"/>
                    <w:rPr>
                      <w:rFonts w:hint="default" w:eastAsia="宋体"/>
                      <w:sz w:val="21"/>
                      <w:szCs w:val="21"/>
                      <w:lang w:val="en-US" w:eastAsia="zh-CN"/>
                    </w:rPr>
                  </w:pPr>
                  <w:r>
                    <w:rPr>
                      <w:rFonts w:hint="eastAsia"/>
                      <w:sz w:val="21"/>
                      <w:szCs w:val="21"/>
                      <w:lang w:val="en-US" w:eastAsia="zh-CN"/>
                    </w:rPr>
                    <w:t>0.001</w:t>
                  </w:r>
                </w:p>
              </w:tc>
              <w:tc>
                <w:tcPr>
                  <w:tcW w:w="1161" w:type="dxa"/>
                  <w:tcBorders>
                    <w:tl2br w:val="nil"/>
                    <w:tr2bl w:val="nil"/>
                  </w:tcBorders>
                  <w:noWrap/>
                  <w:vAlign w:val="center"/>
                </w:tcPr>
                <w:p w14:paraId="1FEB5BEC">
                  <w:pPr>
                    <w:keepNext w:val="0"/>
                    <w:keepLines w:val="0"/>
                    <w:pageBreakBefore w:val="0"/>
                    <w:kinsoku/>
                    <w:wordWrap/>
                    <w:topLinePunct w:val="0"/>
                    <w:autoSpaceDN/>
                    <w:bidi w:val="0"/>
                    <w:adjustRightInd/>
                    <w:snapToGrid/>
                    <w:jc w:val="center"/>
                    <w:textAlignment w:val="auto"/>
                    <w:rPr>
                      <w:rFonts w:hint="default"/>
                      <w:sz w:val="21"/>
                      <w:szCs w:val="21"/>
                      <w:lang w:val="en-US" w:eastAsia="zh-CN"/>
                    </w:rPr>
                  </w:pPr>
                  <w:r>
                    <w:rPr>
                      <w:rFonts w:hint="eastAsia"/>
                      <w:sz w:val="21"/>
                      <w:szCs w:val="21"/>
                      <w:lang w:val="en-US" w:eastAsia="zh-CN"/>
                    </w:rPr>
                    <w:t>0.59</w:t>
                  </w:r>
                </w:p>
              </w:tc>
              <w:tc>
                <w:tcPr>
                  <w:tcW w:w="2347" w:type="dxa"/>
                  <w:tcBorders>
                    <w:tl2br w:val="nil"/>
                    <w:tr2bl w:val="nil"/>
                  </w:tcBorders>
                  <w:noWrap/>
                  <w:vAlign w:val="center"/>
                </w:tcPr>
                <w:p w14:paraId="4030D71D">
                  <w:pPr>
                    <w:keepNext w:val="0"/>
                    <w:keepLines w:val="0"/>
                    <w:pageBreakBefore w:val="0"/>
                    <w:kinsoku/>
                    <w:wordWrap/>
                    <w:topLinePunct w:val="0"/>
                    <w:autoSpaceDN/>
                    <w:bidi w:val="0"/>
                    <w:adjustRightInd/>
                    <w:snapToGrid/>
                    <w:jc w:val="center"/>
                    <w:textAlignment w:val="auto"/>
                    <w:rPr>
                      <w:rFonts w:hint="default" w:cs="Times New Roman"/>
                      <w:snapToGrid w:val="0"/>
                      <w:color w:val="auto"/>
                      <w:kern w:val="0"/>
                      <w:sz w:val="21"/>
                      <w:szCs w:val="21"/>
                      <w:lang w:val="en-US" w:eastAsia="zh-CN"/>
                    </w:rPr>
                  </w:pPr>
                  <w:r>
                    <w:rPr>
                      <w:rFonts w:hint="eastAsia" w:cs="Times New Roman"/>
                      <w:snapToGrid w:val="0"/>
                      <w:color w:val="auto"/>
                      <w:kern w:val="0"/>
                      <w:sz w:val="21"/>
                      <w:szCs w:val="21"/>
                      <w:lang w:val="en-US" w:eastAsia="zh-CN"/>
                    </w:rPr>
                    <w:t>油烟净化器</w:t>
                  </w:r>
                </w:p>
              </w:tc>
              <w:tc>
                <w:tcPr>
                  <w:tcW w:w="2178" w:type="dxa"/>
                  <w:tcBorders>
                    <w:tl2br w:val="nil"/>
                    <w:tr2bl w:val="nil"/>
                  </w:tcBorders>
                  <w:noWrap/>
                  <w:vAlign w:val="center"/>
                </w:tcPr>
                <w:p w14:paraId="095A48FA">
                  <w:pPr>
                    <w:keepNext w:val="0"/>
                    <w:keepLines w:val="0"/>
                    <w:pageBreakBefore w:val="0"/>
                    <w:widowControl w:val="0"/>
                    <w:kinsoku/>
                    <w:wordWrap/>
                    <w:overflowPunct/>
                    <w:topLinePunct w:val="0"/>
                    <w:autoSpaceDE/>
                    <w:autoSpaceDN/>
                    <w:bidi w:val="0"/>
                    <w:adjustRightInd/>
                    <w:snapToGrid/>
                    <w:jc w:val="center"/>
                    <w:textAlignment w:val="auto"/>
                    <w:rPr>
                      <w:rFonts w:hAnsi="宋体"/>
                      <w:sz w:val="21"/>
                      <w:szCs w:val="21"/>
                    </w:rPr>
                  </w:pPr>
                  <w:r>
                    <w:rPr>
                      <w:rFonts w:hint="eastAsia" w:ascii="Times New Roman" w:hAnsi="Times New Roman" w:eastAsia="宋体" w:cs="Times New Roman"/>
                      <w:b w:val="0"/>
                      <w:bCs w:val="0"/>
                      <w:color w:val="auto"/>
                      <w:sz w:val="21"/>
                      <w:szCs w:val="21"/>
                      <w:lang w:val="en-US" w:eastAsia="zh-CN" w:bidi="ar"/>
                    </w:rPr>
                    <w:t>《饮食业油烟排放标准》（GB18483-2001）中最高允许排放浓度</w:t>
                  </w:r>
                </w:p>
              </w:tc>
            </w:tr>
          </w:tbl>
          <w:p w14:paraId="0ED5519E">
            <w:pPr>
              <w:pStyle w:val="36"/>
              <w:adjustRightInd/>
              <w:snapToGrid/>
              <w:spacing w:after="0" w:line="360" w:lineRule="auto"/>
              <w:ind w:firstLine="480" w:firstLineChars="200"/>
              <w:jc w:val="both"/>
              <w:rPr>
                <w:rFonts w:eastAsia="宋体"/>
                <w:sz w:val="24"/>
                <w:szCs w:val="24"/>
              </w:rPr>
            </w:pPr>
            <w:r>
              <w:rPr>
                <w:sz w:val="24"/>
                <w:szCs w:val="24"/>
              </w:rPr>
              <w:t>1.1.</w:t>
            </w:r>
            <w:r>
              <w:rPr>
                <w:rFonts w:hint="eastAsia"/>
                <w:sz w:val="24"/>
                <w:szCs w:val="24"/>
                <w:lang w:val="en-US" w:eastAsia="zh-CN"/>
              </w:rPr>
              <w:t>6</w:t>
            </w:r>
            <w:r>
              <w:rPr>
                <w:rFonts w:hint="eastAsia" w:eastAsia="宋体"/>
                <w:sz w:val="24"/>
                <w:szCs w:val="24"/>
              </w:rPr>
              <w:t>排放口基本情况</w:t>
            </w:r>
          </w:p>
          <w:p w14:paraId="5ADEB935">
            <w:pPr>
              <w:pStyle w:val="36"/>
              <w:adjustRightInd/>
              <w:snapToGrid/>
              <w:spacing w:after="0" w:line="360" w:lineRule="auto"/>
              <w:ind w:firstLine="480" w:firstLineChars="200"/>
              <w:jc w:val="both"/>
              <w:rPr>
                <w:rFonts w:eastAsia="宋体"/>
                <w:b/>
                <w:bCs/>
                <w:sz w:val="24"/>
                <w:szCs w:val="24"/>
              </w:rPr>
            </w:pPr>
            <w:r>
              <w:rPr>
                <w:rFonts w:hint="eastAsia" w:eastAsia="宋体"/>
                <w:sz w:val="24"/>
                <w:szCs w:val="24"/>
              </w:rPr>
              <w:t>排放口基本情况见下表。</w:t>
            </w:r>
          </w:p>
          <w:p w14:paraId="62C335A7">
            <w:pPr>
              <w:pStyle w:val="36"/>
              <w:adjustRightInd/>
              <w:snapToGrid/>
              <w:spacing w:after="0" w:line="240" w:lineRule="auto"/>
              <w:rPr>
                <w:rFonts w:eastAsia="宋体"/>
                <w:b/>
                <w:bCs/>
                <w:sz w:val="21"/>
                <w:szCs w:val="21"/>
              </w:rPr>
            </w:pPr>
            <w:r>
              <w:rPr>
                <w:rFonts w:hint="eastAsia" w:eastAsia="宋体"/>
                <w:b/>
                <w:bCs/>
                <w:sz w:val="21"/>
                <w:szCs w:val="21"/>
              </w:rPr>
              <w:t>表4-2  排放口基本情况一览表</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376"/>
              <w:gridCol w:w="945"/>
              <w:gridCol w:w="1544"/>
              <w:gridCol w:w="1065"/>
              <w:gridCol w:w="2659"/>
            </w:tblGrid>
            <w:tr w14:paraId="6A714FF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44" w:type="pct"/>
                  <w:tcBorders>
                    <w:tl2br w:val="nil"/>
                    <w:tr2bl w:val="nil"/>
                  </w:tcBorders>
                  <w:noWrap/>
                  <w:vAlign w:val="center"/>
                </w:tcPr>
                <w:p w14:paraId="53453C7D">
                  <w:pPr>
                    <w:pStyle w:val="6"/>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val="0"/>
                      <w:sz w:val="21"/>
                      <w:szCs w:val="21"/>
                    </w:rPr>
                  </w:pPr>
                  <w:r>
                    <w:rPr>
                      <w:rFonts w:hint="eastAsia"/>
                      <w:b/>
                      <w:bCs w:val="0"/>
                      <w:sz w:val="21"/>
                      <w:szCs w:val="21"/>
                    </w:rPr>
                    <w:t>排放口位置</w:t>
                  </w:r>
                </w:p>
              </w:tc>
              <w:tc>
                <w:tcPr>
                  <w:tcW w:w="753" w:type="pct"/>
                  <w:tcBorders>
                    <w:tl2br w:val="nil"/>
                    <w:tr2bl w:val="nil"/>
                  </w:tcBorders>
                  <w:noWrap/>
                  <w:vAlign w:val="center"/>
                </w:tcPr>
                <w:p w14:paraId="761EBA92">
                  <w:pPr>
                    <w:pStyle w:val="6"/>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val="0"/>
                      <w:sz w:val="21"/>
                      <w:szCs w:val="21"/>
                    </w:rPr>
                  </w:pPr>
                  <w:r>
                    <w:rPr>
                      <w:rFonts w:hint="eastAsia"/>
                      <w:b/>
                      <w:bCs w:val="0"/>
                      <w:sz w:val="21"/>
                      <w:szCs w:val="21"/>
                    </w:rPr>
                    <w:t>排放口编号</w:t>
                  </w:r>
                </w:p>
              </w:tc>
              <w:tc>
                <w:tcPr>
                  <w:tcW w:w="517" w:type="pct"/>
                  <w:tcBorders>
                    <w:tl2br w:val="nil"/>
                    <w:tr2bl w:val="nil"/>
                  </w:tcBorders>
                  <w:noWrap/>
                  <w:vAlign w:val="center"/>
                </w:tcPr>
                <w:p w14:paraId="6A99F5E4">
                  <w:pPr>
                    <w:pStyle w:val="6"/>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val="0"/>
                      <w:sz w:val="21"/>
                      <w:szCs w:val="21"/>
                    </w:rPr>
                  </w:pPr>
                  <w:r>
                    <w:rPr>
                      <w:rFonts w:hint="eastAsia"/>
                      <w:b/>
                      <w:bCs w:val="0"/>
                      <w:sz w:val="21"/>
                      <w:szCs w:val="21"/>
                    </w:rPr>
                    <w:t>高度m</w:t>
                  </w:r>
                </w:p>
              </w:tc>
              <w:tc>
                <w:tcPr>
                  <w:tcW w:w="845" w:type="pct"/>
                  <w:tcBorders>
                    <w:tl2br w:val="nil"/>
                    <w:tr2bl w:val="nil"/>
                  </w:tcBorders>
                  <w:noWrap/>
                  <w:vAlign w:val="center"/>
                </w:tcPr>
                <w:p w14:paraId="69A34103">
                  <w:pPr>
                    <w:pStyle w:val="6"/>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val="0"/>
                      <w:sz w:val="21"/>
                      <w:szCs w:val="21"/>
                    </w:rPr>
                  </w:pPr>
                  <w:r>
                    <w:rPr>
                      <w:rFonts w:hint="eastAsia"/>
                      <w:b/>
                      <w:bCs w:val="0"/>
                      <w:sz w:val="21"/>
                      <w:szCs w:val="21"/>
                    </w:rPr>
                    <w:t>排气筒内径m</w:t>
                  </w:r>
                </w:p>
              </w:tc>
              <w:tc>
                <w:tcPr>
                  <w:tcW w:w="583" w:type="pct"/>
                  <w:tcBorders>
                    <w:tl2br w:val="nil"/>
                    <w:tr2bl w:val="nil"/>
                  </w:tcBorders>
                  <w:noWrap/>
                  <w:vAlign w:val="center"/>
                </w:tcPr>
                <w:p w14:paraId="65A84932">
                  <w:pPr>
                    <w:pStyle w:val="6"/>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val="0"/>
                      <w:sz w:val="21"/>
                      <w:szCs w:val="21"/>
                    </w:rPr>
                  </w:pPr>
                  <w:r>
                    <w:rPr>
                      <w:rFonts w:hint="eastAsia"/>
                      <w:b/>
                      <w:bCs w:val="0"/>
                      <w:sz w:val="21"/>
                      <w:szCs w:val="21"/>
                    </w:rPr>
                    <w:t>温度℃</w:t>
                  </w:r>
                </w:p>
              </w:tc>
              <w:tc>
                <w:tcPr>
                  <w:tcW w:w="1455" w:type="pct"/>
                  <w:tcBorders>
                    <w:tl2br w:val="nil"/>
                    <w:tr2bl w:val="nil"/>
                  </w:tcBorders>
                  <w:noWrap/>
                  <w:vAlign w:val="center"/>
                </w:tcPr>
                <w:p w14:paraId="5E82B6B8">
                  <w:pPr>
                    <w:pStyle w:val="6"/>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val="0"/>
                      <w:sz w:val="21"/>
                      <w:szCs w:val="21"/>
                    </w:rPr>
                  </w:pPr>
                  <w:r>
                    <w:rPr>
                      <w:rFonts w:hint="eastAsia"/>
                      <w:b/>
                      <w:bCs w:val="0"/>
                      <w:sz w:val="21"/>
                      <w:szCs w:val="21"/>
                    </w:rPr>
                    <w:t>地理坐标</w:t>
                  </w:r>
                </w:p>
              </w:tc>
            </w:tr>
            <w:tr w14:paraId="093C238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4" w:type="pct"/>
                  <w:tcBorders>
                    <w:tl2br w:val="nil"/>
                    <w:tr2bl w:val="nil"/>
                  </w:tcBorders>
                  <w:noWrap/>
                  <w:vAlign w:val="center"/>
                </w:tcPr>
                <w:p w14:paraId="2CE3F873">
                  <w:pPr>
                    <w:pageBreakBefore w:val="0"/>
                    <w:widowControl w:val="0"/>
                    <w:kinsoku/>
                    <w:wordWrap/>
                    <w:overflowPunct/>
                    <w:topLinePunct w:val="0"/>
                    <w:autoSpaceDE/>
                    <w:autoSpaceDN/>
                    <w:bidi w:val="0"/>
                    <w:adjustRightInd/>
                    <w:snapToGrid/>
                    <w:jc w:val="center"/>
                    <w:textAlignment w:val="auto"/>
                    <w:rPr>
                      <w:rFonts w:hint="default"/>
                      <w:sz w:val="21"/>
                      <w:szCs w:val="21"/>
                      <w:lang w:val="en-US"/>
                    </w:rPr>
                  </w:pPr>
                  <w:r>
                    <w:rPr>
                      <w:rFonts w:hint="eastAsia"/>
                      <w:sz w:val="21"/>
                      <w:szCs w:val="21"/>
                      <w:lang w:val="en-US" w:eastAsia="zh-CN"/>
                    </w:rPr>
                    <w:t>物料输送储存区</w:t>
                  </w:r>
                </w:p>
              </w:tc>
              <w:tc>
                <w:tcPr>
                  <w:tcW w:w="753" w:type="pct"/>
                  <w:tcBorders>
                    <w:tl2br w:val="nil"/>
                    <w:tr2bl w:val="nil"/>
                  </w:tcBorders>
                  <w:noWrap/>
                  <w:vAlign w:val="center"/>
                </w:tcPr>
                <w:p w14:paraId="2EECA349">
                  <w:pPr>
                    <w:pStyle w:val="6"/>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bCs w:val="0"/>
                      <w:sz w:val="21"/>
                      <w:szCs w:val="21"/>
                      <w:lang w:val="en-US" w:eastAsia="zh-CN"/>
                    </w:rPr>
                  </w:pPr>
                  <w:r>
                    <w:rPr>
                      <w:rFonts w:hint="eastAsia"/>
                      <w:sz w:val="21"/>
                      <w:szCs w:val="21"/>
                    </w:rPr>
                    <w:t>DA001</w:t>
                  </w:r>
                  <w:r>
                    <w:rPr>
                      <w:rFonts w:hint="eastAsia"/>
                      <w:sz w:val="21"/>
                      <w:szCs w:val="21"/>
                      <w:lang w:val="en-US" w:eastAsia="zh-CN"/>
                    </w:rPr>
                    <w:t>-</w:t>
                  </w:r>
                  <w:r>
                    <w:rPr>
                      <w:rFonts w:hint="eastAsia"/>
                      <w:sz w:val="21"/>
                      <w:szCs w:val="21"/>
                    </w:rPr>
                    <w:t>DA00</w:t>
                  </w:r>
                  <w:r>
                    <w:rPr>
                      <w:rFonts w:hint="eastAsia"/>
                      <w:sz w:val="21"/>
                      <w:szCs w:val="21"/>
                      <w:lang w:val="en-US" w:eastAsia="zh-CN"/>
                    </w:rPr>
                    <w:t>6</w:t>
                  </w:r>
                </w:p>
              </w:tc>
              <w:tc>
                <w:tcPr>
                  <w:tcW w:w="517" w:type="pct"/>
                  <w:tcBorders>
                    <w:tl2br w:val="nil"/>
                    <w:tr2bl w:val="nil"/>
                  </w:tcBorders>
                  <w:noWrap/>
                  <w:vAlign w:val="center"/>
                </w:tcPr>
                <w:p w14:paraId="75BF55D2">
                  <w:pPr>
                    <w:pStyle w:val="6"/>
                    <w:pageBreakBefore w:val="0"/>
                    <w:widowControl w:val="0"/>
                    <w:kinsoku/>
                    <w:wordWrap/>
                    <w:overflowPunct/>
                    <w:topLinePunct w:val="0"/>
                    <w:autoSpaceDE/>
                    <w:autoSpaceDN/>
                    <w:bidi w:val="0"/>
                    <w:adjustRightInd/>
                    <w:snapToGrid/>
                    <w:spacing w:line="240" w:lineRule="auto"/>
                    <w:ind w:firstLine="0" w:firstLineChars="0"/>
                    <w:jc w:val="center"/>
                    <w:textAlignment w:val="auto"/>
                    <w:rPr>
                      <w:bCs w:val="0"/>
                      <w:sz w:val="21"/>
                      <w:szCs w:val="21"/>
                    </w:rPr>
                  </w:pPr>
                  <w:r>
                    <w:rPr>
                      <w:rFonts w:hint="eastAsia"/>
                      <w:bCs w:val="0"/>
                      <w:sz w:val="21"/>
                      <w:szCs w:val="21"/>
                    </w:rPr>
                    <w:t>15</w:t>
                  </w:r>
                </w:p>
              </w:tc>
              <w:tc>
                <w:tcPr>
                  <w:tcW w:w="845" w:type="pct"/>
                  <w:tcBorders>
                    <w:tl2br w:val="nil"/>
                    <w:tr2bl w:val="nil"/>
                  </w:tcBorders>
                  <w:noWrap/>
                  <w:vAlign w:val="center"/>
                </w:tcPr>
                <w:p w14:paraId="239BBABA">
                  <w:pPr>
                    <w:pStyle w:val="6"/>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bCs w:val="0"/>
                      <w:sz w:val="21"/>
                      <w:szCs w:val="21"/>
                      <w:lang w:eastAsia="zh-CN"/>
                    </w:rPr>
                  </w:pPr>
                  <w:r>
                    <w:rPr>
                      <w:rFonts w:hint="eastAsia"/>
                      <w:bCs w:val="0"/>
                      <w:sz w:val="21"/>
                      <w:szCs w:val="21"/>
                    </w:rPr>
                    <w:t>0.</w:t>
                  </w:r>
                  <w:r>
                    <w:rPr>
                      <w:rFonts w:hint="eastAsia"/>
                      <w:bCs w:val="0"/>
                      <w:sz w:val="21"/>
                      <w:szCs w:val="21"/>
                      <w:lang w:val="en-US" w:eastAsia="zh-CN"/>
                    </w:rPr>
                    <w:t>5</w:t>
                  </w:r>
                </w:p>
              </w:tc>
              <w:tc>
                <w:tcPr>
                  <w:tcW w:w="583" w:type="pct"/>
                  <w:tcBorders>
                    <w:tl2br w:val="nil"/>
                    <w:tr2bl w:val="nil"/>
                  </w:tcBorders>
                  <w:noWrap/>
                  <w:vAlign w:val="center"/>
                </w:tcPr>
                <w:p w14:paraId="234A4ECD">
                  <w:pPr>
                    <w:pStyle w:val="6"/>
                    <w:pageBreakBefore w:val="0"/>
                    <w:widowControl w:val="0"/>
                    <w:kinsoku/>
                    <w:wordWrap/>
                    <w:overflowPunct/>
                    <w:topLinePunct w:val="0"/>
                    <w:autoSpaceDE/>
                    <w:autoSpaceDN/>
                    <w:bidi w:val="0"/>
                    <w:adjustRightInd/>
                    <w:snapToGrid/>
                    <w:spacing w:line="240" w:lineRule="auto"/>
                    <w:ind w:firstLine="0" w:firstLineChars="0"/>
                    <w:jc w:val="center"/>
                    <w:textAlignment w:val="auto"/>
                    <w:rPr>
                      <w:bCs w:val="0"/>
                      <w:sz w:val="21"/>
                      <w:szCs w:val="21"/>
                    </w:rPr>
                  </w:pPr>
                  <w:r>
                    <w:rPr>
                      <w:rFonts w:hint="eastAsia"/>
                      <w:bCs w:val="0"/>
                      <w:sz w:val="21"/>
                      <w:szCs w:val="21"/>
                      <w:lang w:val="en-US" w:eastAsia="zh-CN"/>
                    </w:rPr>
                    <w:t>5</w:t>
                  </w:r>
                  <w:r>
                    <w:rPr>
                      <w:rFonts w:hint="eastAsia"/>
                      <w:bCs w:val="0"/>
                      <w:sz w:val="21"/>
                      <w:szCs w:val="21"/>
                    </w:rPr>
                    <w:t>0</w:t>
                  </w:r>
                </w:p>
              </w:tc>
              <w:tc>
                <w:tcPr>
                  <w:tcW w:w="1455" w:type="pct"/>
                  <w:tcBorders>
                    <w:tl2br w:val="nil"/>
                    <w:tr2bl w:val="nil"/>
                  </w:tcBorders>
                  <w:noWrap/>
                  <w:vAlign w:val="center"/>
                </w:tcPr>
                <w:p w14:paraId="302A1882">
                  <w:pPr>
                    <w:pStyle w:val="6"/>
                    <w:pageBreakBefore w:val="0"/>
                    <w:widowControl w:val="0"/>
                    <w:kinsoku/>
                    <w:wordWrap/>
                    <w:overflowPunct/>
                    <w:topLinePunct w:val="0"/>
                    <w:autoSpaceDE/>
                    <w:autoSpaceDN/>
                    <w:bidi w:val="0"/>
                    <w:adjustRightInd/>
                    <w:snapToGrid/>
                    <w:spacing w:line="240" w:lineRule="auto"/>
                    <w:ind w:firstLine="0" w:firstLineChars="0"/>
                    <w:jc w:val="center"/>
                    <w:textAlignment w:val="auto"/>
                    <w:rPr>
                      <w:bCs w:val="0"/>
                      <w:sz w:val="21"/>
                      <w:szCs w:val="21"/>
                    </w:rPr>
                  </w:pPr>
                  <w:r>
                    <w:rPr>
                      <w:color w:val="auto"/>
                      <w:sz w:val="21"/>
                      <w:szCs w:val="21"/>
                    </w:rPr>
                    <w:t>8</w:t>
                  </w:r>
                  <w:r>
                    <w:rPr>
                      <w:rFonts w:hint="eastAsia"/>
                      <w:color w:val="auto"/>
                      <w:sz w:val="21"/>
                      <w:szCs w:val="21"/>
                      <w:lang w:val="en-US" w:eastAsia="zh-CN"/>
                    </w:rPr>
                    <w:t>4</w:t>
                  </w:r>
                  <w:r>
                    <w:rPr>
                      <w:color w:val="auto"/>
                      <w:sz w:val="21"/>
                      <w:szCs w:val="21"/>
                    </w:rPr>
                    <w:t>°</w:t>
                  </w:r>
                  <w:r>
                    <w:rPr>
                      <w:rFonts w:hint="eastAsia"/>
                      <w:color w:val="auto"/>
                      <w:sz w:val="21"/>
                      <w:szCs w:val="21"/>
                      <w:lang w:val="en-US" w:eastAsia="zh-CN"/>
                    </w:rPr>
                    <w:t>52</w:t>
                  </w:r>
                  <w:r>
                    <w:rPr>
                      <w:color w:val="auto"/>
                      <w:sz w:val="21"/>
                      <w:szCs w:val="21"/>
                    </w:rPr>
                    <w:t>′</w:t>
                  </w:r>
                  <w:r>
                    <w:rPr>
                      <w:rFonts w:hint="eastAsia"/>
                      <w:color w:val="auto"/>
                      <w:sz w:val="21"/>
                      <w:szCs w:val="21"/>
                      <w:lang w:val="en-US" w:eastAsia="zh-CN"/>
                    </w:rPr>
                    <w:t>11.921</w:t>
                  </w:r>
                  <w:r>
                    <w:rPr>
                      <w:color w:val="auto"/>
                      <w:sz w:val="21"/>
                      <w:szCs w:val="21"/>
                    </w:rPr>
                    <w:t>″</w:t>
                  </w:r>
                  <w:r>
                    <w:rPr>
                      <w:snapToGrid w:val="0"/>
                      <w:color w:val="auto"/>
                      <w:kern w:val="0"/>
                      <w:sz w:val="21"/>
                      <w:szCs w:val="21"/>
                    </w:rPr>
                    <w:t>E，</w:t>
                  </w:r>
                  <w:r>
                    <w:rPr>
                      <w:rFonts w:hint="eastAsia"/>
                      <w:color w:val="auto"/>
                      <w:sz w:val="21"/>
                      <w:szCs w:val="21"/>
                      <w:lang w:val="en-US" w:eastAsia="zh-CN"/>
                    </w:rPr>
                    <w:t>44</w:t>
                  </w:r>
                  <w:r>
                    <w:rPr>
                      <w:color w:val="auto"/>
                      <w:sz w:val="21"/>
                      <w:szCs w:val="21"/>
                    </w:rPr>
                    <w:t>°</w:t>
                  </w:r>
                  <w:r>
                    <w:rPr>
                      <w:rFonts w:hint="eastAsia"/>
                      <w:color w:val="auto"/>
                      <w:sz w:val="21"/>
                      <w:szCs w:val="21"/>
                      <w:lang w:val="en-US" w:eastAsia="zh-CN"/>
                    </w:rPr>
                    <w:t>47</w:t>
                  </w:r>
                  <w:r>
                    <w:rPr>
                      <w:color w:val="auto"/>
                      <w:sz w:val="21"/>
                      <w:szCs w:val="21"/>
                    </w:rPr>
                    <w:t>′</w:t>
                  </w:r>
                  <w:r>
                    <w:rPr>
                      <w:rFonts w:hint="eastAsia"/>
                      <w:color w:val="auto"/>
                      <w:sz w:val="21"/>
                      <w:szCs w:val="21"/>
                      <w:lang w:val="en-US" w:eastAsia="zh-CN"/>
                    </w:rPr>
                    <w:t>46.633</w:t>
                  </w:r>
                  <w:r>
                    <w:rPr>
                      <w:color w:val="auto"/>
                      <w:sz w:val="21"/>
                      <w:szCs w:val="21"/>
                    </w:rPr>
                    <w:t>″</w:t>
                  </w:r>
                  <w:r>
                    <w:rPr>
                      <w:snapToGrid w:val="0"/>
                      <w:color w:val="auto"/>
                      <w:kern w:val="0"/>
                      <w:sz w:val="21"/>
                      <w:szCs w:val="21"/>
                    </w:rPr>
                    <w:t>N</w:t>
                  </w:r>
                </w:p>
              </w:tc>
            </w:tr>
            <w:tr w14:paraId="7171909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4" w:type="pct"/>
                  <w:tcBorders>
                    <w:tl2br w:val="nil"/>
                    <w:tr2bl w:val="nil"/>
                  </w:tcBorders>
                  <w:noWrap/>
                  <w:vAlign w:val="center"/>
                </w:tcPr>
                <w:p w14:paraId="4516FBB0">
                  <w:pPr>
                    <w:pageBreakBefore w:val="0"/>
                    <w:widowControl w:val="0"/>
                    <w:kinsoku/>
                    <w:wordWrap/>
                    <w:overflowPunct/>
                    <w:topLinePunct w:val="0"/>
                    <w:autoSpaceDE/>
                    <w:autoSpaceDN/>
                    <w:bidi w:val="0"/>
                    <w:adjustRightInd/>
                    <w:snapToGrid/>
                    <w:jc w:val="center"/>
                    <w:textAlignment w:val="auto"/>
                    <w:rPr>
                      <w:rFonts w:hint="default"/>
                      <w:sz w:val="21"/>
                      <w:szCs w:val="21"/>
                      <w:lang w:val="en-US"/>
                    </w:rPr>
                  </w:pPr>
                  <w:r>
                    <w:rPr>
                      <w:rFonts w:hint="eastAsia"/>
                      <w:sz w:val="21"/>
                      <w:szCs w:val="21"/>
                      <w:lang w:val="en-US" w:eastAsia="zh-CN"/>
                    </w:rPr>
                    <w:t>底板清理区</w:t>
                  </w:r>
                </w:p>
              </w:tc>
              <w:tc>
                <w:tcPr>
                  <w:tcW w:w="753" w:type="pct"/>
                  <w:tcBorders>
                    <w:tl2br w:val="nil"/>
                    <w:tr2bl w:val="nil"/>
                  </w:tcBorders>
                  <w:noWrap/>
                  <w:vAlign w:val="center"/>
                </w:tcPr>
                <w:p w14:paraId="23F6B9D0">
                  <w:pPr>
                    <w:pStyle w:val="6"/>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lang w:val="en-US" w:eastAsia="zh-CN"/>
                    </w:rPr>
                  </w:pPr>
                  <w:r>
                    <w:rPr>
                      <w:rFonts w:hint="eastAsia"/>
                      <w:sz w:val="21"/>
                      <w:szCs w:val="21"/>
                    </w:rPr>
                    <w:t>DA00</w:t>
                  </w:r>
                  <w:r>
                    <w:rPr>
                      <w:rFonts w:hint="eastAsia"/>
                      <w:sz w:val="21"/>
                      <w:szCs w:val="21"/>
                      <w:lang w:val="en-US" w:eastAsia="zh-CN"/>
                    </w:rPr>
                    <w:t>7</w:t>
                  </w:r>
                </w:p>
              </w:tc>
              <w:tc>
                <w:tcPr>
                  <w:tcW w:w="517" w:type="pct"/>
                  <w:tcBorders>
                    <w:tl2br w:val="nil"/>
                    <w:tr2bl w:val="nil"/>
                  </w:tcBorders>
                  <w:noWrap/>
                  <w:vAlign w:val="center"/>
                </w:tcPr>
                <w:p w14:paraId="5CCC6E3F">
                  <w:pPr>
                    <w:pStyle w:val="6"/>
                    <w:pageBreakBefore w:val="0"/>
                    <w:widowControl w:val="0"/>
                    <w:kinsoku/>
                    <w:wordWrap/>
                    <w:overflowPunct/>
                    <w:topLinePunct w:val="0"/>
                    <w:autoSpaceDE/>
                    <w:autoSpaceDN/>
                    <w:bidi w:val="0"/>
                    <w:adjustRightInd/>
                    <w:snapToGrid/>
                    <w:spacing w:line="240" w:lineRule="auto"/>
                    <w:ind w:firstLine="0" w:firstLineChars="0"/>
                    <w:jc w:val="center"/>
                    <w:textAlignment w:val="auto"/>
                    <w:rPr>
                      <w:bCs w:val="0"/>
                      <w:sz w:val="21"/>
                      <w:szCs w:val="21"/>
                    </w:rPr>
                  </w:pPr>
                  <w:r>
                    <w:rPr>
                      <w:rFonts w:hint="eastAsia"/>
                      <w:bCs w:val="0"/>
                      <w:sz w:val="21"/>
                      <w:szCs w:val="21"/>
                    </w:rPr>
                    <w:t>15</w:t>
                  </w:r>
                </w:p>
              </w:tc>
              <w:tc>
                <w:tcPr>
                  <w:tcW w:w="845" w:type="pct"/>
                  <w:tcBorders>
                    <w:tl2br w:val="nil"/>
                    <w:tr2bl w:val="nil"/>
                  </w:tcBorders>
                  <w:noWrap/>
                  <w:vAlign w:val="center"/>
                </w:tcPr>
                <w:p w14:paraId="2E411B65">
                  <w:pPr>
                    <w:pStyle w:val="6"/>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bCs w:val="0"/>
                      <w:sz w:val="21"/>
                      <w:szCs w:val="21"/>
                      <w:lang w:eastAsia="zh-CN"/>
                    </w:rPr>
                  </w:pPr>
                  <w:r>
                    <w:rPr>
                      <w:rFonts w:hint="eastAsia"/>
                      <w:bCs w:val="0"/>
                      <w:sz w:val="21"/>
                      <w:szCs w:val="21"/>
                    </w:rPr>
                    <w:t>0.</w:t>
                  </w:r>
                  <w:r>
                    <w:rPr>
                      <w:rFonts w:hint="eastAsia"/>
                      <w:bCs w:val="0"/>
                      <w:sz w:val="21"/>
                      <w:szCs w:val="21"/>
                      <w:lang w:val="en-US" w:eastAsia="zh-CN"/>
                    </w:rPr>
                    <w:t>5</w:t>
                  </w:r>
                </w:p>
              </w:tc>
              <w:tc>
                <w:tcPr>
                  <w:tcW w:w="583" w:type="pct"/>
                  <w:tcBorders>
                    <w:tl2br w:val="nil"/>
                    <w:tr2bl w:val="nil"/>
                  </w:tcBorders>
                  <w:noWrap/>
                  <w:vAlign w:val="center"/>
                </w:tcPr>
                <w:p w14:paraId="3FD4014C">
                  <w:pPr>
                    <w:pStyle w:val="6"/>
                    <w:pageBreakBefore w:val="0"/>
                    <w:widowControl w:val="0"/>
                    <w:kinsoku/>
                    <w:wordWrap/>
                    <w:overflowPunct/>
                    <w:topLinePunct w:val="0"/>
                    <w:autoSpaceDE/>
                    <w:autoSpaceDN/>
                    <w:bidi w:val="0"/>
                    <w:adjustRightInd/>
                    <w:snapToGrid/>
                    <w:spacing w:line="240" w:lineRule="auto"/>
                    <w:ind w:firstLine="0" w:firstLineChars="0"/>
                    <w:jc w:val="center"/>
                    <w:textAlignment w:val="auto"/>
                    <w:rPr>
                      <w:bCs w:val="0"/>
                      <w:sz w:val="21"/>
                      <w:szCs w:val="21"/>
                    </w:rPr>
                  </w:pPr>
                  <w:r>
                    <w:rPr>
                      <w:rFonts w:hint="eastAsia"/>
                      <w:bCs w:val="0"/>
                      <w:sz w:val="21"/>
                      <w:szCs w:val="21"/>
                      <w:lang w:val="en-US" w:eastAsia="zh-CN"/>
                    </w:rPr>
                    <w:t>5</w:t>
                  </w:r>
                  <w:r>
                    <w:rPr>
                      <w:rFonts w:hint="eastAsia"/>
                      <w:bCs w:val="0"/>
                      <w:sz w:val="21"/>
                      <w:szCs w:val="21"/>
                    </w:rPr>
                    <w:t>0</w:t>
                  </w:r>
                </w:p>
              </w:tc>
              <w:tc>
                <w:tcPr>
                  <w:tcW w:w="1455" w:type="pct"/>
                  <w:tcBorders>
                    <w:tl2br w:val="nil"/>
                    <w:tr2bl w:val="nil"/>
                  </w:tcBorders>
                  <w:noWrap/>
                  <w:vAlign w:val="center"/>
                </w:tcPr>
                <w:p w14:paraId="63ADFFF3">
                  <w:pPr>
                    <w:pageBreakBefore w:val="0"/>
                    <w:widowControl w:val="0"/>
                    <w:kinsoku/>
                    <w:wordWrap/>
                    <w:overflowPunct/>
                    <w:topLinePunct w:val="0"/>
                    <w:autoSpaceDE/>
                    <w:autoSpaceDN/>
                    <w:bidi w:val="0"/>
                    <w:adjustRightInd/>
                    <w:snapToGrid/>
                    <w:spacing w:line="240" w:lineRule="auto"/>
                    <w:ind w:firstLine="0" w:firstLineChars="0"/>
                    <w:jc w:val="center"/>
                    <w:textAlignment w:val="auto"/>
                    <w:rPr>
                      <w:snapToGrid w:val="0"/>
                      <w:kern w:val="0"/>
                      <w:sz w:val="21"/>
                      <w:szCs w:val="21"/>
                    </w:rPr>
                  </w:pPr>
                  <w:r>
                    <w:rPr>
                      <w:color w:val="auto"/>
                      <w:sz w:val="21"/>
                      <w:szCs w:val="21"/>
                    </w:rPr>
                    <w:t>8</w:t>
                  </w:r>
                  <w:r>
                    <w:rPr>
                      <w:rFonts w:hint="eastAsia"/>
                      <w:color w:val="auto"/>
                      <w:sz w:val="21"/>
                      <w:szCs w:val="21"/>
                      <w:lang w:val="en-US" w:eastAsia="zh-CN"/>
                    </w:rPr>
                    <w:t>4</w:t>
                  </w:r>
                  <w:r>
                    <w:rPr>
                      <w:color w:val="auto"/>
                      <w:sz w:val="21"/>
                      <w:szCs w:val="21"/>
                    </w:rPr>
                    <w:t>°</w:t>
                  </w:r>
                  <w:r>
                    <w:rPr>
                      <w:rFonts w:hint="eastAsia"/>
                      <w:color w:val="auto"/>
                      <w:sz w:val="21"/>
                      <w:szCs w:val="21"/>
                      <w:lang w:val="en-US" w:eastAsia="zh-CN"/>
                    </w:rPr>
                    <w:t>52</w:t>
                  </w:r>
                  <w:r>
                    <w:rPr>
                      <w:color w:val="auto"/>
                      <w:sz w:val="21"/>
                      <w:szCs w:val="21"/>
                    </w:rPr>
                    <w:t>′</w:t>
                  </w:r>
                  <w:r>
                    <w:rPr>
                      <w:rFonts w:hint="eastAsia"/>
                      <w:color w:val="auto"/>
                      <w:sz w:val="21"/>
                      <w:szCs w:val="21"/>
                      <w:lang w:val="en-US" w:eastAsia="zh-CN"/>
                    </w:rPr>
                    <w:t>11.921</w:t>
                  </w:r>
                  <w:r>
                    <w:rPr>
                      <w:color w:val="auto"/>
                      <w:sz w:val="21"/>
                      <w:szCs w:val="21"/>
                    </w:rPr>
                    <w:t>″</w:t>
                  </w:r>
                  <w:r>
                    <w:rPr>
                      <w:snapToGrid w:val="0"/>
                      <w:color w:val="auto"/>
                      <w:kern w:val="0"/>
                      <w:sz w:val="21"/>
                      <w:szCs w:val="21"/>
                    </w:rPr>
                    <w:t>E，</w:t>
                  </w:r>
                  <w:r>
                    <w:rPr>
                      <w:rFonts w:hint="eastAsia"/>
                      <w:color w:val="auto"/>
                      <w:sz w:val="21"/>
                      <w:szCs w:val="21"/>
                      <w:lang w:val="en-US" w:eastAsia="zh-CN"/>
                    </w:rPr>
                    <w:t>44</w:t>
                  </w:r>
                  <w:r>
                    <w:rPr>
                      <w:color w:val="auto"/>
                      <w:sz w:val="21"/>
                      <w:szCs w:val="21"/>
                    </w:rPr>
                    <w:t>°</w:t>
                  </w:r>
                  <w:r>
                    <w:rPr>
                      <w:rFonts w:hint="eastAsia"/>
                      <w:color w:val="auto"/>
                      <w:sz w:val="21"/>
                      <w:szCs w:val="21"/>
                      <w:lang w:val="en-US" w:eastAsia="zh-CN"/>
                    </w:rPr>
                    <w:t>47</w:t>
                  </w:r>
                  <w:r>
                    <w:rPr>
                      <w:color w:val="auto"/>
                      <w:sz w:val="21"/>
                      <w:szCs w:val="21"/>
                    </w:rPr>
                    <w:t>′</w:t>
                  </w:r>
                  <w:r>
                    <w:rPr>
                      <w:rFonts w:hint="eastAsia"/>
                      <w:color w:val="auto"/>
                      <w:sz w:val="21"/>
                      <w:szCs w:val="21"/>
                      <w:lang w:val="en-US" w:eastAsia="zh-CN"/>
                    </w:rPr>
                    <w:t>46.633</w:t>
                  </w:r>
                  <w:r>
                    <w:rPr>
                      <w:color w:val="auto"/>
                      <w:sz w:val="21"/>
                      <w:szCs w:val="21"/>
                    </w:rPr>
                    <w:t>″</w:t>
                  </w:r>
                  <w:r>
                    <w:rPr>
                      <w:snapToGrid w:val="0"/>
                      <w:color w:val="auto"/>
                      <w:kern w:val="0"/>
                      <w:sz w:val="21"/>
                      <w:szCs w:val="21"/>
                    </w:rPr>
                    <w:t>N</w:t>
                  </w:r>
                </w:p>
              </w:tc>
            </w:tr>
            <w:tr w14:paraId="072176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4" w:type="pct"/>
                  <w:tcBorders>
                    <w:tl2br w:val="nil"/>
                    <w:tr2bl w:val="nil"/>
                  </w:tcBorders>
                  <w:noWrap/>
                  <w:vAlign w:val="center"/>
                </w:tcPr>
                <w:p w14:paraId="69B2C2BE">
                  <w:pPr>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防腐处理区</w:t>
                  </w:r>
                </w:p>
              </w:tc>
              <w:tc>
                <w:tcPr>
                  <w:tcW w:w="753" w:type="pct"/>
                  <w:tcBorders>
                    <w:tl2br w:val="nil"/>
                    <w:tr2bl w:val="nil"/>
                  </w:tcBorders>
                  <w:noWrap/>
                  <w:vAlign w:val="center"/>
                </w:tcPr>
                <w:p w14:paraId="04D4F175">
                  <w:pPr>
                    <w:pStyle w:val="6"/>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lang w:eastAsia="zh-CN"/>
                    </w:rPr>
                  </w:pPr>
                  <w:r>
                    <w:rPr>
                      <w:rFonts w:hint="eastAsia"/>
                      <w:sz w:val="21"/>
                      <w:szCs w:val="21"/>
                    </w:rPr>
                    <w:t>DA00</w:t>
                  </w:r>
                  <w:r>
                    <w:rPr>
                      <w:rFonts w:hint="eastAsia"/>
                      <w:sz w:val="21"/>
                      <w:szCs w:val="21"/>
                      <w:lang w:val="en-US" w:eastAsia="zh-CN"/>
                    </w:rPr>
                    <w:t>8</w:t>
                  </w:r>
                </w:p>
              </w:tc>
              <w:tc>
                <w:tcPr>
                  <w:tcW w:w="517" w:type="pct"/>
                  <w:tcBorders>
                    <w:tl2br w:val="nil"/>
                    <w:tr2bl w:val="nil"/>
                  </w:tcBorders>
                  <w:noWrap/>
                  <w:vAlign w:val="center"/>
                </w:tcPr>
                <w:p w14:paraId="572E78FF">
                  <w:pPr>
                    <w:pStyle w:val="6"/>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Cs w:val="0"/>
                      <w:sz w:val="21"/>
                      <w:szCs w:val="21"/>
                      <w:lang w:val="en-US" w:eastAsia="zh-CN"/>
                    </w:rPr>
                  </w:pPr>
                  <w:r>
                    <w:rPr>
                      <w:rFonts w:hint="eastAsia"/>
                      <w:bCs w:val="0"/>
                      <w:sz w:val="21"/>
                      <w:szCs w:val="21"/>
                      <w:lang w:val="en-US" w:eastAsia="zh-CN"/>
                    </w:rPr>
                    <w:t>15</w:t>
                  </w:r>
                </w:p>
              </w:tc>
              <w:tc>
                <w:tcPr>
                  <w:tcW w:w="845" w:type="pct"/>
                  <w:tcBorders>
                    <w:tl2br w:val="nil"/>
                    <w:tr2bl w:val="nil"/>
                  </w:tcBorders>
                  <w:noWrap/>
                  <w:vAlign w:val="center"/>
                </w:tcPr>
                <w:p w14:paraId="0B3C198B">
                  <w:pPr>
                    <w:pStyle w:val="6"/>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bCs w:val="0"/>
                      <w:sz w:val="21"/>
                      <w:szCs w:val="21"/>
                      <w:lang w:val="en-US" w:eastAsia="zh-CN"/>
                    </w:rPr>
                  </w:pPr>
                  <w:r>
                    <w:rPr>
                      <w:rFonts w:hint="eastAsia"/>
                      <w:bCs w:val="0"/>
                      <w:sz w:val="21"/>
                      <w:szCs w:val="21"/>
                      <w:lang w:val="en-US" w:eastAsia="zh-CN"/>
                    </w:rPr>
                    <w:t>0.5</w:t>
                  </w:r>
                </w:p>
              </w:tc>
              <w:tc>
                <w:tcPr>
                  <w:tcW w:w="583" w:type="pct"/>
                  <w:tcBorders>
                    <w:tl2br w:val="nil"/>
                    <w:tr2bl w:val="nil"/>
                  </w:tcBorders>
                  <w:noWrap/>
                  <w:vAlign w:val="center"/>
                </w:tcPr>
                <w:p w14:paraId="6FB17F4E">
                  <w:pPr>
                    <w:pStyle w:val="6"/>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Cs w:val="0"/>
                      <w:sz w:val="21"/>
                      <w:szCs w:val="21"/>
                      <w:lang w:val="en-US" w:eastAsia="zh-CN"/>
                    </w:rPr>
                  </w:pPr>
                  <w:r>
                    <w:rPr>
                      <w:rFonts w:hint="eastAsia"/>
                      <w:bCs w:val="0"/>
                      <w:sz w:val="21"/>
                      <w:szCs w:val="21"/>
                      <w:lang w:val="en-US" w:eastAsia="zh-CN"/>
                    </w:rPr>
                    <w:t>50</w:t>
                  </w:r>
                </w:p>
              </w:tc>
              <w:tc>
                <w:tcPr>
                  <w:tcW w:w="1455" w:type="pct"/>
                  <w:tcBorders>
                    <w:tl2br w:val="nil"/>
                    <w:tr2bl w:val="nil"/>
                  </w:tcBorders>
                  <w:noWrap/>
                  <w:vAlign w:val="center"/>
                </w:tcPr>
                <w:p w14:paraId="2377DD99">
                  <w:pPr>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rPr>
                  </w:pPr>
                  <w:r>
                    <w:rPr>
                      <w:color w:val="auto"/>
                      <w:sz w:val="21"/>
                      <w:szCs w:val="21"/>
                    </w:rPr>
                    <w:t>8</w:t>
                  </w:r>
                  <w:r>
                    <w:rPr>
                      <w:rFonts w:hint="eastAsia"/>
                      <w:color w:val="auto"/>
                      <w:sz w:val="21"/>
                      <w:szCs w:val="21"/>
                      <w:lang w:val="en-US" w:eastAsia="zh-CN"/>
                    </w:rPr>
                    <w:t>4</w:t>
                  </w:r>
                  <w:r>
                    <w:rPr>
                      <w:color w:val="auto"/>
                      <w:sz w:val="21"/>
                      <w:szCs w:val="21"/>
                    </w:rPr>
                    <w:t>°</w:t>
                  </w:r>
                  <w:r>
                    <w:rPr>
                      <w:rFonts w:hint="eastAsia"/>
                      <w:color w:val="auto"/>
                      <w:sz w:val="21"/>
                      <w:szCs w:val="21"/>
                      <w:lang w:val="en-US" w:eastAsia="zh-CN"/>
                    </w:rPr>
                    <w:t>52</w:t>
                  </w:r>
                  <w:r>
                    <w:rPr>
                      <w:color w:val="auto"/>
                      <w:sz w:val="21"/>
                      <w:szCs w:val="21"/>
                    </w:rPr>
                    <w:t>′</w:t>
                  </w:r>
                  <w:r>
                    <w:rPr>
                      <w:rFonts w:hint="eastAsia"/>
                      <w:color w:val="auto"/>
                      <w:sz w:val="21"/>
                      <w:szCs w:val="21"/>
                      <w:lang w:val="en-US" w:eastAsia="zh-CN"/>
                    </w:rPr>
                    <w:t>11.921</w:t>
                  </w:r>
                  <w:r>
                    <w:rPr>
                      <w:color w:val="auto"/>
                      <w:sz w:val="21"/>
                      <w:szCs w:val="21"/>
                    </w:rPr>
                    <w:t>″</w:t>
                  </w:r>
                  <w:r>
                    <w:rPr>
                      <w:snapToGrid w:val="0"/>
                      <w:color w:val="auto"/>
                      <w:kern w:val="0"/>
                      <w:sz w:val="21"/>
                      <w:szCs w:val="21"/>
                    </w:rPr>
                    <w:t>E，</w:t>
                  </w:r>
                  <w:r>
                    <w:rPr>
                      <w:rFonts w:hint="eastAsia"/>
                      <w:color w:val="auto"/>
                      <w:sz w:val="21"/>
                      <w:szCs w:val="21"/>
                      <w:lang w:val="en-US" w:eastAsia="zh-CN"/>
                    </w:rPr>
                    <w:t>44</w:t>
                  </w:r>
                  <w:r>
                    <w:rPr>
                      <w:color w:val="auto"/>
                      <w:sz w:val="21"/>
                      <w:szCs w:val="21"/>
                    </w:rPr>
                    <w:t>°</w:t>
                  </w:r>
                  <w:r>
                    <w:rPr>
                      <w:rFonts w:hint="eastAsia"/>
                      <w:color w:val="auto"/>
                      <w:sz w:val="21"/>
                      <w:szCs w:val="21"/>
                      <w:lang w:val="en-US" w:eastAsia="zh-CN"/>
                    </w:rPr>
                    <w:t>47</w:t>
                  </w:r>
                  <w:r>
                    <w:rPr>
                      <w:color w:val="auto"/>
                      <w:sz w:val="21"/>
                      <w:szCs w:val="21"/>
                    </w:rPr>
                    <w:t>′</w:t>
                  </w:r>
                  <w:r>
                    <w:rPr>
                      <w:rFonts w:hint="eastAsia"/>
                      <w:color w:val="auto"/>
                      <w:sz w:val="21"/>
                      <w:szCs w:val="21"/>
                      <w:lang w:val="en-US" w:eastAsia="zh-CN"/>
                    </w:rPr>
                    <w:t>46.633</w:t>
                  </w:r>
                  <w:r>
                    <w:rPr>
                      <w:color w:val="auto"/>
                      <w:sz w:val="21"/>
                      <w:szCs w:val="21"/>
                    </w:rPr>
                    <w:t>″</w:t>
                  </w:r>
                  <w:r>
                    <w:rPr>
                      <w:snapToGrid w:val="0"/>
                      <w:color w:val="auto"/>
                      <w:kern w:val="0"/>
                      <w:sz w:val="21"/>
                      <w:szCs w:val="21"/>
                    </w:rPr>
                    <w:t>N</w:t>
                  </w:r>
                </w:p>
              </w:tc>
            </w:tr>
            <w:tr w14:paraId="3F148A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4" w:type="pct"/>
                  <w:tcBorders>
                    <w:tl2br w:val="nil"/>
                    <w:tr2bl w:val="nil"/>
                  </w:tcBorders>
                  <w:noWrap/>
                  <w:vAlign w:val="center"/>
                </w:tcPr>
                <w:p w14:paraId="031A23FF">
                  <w:pPr>
                    <w:pageBreakBefore w:val="0"/>
                    <w:widowControl w:val="0"/>
                    <w:kinsoku/>
                    <w:wordWrap/>
                    <w:overflowPunct/>
                    <w:topLinePunct w:val="0"/>
                    <w:autoSpaceDE/>
                    <w:autoSpaceDN/>
                    <w:bidi w:val="0"/>
                    <w:adjustRightInd/>
                    <w:snapToGrid/>
                    <w:jc w:val="center"/>
                    <w:textAlignment w:val="auto"/>
                    <w:rPr>
                      <w:rFonts w:hint="default"/>
                      <w:sz w:val="21"/>
                      <w:szCs w:val="21"/>
                      <w:lang w:val="en-US"/>
                    </w:rPr>
                  </w:pPr>
                  <w:r>
                    <w:rPr>
                      <w:rFonts w:hint="eastAsia"/>
                      <w:sz w:val="21"/>
                      <w:szCs w:val="21"/>
                      <w:lang w:val="en-US" w:eastAsia="zh-CN"/>
                    </w:rPr>
                    <w:t>食堂</w:t>
                  </w:r>
                </w:p>
              </w:tc>
              <w:tc>
                <w:tcPr>
                  <w:tcW w:w="753" w:type="pct"/>
                  <w:tcBorders>
                    <w:tl2br w:val="nil"/>
                    <w:tr2bl w:val="nil"/>
                  </w:tcBorders>
                  <w:noWrap/>
                  <w:vAlign w:val="center"/>
                </w:tcPr>
                <w:p w14:paraId="38953322">
                  <w:pPr>
                    <w:pStyle w:val="6"/>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lang w:val="en-US" w:eastAsia="zh-CN"/>
                    </w:rPr>
                  </w:pPr>
                  <w:r>
                    <w:rPr>
                      <w:rFonts w:hint="eastAsia"/>
                      <w:sz w:val="21"/>
                      <w:szCs w:val="21"/>
                    </w:rPr>
                    <w:t>DA00</w:t>
                  </w:r>
                  <w:r>
                    <w:rPr>
                      <w:rFonts w:hint="eastAsia"/>
                      <w:sz w:val="21"/>
                      <w:szCs w:val="21"/>
                      <w:lang w:val="en-US" w:eastAsia="zh-CN"/>
                    </w:rPr>
                    <w:t>9</w:t>
                  </w:r>
                </w:p>
              </w:tc>
              <w:tc>
                <w:tcPr>
                  <w:tcW w:w="517" w:type="pct"/>
                  <w:tcBorders>
                    <w:tl2br w:val="nil"/>
                    <w:tr2bl w:val="nil"/>
                  </w:tcBorders>
                  <w:noWrap/>
                  <w:vAlign w:val="center"/>
                </w:tcPr>
                <w:p w14:paraId="10BAE477">
                  <w:pPr>
                    <w:pStyle w:val="6"/>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bCs w:val="0"/>
                      <w:sz w:val="21"/>
                      <w:szCs w:val="21"/>
                      <w:lang w:val="en-US" w:eastAsia="zh-CN"/>
                    </w:rPr>
                  </w:pPr>
                  <w:r>
                    <w:rPr>
                      <w:rFonts w:hint="eastAsia"/>
                      <w:bCs w:val="0"/>
                      <w:sz w:val="21"/>
                      <w:szCs w:val="21"/>
                      <w:lang w:val="en-US" w:eastAsia="zh-CN"/>
                    </w:rPr>
                    <w:t>引至屋顶</w:t>
                  </w:r>
                </w:p>
              </w:tc>
              <w:tc>
                <w:tcPr>
                  <w:tcW w:w="845" w:type="pct"/>
                  <w:tcBorders>
                    <w:tl2br w:val="nil"/>
                    <w:tr2bl w:val="nil"/>
                  </w:tcBorders>
                  <w:noWrap/>
                  <w:vAlign w:val="center"/>
                </w:tcPr>
                <w:p w14:paraId="698455B0">
                  <w:pPr>
                    <w:pStyle w:val="6"/>
                    <w:pageBreakBefore w:val="0"/>
                    <w:widowControl w:val="0"/>
                    <w:kinsoku/>
                    <w:wordWrap/>
                    <w:overflowPunct/>
                    <w:topLinePunct w:val="0"/>
                    <w:autoSpaceDE/>
                    <w:autoSpaceDN/>
                    <w:bidi w:val="0"/>
                    <w:adjustRightInd/>
                    <w:snapToGrid/>
                    <w:spacing w:line="240" w:lineRule="auto"/>
                    <w:ind w:firstLine="0" w:firstLineChars="0"/>
                    <w:jc w:val="center"/>
                    <w:textAlignment w:val="auto"/>
                    <w:rPr>
                      <w:bCs w:val="0"/>
                      <w:sz w:val="21"/>
                      <w:szCs w:val="21"/>
                    </w:rPr>
                  </w:pPr>
                  <w:r>
                    <w:rPr>
                      <w:rFonts w:hint="eastAsia"/>
                      <w:bCs w:val="0"/>
                      <w:sz w:val="21"/>
                      <w:szCs w:val="21"/>
                    </w:rPr>
                    <w:t>0.</w:t>
                  </w:r>
                  <w:r>
                    <w:rPr>
                      <w:rFonts w:hint="eastAsia"/>
                      <w:bCs w:val="0"/>
                      <w:sz w:val="21"/>
                      <w:szCs w:val="21"/>
                      <w:lang w:val="en-US" w:eastAsia="zh-CN"/>
                    </w:rPr>
                    <w:t>2</w:t>
                  </w:r>
                  <w:r>
                    <w:rPr>
                      <w:rFonts w:hint="eastAsia"/>
                      <w:bCs w:val="0"/>
                      <w:sz w:val="21"/>
                      <w:szCs w:val="21"/>
                    </w:rPr>
                    <w:t>5</w:t>
                  </w:r>
                </w:p>
              </w:tc>
              <w:tc>
                <w:tcPr>
                  <w:tcW w:w="583" w:type="pct"/>
                  <w:tcBorders>
                    <w:tl2br w:val="nil"/>
                    <w:tr2bl w:val="nil"/>
                  </w:tcBorders>
                  <w:noWrap/>
                  <w:vAlign w:val="center"/>
                </w:tcPr>
                <w:p w14:paraId="5F77983D">
                  <w:pPr>
                    <w:pStyle w:val="6"/>
                    <w:pageBreakBefore w:val="0"/>
                    <w:widowControl w:val="0"/>
                    <w:kinsoku/>
                    <w:wordWrap/>
                    <w:overflowPunct/>
                    <w:topLinePunct w:val="0"/>
                    <w:autoSpaceDE/>
                    <w:autoSpaceDN/>
                    <w:bidi w:val="0"/>
                    <w:adjustRightInd/>
                    <w:snapToGrid/>
                    <w:spacing w:line="240" w:lineRule="auto"/>
                    <w:ind w:firstLine="0" w:firstLineChars="0"/>
                    <w:jc w:val="center"/>
                    <w:textAlignment w:val="auto"/>
                    <w:rPr>
                      <w:bCs w:val="0"/>
                      <w:sz w:val="21"/>
                      <w:szCs w:val="21"/>
                    </w:rPr>
                  </w:pPr>
                  <w:r>
                    <w:rPr>
                      <w:rFonts w:hint="eastAsia"/>
                      <w:bCs w:val="0"/>
                      <w:sz w:val="21"/>
                      <w:szCs w:val="21"/>
                      <w:lang w:val="en-US" w:eastAsia="zh-CN"/>
                    </w:rPr>
                    <w:t>7</w:t>
                  </w:r>
                  <w:r>
                    <w:rPr>
                      <w:rFonts w:hint="eastAsia"/>
                      <w:bCs w:val="0"/>
                      <w:sz w:val="21"/>
                      <w:szCs w:val="21"/>
                    </w:rPr>
                    <w:t>0</w:t>
                  </w:r>
                </w:p>
              </w:tc>
              <w:tc>
                <w:tcPr>
                  <w:tcW w:w="1455" w:type="pct"/>
                  <w:tcBorders>
                    <w:tl2br w:val="nil"/>
                    <w:tr2bl w:val="nil"/>
                  </w:tcBorders>
                  <w:noWrap/>
                  <w:vAlign w:val="center"/>
                </w:tcPr>
                <w:p w14:paraId="0E69ED0C">
                  <w:pPr>
                    <w:pageBreakBefore w:val="0"/>
                    <w:widowControl w:val="0"/>
                    <w:kinsoku/>
                    <w:wordWrap/>
                    <w:overflowPunct/>
                    <w:topLinePunct w:val="0"/>
                    <w:autoSpaceDE/>
                    <w:autoSpaceDN/>
                    <w:bidi w:val="0"/>
                    <w:adjustRightInd/>
                    <w:snapToGrid/>
                    <w:spacing w:line="240" w:lineRule="auto"/>
                    <w:ind w:firstLine="0" w:firstLineChars="0"/>
                    <w:jc w:val="center"/>
                    <w:textAlignment w:val="auto"/>
                    <w:rPr>
                      <w:snapToGrid w:val="0"/>
                      <w:kern w:val="0"/>
                      <w:sz w:val="21"/>
                      <w:szCs w:val="21"/>
                    </w:rPr>
                  </w:pPr>
                  <w:r>
                    <w:rPr>
                      <w:color w:val="auto"/>
                      <w:sz w:val="21"/>
                      <w:szCs w:val="21"/>
                    </w:rPr>
                    <w:t>8</w:t>
                  </w:r>
                  <w:r>
                    <w:rPr>
                      <w:rFonts w:hint="eastAsia"/>
                      <w:color w:val="auto"/>
                      <w:sz w:val="21"/>
                      <w:szCs w:val="21"/>
                      <w:lang w:val="en-US" w:eastAsia="zh-CN"/>
                    </w:rPr>
                    <w:t>4</w:t>
                  </w:r>
                  <w:r>
                    <w:rPr>
                      <w:color w:val="auto"/>
                      <w:sz w:val="21"/>
                      <w:szCs w:val="21"/>
                    </w:rPr>
                    <w:t>°</w:t>
                  </w:r>
                  <w:r>
                    <w:rPr>
                      <w:rFonts w:hint="eastAsia"/>
                      <w:color w:val="auto"/>
                      <w:sz w:val="21"/>
                      <w:szCs w:val="21"/>
                      <w:lang w:val="en-US" w:eastAsia="zh-CN"/>
                    </w:rPr>
                    <w:t>52</w:t>
                  </w:r>
                  <w:r>
                    <w:rPr>
                      <w:color w:val="auto"/>
                      <w:sz w:val="21"/>
                      <w:szCs w:val="21"/>
                    </w:rPr>
                    <w:t>′</w:t>
                  </w:r>
                  <w:r>
                    <w:rPr>
                      <w:rFonts w:hint="eastAsia"/>
                      <w:color w:val="auto"/>
                      <w:sz w:val="21"/>
                      <w:szCs w:val="21"/>
                      <w:lang w:val="en-US" w:eastAsia="zh-CN"/>
                    </w:rPr>
                    <w:t>11.354</w:t>
                  </w:r>
                  <w:r>
                    <w:rPr>
                      <w:color w:val="auto"/>
                      <w:sz w:val="21"/>
                      <w:szCs w:val="21"/>
                    </w:rPr>
                    <w:t>″</w:t>
                  </w:r>
                  <w:r>
                    <w:rPr>
                      <w:snapToGrid w:val="0"/>
                      <w:color w:val="auto"/>
                      <w:kern w:val="0"/>
                      <w:sz w:val="21"/>
                      <w:szCs w:val="21"/>
                    </w:rPr>
                    <w:t>E，</w:t>
                  </w:r>
                  <w:r>
                    <w:rPr>
                      <w:rFonts w:hint="eastAsia"/>
                      <w:color w:val="auto"/>
                      <w:sz w:val="21"/>
                      <w:szCs w:val="21"/>
                      <w:lang w:val="en-US" w:eastAsia="zh-CN"/>
                    </w:rPr>
                    <w:t>44</w:t>
                  </w:r>
                  <w:r>
                    <w:rPr>
                      <w:color w:val="auto"/>
                      <w:sz w:val="21"/>
                      <w:szCs w:val="21"/>
                    </w:rPr>
                    <w:t>°</w:t>
                  </w:r>
                  <w:r>
                    <w:rPr>
                      <w:rFonts w:hint="eastAsia"/>
                      <w:color w:val="auto"/>
                      <w:sz w:val="21"/>
                      <w:szCs w:val="21"/>
                      <w:lang w:val="en-US" w:eastAsia="zh-CN"/>
                    </w:rPr>
                    <w:t>47</w:t>
                  </w:r>
                  <w:r>
                    <w:rPr>
                      <w:color w:val="auto"/>
                      <w:sz w:val="21"/>
                      <w:szCs w:val="21"/>
                    </w:rPr>
                    <w:t>′</w:t>
                  </w:r>
                  <w:r>
                    <w:rPr>
                      <w:rFonts w:hint="eastAsia"/>
                      <w:color w:val="auto"/>
                      <w:sz w:val="21"/>
                      <w:szCs w:val="21"/>
                      <w:lang w:val="en-US" w:eastAsia="zh-CN"/>
                    </w:rPr>
                    <w:t>46.276</w:t>
                  </w:r>
                  <w:r>
                    <w:rPr>
                      <w:color w:val="auto"/>
                      <w:sz w:val="21"/>
                      <w:szCs w:val="21"/>
                    </w:rPr>
                    <w:t>″</w:t>
                  </w:r>
                  <w:r>
                    <w:rPr>
                      <w:snapToGrid w:val="0"/>
                      <w:color w:val="auto"/>
                      <w:kern w:val="0"/>
                      <w:sz w:val="21"/>
                      <w:szCs w:val="21"/>
                    </w:rPr>
                    <w:t>N</w:t>
                  </w:r>
                </w:p>
              </w:tc>
            </w:tr>
          </w:tbl>
          <w:p w14:paraId="39CB87DE">
            <w:pPr>
              <w:pStyle w:val="5"/>
              <w:ind w:firstLine="422"/>
              <w:rPr>
                <w:sz w:val="24"/>
                <w:szCs w:val="24"/>
              </w:rPr>
            </w:pPr>
            <w:r>
              <w:rPr>
                <w:rFonts w:hint="eastAsia"/>
                <w:sz w:val="24"/>
                <w:szCs w:val="24"/>
              </w:rPr>
              <w:t>1.2无组织废气</w:t>
            </w:r>
          </w:p>
          <w:p w14:paraId="3FA5A4A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lang w:val="en-US" w:eastAsia="zh-CN"/>
              </w:rPr>
              <w:t>1.2.1物料混合搅拌</w:t>
            </w:r>
            <w:r>
              <w:rPr>
                <w:rFonts w:hint="eastAsia"/>
                <w:sz w:val="24"/>
                <w:szCs w:val="24"/>
              </w:rPr>
              <w:t>粉尘</w:t>
            </w:r>
          </w:p>
          <w:p w14:paraId="367E39E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经过计量后的</w:t>
            </w:r>
            <w:r>
              <w:rPr>
                <w:rFonts w:hint="eastAsia" w:cs="Times New Roman"/>
                <w:color w:val="000000"/>
                <w:kern w:val="0"/>
                <w:sz w:val="24"/>
                <w:szCs w:val="24"/>
                <w:lang w:val="en-US" w:eastAsia="zh-CN" w:bidi="ar"/>
              </w:rPr>
              <w:t>粉煤灰</w:t>
            </w:r>
            <w:r>
              <w:rPr>
                <w:rFonts w:hint="default" w:ascii="Times New Roman" w:hAnsi="Times New Roman" w:eastAsia="宋体" w:cs="Times New Roman"/>
                <w:color w:val="000000"/>
                <w:kern w:val="0"/>
                <w:sz w:val="24"/>
                <w:szCs w:val="24"/>
                <w:lang w:val="en-US" w:eastAsia="zh-CN" w:bidi="ar"/>
              </w:rPr>
              <w:t>浆、石灰、水泥</w:t>
            </w:r>
            <w:r>
              <w:rPr>
                <w:rFonts w:hint="eastAsia" w:cs="Times New Roman"/>
                <w:color w:val="000000"/>
                <w:kern w:val="0"/>
                <w:sz w:val="24"/>
                <w:szCs w:val="24"/>
                <w:lang w:val="en-US" w:eastAsia="zh-CN" w:bidi="ar"/>
              </w:rPr>
              <w:t>等原料</w:t>
            </w:r>
            <w:r>
              <w:rPr>
                <w:rFonts w:hint="default" w:ascii="Times New Roman" w:hAnsi="Times New Roman" w:eastAsia="宋体" w:cs="Times New Roman"/>
                <w:color w:val="000000"/>
                <w:kern w:val="0"/>
                <w:sz w:val="24"/>
                <w:szCs w:val="24"/>
                <w:lang w:val="en-US" w:eastAsia="zh-CN" w:bidi="ar"/>
              </w:rPr>
              <w:t>直接通过导轨管道进料至搅拌机，进入搅拌机中的料为湿料，搅拌过程会有少量混合浆料溅洒出来，溅洒出来的混合浆料自然晾干后会形成粉尘，为减少粉尘的产生，搅拌过程中不断进行酒水抑尘，因此搅拌过程中会产生极少量的粉尘，本次环评仅进行定性分析。</w:t>
            </w:r>
          </w:p>
          <w:p w14:paraId="5D3329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1.2.2铝粉膏投料粉尘</w:t>
            </w:r>
          </w:p>
          <w:p w14:paraId="1BAE9C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sz w:val="24"/>
                <w:szCs w:val="24"/>
                <w:lang w:val="en-US" w:eastAsia="zh-CN"/>
              </w:rPr>
            </w:pPr>
            <w:r>
              <w:rPr>
                <w:rFonts w:hint="eastAsia"/>
                <w:sz w:val="24"/>
                <w:szCs w:val="24"/>
                <w:lang w:val="en-US" w:eastAsia="zh-CN"/>
              </w:rPr>
              <w:t>铝粉膏由人工拆包后投入计量系统中，人工在拆包和投料过程中会产生少量粉尘，投料粉尘按原料总用量的0.1%计，本项目铝粉使用量为100ta，则投料粉尘产生量为0.1t/a，车间内无组织排放，通过</w:t>
            </w:r>
            <w:r>
              <w:rPr>
                <w:rFonts w:hint="eastAsia"/>
                <w:sz w:val="24"/>
                <w:szCs w:val="24"/>
              </w:rPr>
              <w:t>工人佩戴防尘面罩，并定期打扫车间</w:t>
            </w:r>
            <w:r>
              <w:rPr>
                <w:rFonts w:hint="eastAsia"/>
                <w:sz w:val="24"/>
                <w:szCs w:val="24"/>
                <w:lang w:eastAsia="zh-CN"/>
              </w:rPr>
              <w:t>、</w:t>
            </w:r>
            <w:r>
              <w:rPr>
                <w:rFonts w:hint="eastAsia"/>
                <w:sz w:val="24"/>
                <w:szCs w:val="24"/>
                <w:lang w:val="en-US" w:eastAsia="zh-CN"/>
              </w:rPr>
              <w:t>洒水等措施</w:t>
            </w:r>
            <w:r>
              <w:rPr>
                <w:rFonts w:hint="default" w:ascii="Times New Roman" w:hAnsi="Times New Roman" w:eastAsia="宋体" w:cs="Times New Roman"/>
                <w:color w:val="000000"/>
                <w:kern w:val="0"/>
                <w:sz w:val="24"/>
                <w:szCs w:val="24"/>
                <w:lang w:val="en-US" w:eastAsia="zh-CN" w:bidi="ar"/>
              </w:rPr>
              <w:t>抑尘效率可达</w:t>
            </w:r>
            <w:r>
              <w:rPr>
                <w:rFonts w:hint="eastAsia" w:eastAsia="宋体" w:cs="Times New Roman"/>
                <w:color w:val="000000"/>
                <w:kern w:val="0"/>
                <w:sz w:val="24"/>
                <w:szCs w:val="24"/>
                <w:lang w:val="en-US" w:eastAsia="zh-CN" w:bidi="ar"/>
              </w:rPr>
              <w:t>8</w:t>
            </w:r>
            <w:r>
              <w:rPr>
                <w:rFonts w:hint="default" w:ascii="Times New Roman" w:hAnsi="Times New Roman" w:eastAsia="宋体" w:cs="Times New Roman"/>
                <w:color w:val="000000"/>
                <w:kern w:val="0"/>
                <w:sz w:val="24"/>
                <w:szCs w:val="24"/>
                <w:lang w:val="en-US" w:eastAsia="zh-CN" w:bidi="ar"/>
              </w:rPr>
              <w:t>0%，</w:t>
            </w:r>
            <w:r>
              <w:rPr>
                <w:rFonts w:hint="default" w:ascii="Times New Roman" w:hAnsi="Times New Roman" w:cs="Times New Roman"/>
                <w:color w:val="auto"/>
                <w:sz w:val="24"/>
                <w:szCs w:val="24"/>
                <w:lang w:val="en-US" w:eastAsia="zh-CN"/>
              </w:rPr>
              <w:t>则落料扬尘产生量为0.</w:t>
            </w:r>
            <w:r>
              <w:rPr>
                <w:rFonts w:hint="eastAsia" w:cs="Times New Roman"/>
                <w:color w:val="auto"/>
                <w:sz w:val="24"/>
                <w:szCs w:val="24"/>
                <w:lang w:val="en-US" w:eastAsia="zh-CN"/>
              </w:rPr>
              <w:t>0</w:t>
            </w:r>
            <w:r>
              <w:rPr>
                <w:rFonts w:hint="eastAsia"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lang w:val="en-US" w:eastAsia="zh-CN"/>
              </w:rPr>
              <w:t>t/a</w:t>
            </w:r>
            <w:r>
              <w:rPr>
                <w:rFonts w:hint="eastAsia" w:cs="Times New Roman"/>
                <w:color w:val="auto"/>
                <w:sz w:val="24"/>
                <w:szCs w:val="24"/>
                <w:lang w:val="en-US" w:eastAsia="zh-CN"/>
              </w:rPr>
              <w:t>。</w:t>
            </w:r>
          </w:p>
          <w:p w14:paraId="76D86B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1.2.3球磨、切割、破碎</w:t>
            </w:r>
          </w:p>
          <w:p w14:paraId="0DB736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球磨工序在密闭设备中进行，采用湿法球磨，无粉尘产生；切割工序由于胚体未凝固，含水量较高，无粉尘产生。破碎是指切割的边角料(含水分的胚体)通过切割台下的废料槽冲入废浆池，达到一定的比重后回到生产制浆段，重新进入浇筑段浇筑，因此破碎过程无粉尘产生。</w:t>
            </w:r>
          </w:p>
          <w:p w14:paraId="3311BC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1.2.3焊接</w:t>
            </w:r>
          </w:p>
          <w:p w14:paraId="6C88ED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项目钢筋下料焊接采用点焊，点焊施焊过程是电极对被焊接金属施压并通电，电流通过金属件紧贴的接触部位时，其电阻较大，发热并熔融接触点，在电极压力作用下，接触点处焊为一体，焊接过程中无需焊材、焊剂，当被焊接材料焊接部位表面处理洁净时，基本没有焊接烟尘产生。项目焊接材料选用带肋钢筋、圆钢表面无锈蚀、无石灰拉拔剂纵筋，因此本项目不考虑焊接烟尘。</w:t>
            </w:r>
          </w:p>
          <w:p w14:paraId="5189F2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1.2.4浸蜡废气</w:t>
            </w:r>
          </w:p>
          <w:p w14:paraId="383518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本项目在使用石蜡熔融工序会挥发少量有机废气，以非甲烷总烃计。本项目石蜡使用量为0.18t/a，根据资料表明，石蜡在热解过程中，由于分子间的剪切挤压下发生断链、分解、降解过程中产生有机废气。根据《空气污染物排放和控制手册》，在无控制条件下，加热温度在140-180℃，非甲烷总烃的挥发量为0.35kg/t，本项目加热温度未达到石蜡的分解温度，本项目产生系数以0.35kg/t-原料计，即非甲烷总烃产生量为0.00006t/a，产生量较小，车间内无组织排放，加强车间通风。</w:t>
            </w:r>
          </w:p>
          <w:p w14:paraId="7DDE56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1.2.5脱模剂废气</w:t>
            </w:r>
          </w:p>
          <w:p w14:paraId="69D856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本项目采用水性脱模剂，年用量12吨，其中含有的挥发性组分为基础油基础油不易挥发，考虑到浆料静养过程会释放出热量，导致基础油少量挥发，根据经验系数，散发系数取2%。，非甲烷总烃产生量为0.024t/a，车间内无组织排放，加强车间通风。</w:t>
            </w:r>
          </w:p>
          <w:p w14:paraId="31FC34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sz w:val="24"/>
                <w:szCs w:val="24"/>
                <w:lang w:val="en-US" w:eastAsia="zh-CN"/>
              </w:rPr>
              <w:t>1.2.6</w:t>
            </w:r>
            <w:r>
              <w:rPr>
                <w:rFonts w:hint="eastAsia"/>
                <w:color w:val="auto"/>
                <w:sz w:val="24"/>
                <w:szCs w:val="24"/>
                <w:lang w:val="en-US" w:eastAsia="zh-CN"/>
              </w:rPr>
              <w:t>原辅料卸料粉尘</w:t>
            </w:r>
          </w:p>
          <w:p w14:paraId="1AF9137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水泥、粉煤灰、石灰等骨料从运输车辆卸到原料仓因高度落差而产生粉尘，</w:t>
            </w:r>
            <w:r>
              <w:rPr>
                <w:rFonts w:hint="default" w:ascii="Times New Roman" w:hAnsi="Times New Roman" w:cs="Times New Roman"/>
                <w:color w:val="auto"/>
                <w:sz w:val="24"/>
                <w:szCs w:val="24"/>
              </w:rPr>
              <w:t>参照《逸散性工业粉尘控制技术》等资料，落料扬尘产生量约0.0</w:t>
            </w: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t>kg/t产品，则落料扬尘产生量为</w:t>
            </w:r>
            <w:r>
              <w:rPr>
                <w:rFonts w:hint="default" w:ascii="Times New Roman" w:hAnsi="Times New Roman" w:cs="Times New Roman"/>
                <w:color w:val="auto"/>
                <w:sz w:val="24"/>
                <w:szCs w:val="24"/>
                <w:lang w:val="en-US" w:eastAsia="zh-CN"/>
              </w:rPr>
              <w:t>1</w:t>
            </w:r>
            <w:r>
              <w:rPr>
                <w:rFonts w:hint="eastAsia" w:cs="Times New Roman"/>
                <w:color w:val="auto"/>
                <w:sz w:val="24"/>
                <w:szCs w:val="24"/>
                <w:lang w:val="en-US" w:eastAsia="zh-CN"/>
              </w:rPr>
              <w:t>.</w:t>
            </w: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t/a。</w:t>
            </w:r>
            <w:r>
              <w:rPr>
                <w:rFonts w:hint="default" w:ascii="Times New Roman" w:hAnsi="Times New Roman" w:eastAsia="宋体" w:cs="Times New Roman"/>
                <w:color w:val="000000"/>
                <w:kern w:val="0"/>
                <w:sz w:val="24"/>
                <w:szCs w:val="24"/>
                <w:lang w:val="en-US" w:eastAsia="zh-CN" w:bidi="ar"/>
              </w:rPr>
              <w:t>厂区道路进行硬化，并采取定时清扫、洒水等措施，保持路面清洁。设置车辆清洗设施，保证物料运输车辆整洁，同时采取限制车速</w:t>
            </w: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减少物料输过程中的遗撒和扬尘</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000000"/>
                <w:kern w:val="0"/>
                <w:sz w:val="24"/>
                <w:szCs w:val="24"/>
                <w:lang w:val="en-US" w:eastAsia="zh-CN" w:bidi="ar"/>
              </w:rPr>
              <w:t>抑尘的效率可达90%，</w:t>
            </w:r>
            <w:r>
              <w:rPr>
                <w:rFonts w:hint="default" w:ascii="Times New Roman" w:hAnsi="Times New Roman" w:cs="Times New Roman"/>
                <w:color w:val="auto"/>
                <w:sz w:val="24"/>
                <w:szCs w:val="24"/>
                <w:lang w:val="en-US" w:eastAsia="zh-CN"/>
              </w:rPr>
              <w:t>则落料扬尘产生量为0.</w:t>
            </w:r>
            <w:r>
              <w:rPr>
                <w:rFonts w:hint="eastAsia" w:ascii="Times New Roman" w:hAnsi="Times New Roman" w:cs="Times New Roman"/>
                <w:color w:val="auto"/>
                <w:sz w:val="24"/>
                <w:szCs w:val="24"/>
                <w:lang w:val="en-US" w:eastAsia="zh-CN"/>
              </w:rPr>
              <w:t>12</w:t>
            </w:r>
            <w:r>
              <w:rPr>
                <w:rFonts w:hint="default" w:ascii="Times New Roman" w:hAnsi="Times New Roman" w:cs="Times New Roman"/>
                <w:color w:val="auto"/>
                <w:sz w:val="24"/>
                <w:szCs w:val="24"/>
                <w:lang w:val="en-US" w:eastAsia="zh-CN"/>
              </w:rPr>
              <w:t>t/a，</w:t>
            </w:r>
            <w:r>
              <w:rPr>
                <w:rFonts w:hint="default" w:ascii="Times New Roman" w:hAnsi="Times New Roman" w:cs="Times New Roman"/>
                <w:color w:val="auto"/>
                <w:sz w:val="24"/>
                <w:szCs w:val="24"/>
              </w:rPr>
              <w:t>为无组织排放</w:t>
            </w:r>
            <w:r>
              <w:rPr>
                <w:rFonts w:hint="default" w:ascii="Times New Roman" w:hAnsi="Times New Roman" w:cs="Times New Roman"/>
                <w:color w:val="auto"/>
                <w:sz w:val="24"/>
                <w:szCs w:val="24"/>
                <w:lang w:val="en-US" w:eastAsia="zh-CN"/>
              </w:rPr>
              <w:t>。</w:t>
            </w:r>
          </w:p>
          <w:p w14:paraId="28BA5AF6">
            <w:pPr>
              <w:pageBreakBefore w:val="0"/>
              <w:kinsoku/>
              <w:wordWrap/>
              <w:overflowPunct/>
              <w:topLinePunct w:val="0"/>
              <w:autoSpaceDN/>
              <w:bidi w:val="0"/>
              <w:adjustRightInd/>
              <w:snapToGrid/>
              <w:spacing w:line="360" w:lineRule="auto"/>
              <w:ind w:firstLine="480" w:firstLineChars="200"/>
              <w:textAlignment w:val="baseline"/>
              <w:rPr>
                <w:sz w:val="24"/>
                <w:szCs w:val="24"/>
              </w:rPr>
            </w:pPr>
            <w:r>
              <w:rPr>
                <w:rFonts w:hint="eastAsia" w:ascii="Times New Roman" w:hAnsi="Times New Roman" w:cs="Times New Roman"/>
                <w:sz w:val="24"/>
                <w:szCs w:val="24"/>
                <w:lang w:val="en-US" w:eastAsia="zh-CN"/>
              </w:rPr>
              <w:t>1.2.</w:t>
            </w:r>
            <w:r>
              <w:rPr>
                <w:rFonts w:hint="eastAsia" w:cs="Times New Roman"/>
                <w:sz w:val="24"/>
                <w:szCs w:val="24"/>
                <w:lang w:val="en-US" w:eastAsia="zh-CN"/>
              </w:rPr>
              <w:t>7</w:t>
            </w:r>
            <w:r>
              <w:rPr>
                <w:rFonts w:hint="eastAsia"/>
                <w:sz w:val="24"/>
                <w:szCs w:val="24"/>
              </w:rPr>
              <w:t>道路运输扬尘</w:t>
            </w:r>
          </w:p>
          <w:p w14:paraId="5B2238AA">
            <w:pPr>
              <w:pageBreakBefore w:val="0"/>
              <w:kinsoku/>
              <w:wordWrap/>
              <w:overflowPunct/>
              <w:topLinePunct w:val="0"/>
              <w:autoSpaceDN/>
              <w:bidi w:val="0"/>
              <w:adjustRightInd/>
              <w:snapToGrid/>
              <w:spacing w:line="360" w:lineRule="auto"/>
              <w:ind w:firstLine="480" w:firstLineChars="200"/>
              <w:rPr>
                <w:sz w:val="24"/>
                <w:szCs w:val="24"/>
              </w:rPr>
            </w:pPr>
            <w:r>
              <w:rPr>
                <w:rFonts w:hint="eastAsia"/>
                <w:sz w:val="24"/>
                <w:szCs w:val="24"/>
              </w:rPr>
              <w:t>车辆行驶产生的扬尘，在道路完全干燥的情况下，可按下列经验公式计算：</w:t>
            </w:r>
          </w:p>
          <w:p w14:paraId="5669C8A7">
            <w:pPr>
              <w:pageBreakBefore w:val="0"/>
              <w:kinsoku/>
              <w:wordWrap/>
              <w:overflowPunct/>
              <w:topLinePunct w:val="0"/>
              <w:autoSpaceDN/>
              <w:bidi w:val="0"/>
              <w:adjustRightInd/>
              <w:snapToGrid/>
              <w:spacing w:line="360" w:lineRule="auto"/>
              <w:ind w:firstLine="480" w:firstLineChars="200"/>
              <w:jc w:val="center"/>
              <w:rPr>
                <w:sz w:val="24"/>
                <w:szCs w:val="24"/>
              </w:rPr>
            </w:pPr>
            <w:r>
              <w:rPr>
                <w:rFonts w:hint="eastAsia"/>
                <w:sz w:val="24"/>
                <w:szCs w:val="24"/>
              </w:rPr>
              <w:t>Q=0.123（V/5）（W/6.8）</w:t>
            </w:r>
            <w:r>
              <w:rPr>
                <w:rFonts w:hint="eastAsia"/>
                <w:sz w:val="24"/>
                <w:szCs w:val="24"/>
                <w:vertAlign w:val="superscript"/>
              </w:rPr>
              <w:t>0.85</w:t>
            </w:r>
            <w:r>
              <w:rPr>
                <w:rFonts w:hint="eastAsia"/>
                <w:sz w:val="24"/>
                <w:szCs w:val="24"/>
              </w:rPr>
              <w:t>（P/0.5）</w:t>
            </w:r>
            <w:r>
              <w:rPr>
                <w:rFonts w:hint="eastAsia"/>
                <w:sz w:val="24"/>
                <w:szCs w:val="24"/>
                <w:vertAlign w:val="superscript"/>
              </w:rPr>
              <w:t>0.75</w:t>
            </w:r>
          </w:p>
          <w:p w14:paraId="030601B3">
            <w:pPr>
              <w:pageBreakBefore w:val="0"/>
              <w:kinsoku/>
              <w:wordWrap/>
              <w:overflowPunct/>
              <w:topLinePunct w:val="0"/>
              <w:autoSpaceDN/>
              <w:bidi w:val="0"/>
              <w:adjustRightInd/>
              <w:snapToGrid/>
              <w:spacing w:line="360" w:lineRule="auto"/>
              <w:ind w:firstLine="480" w:firstLineChars="200"/>
              <w:rPr>
                <w:sz w:val="24"/>
                <w:szCs w:val="24"/>
              </w:rPr>
            </w:pPr>
            <w:r>
              <w:rPr>
                <w:rFonts w:hint="eastAsia"/>
                <w:sz w:val="24"/>
                <w:szCs w:val="24"/>
              </w:rPr>
              <w:t>式中：Q——汽车行驶时的扬尘，kg/km•辆；</w:t>
            </w:r>
          </w:p>
          <w:p w14:paraId="77733CD3">
            <w:pPr>
              <w:pageBreakBefore w:val="0"/>
              <w:kinsoku/>
              <w:wordWrap/>
              <w:overflowPunct/>
              <w:topLinePunct w:val="0"/>
              <w:autoSpaceDN/>
              <w:bidi w:val="0"/>
              <w:adjustRightInd/>
              <w:snapToGrid/>
              <w:spacing w:line="360" w:lineRule="auto"/>
              <w:ind w:firstLine="480" w:firstLineChars="200"/>
              <w:rPr>
                <w:sz w:val="24"/>
                <w:szCs w:val="24"/>
              </w:rPr>
            </w:pPr>
            <w:r>
              <w:rPr>
                <w:rFonts w:hint="eastAsia"/>
                <w:sz w:val="24"/>
                <w:szCs w:val="24"/>
              </w:rPr>
              <w:t xml:space="preserve">      V——汽车速度，km/h；</w:t>
            </w:r>
          </w:p>
          <w:p w14:paraId="66A614D8">
            <w:pPr>
              <w:pageBreakBefore w:val="0"/>
              <w:kinsoku/>
              <w:wordWrap/>
              <w:overflowPunct/>
              <w:topLinePunct w:val="0"/>
              <w:autoSpaceDN/>
              <w:bidi w:val="0"/>
              <w:adjustRightInd/>
              <w:snapToGrid/>
              <w:spacing w:line="360" w:lineRule="auto"/>
              <w:ind w:firstLine="480" w:firstLineChars="200"/>
              <w:rPr>
                <w:sz w:val="24"/>
                <w:szCs w:val="24"/>
              </w:rPr>
            </w:pPr>
            <w:r>
              <w:rPr>
                <w:rFonts w:hint="eastAsia"/>
                <w:sz w:val="24"/>
                <w:szCs w:val="24"/>
              </w:rPr>
              <w:t xml:space="preserve">      W——汽车重量，t；</w:t>
            </w:r>
          </w:p>
          <w:p w14:paraId="18898296">
            <w:pPr>
              <w:pageBreakBefore w:val="0"/>
              <w:kinsoku/>
              <w:wordWrap/>
              <w:overflowPunct/>
              <w:topLinePunct w:val="0"/>
              <w:autoSpaceDN/>
              <w:bidi w:val="0"/>
              <w:adjustRightInd/>
              <w:snapToGrid/>
              <w:spacing w:line="360" w:lineRule="auto"/>
              <w:ind w:firstLine="480" w:firstLineChars="200"/>
              <w:rPr>
                <w:sz w:val="24"/>
                <w:szCs w:val="24"/>
              </w:rPr>
            </w:pPr>
            <w:r>
              <w:rPr>
                <w:rFonts w:hint="eastAsia"/>
                <w:sz w:val="24"/>
                <w:szCs w:val="24"/>
              </w:rPr>
              <w:t xml:space="preserve">      P——道路表面粉尘量，kg/m</w:t>
            </w:r>
            <w:r>
              <w:rPr>
                <w:rFonts w:hint="eastAsia"/>
                <w:sz w:val="24"/>
                <w:szCs w:val="24"/>
                <w:vertAlign w:val="superscript"/>
              </w:rPr>
              <w:t>2</w:t>
            </w:r>
            <w:r>
              <w:rPr>
                <w:rFonts w:hint="eastAsia"/>
                <w:sz w:val="24"/>
                <w:szCs w:val="24"/>
              </w:rPr>
              <w:t>，不洒水时以0.2计。</w:t>
            </w:r>
          </w:p>
          <w:p w14:paraId="3FF6920D">
            <w:pPr>
              <w:pStyle w:val="21"/>
              <w:pageBreakBefore w:val="0"/>
              <w:kinsoku/>
              <w:wordWrap/>
              <w:overflowPunct/>
              <w:topLinePunct w:val="0"/>
              <w:autoSpaceDE w:val="0"/>
              <w:autoSpaceDN/>
              <w:bidi w:val="0"/>
              <w:adjustRightInd/>
              <w:snapToGrid/>
              <w:spacing w:before="0" w:beforeAutospacing="0" w:after="0" w:afterAutospacing="0" w:line="360" w:lineRule="auto"/>
              <w:ind w:firstLine="480" w:firstLineChars="200"/>
              <w:jc w:val="both"/>
              <w:rPr>
                <w:rFonts w:ascii="Times New Roman" w:hAnsi="Times New Roman"/>
                <w:sz w:val="24"/>
                <w:szCs w:val="24"/>
              </w:rPr>
            </w:pPr>
            <w:r>
              <w:rPr>
                <w:rFonts w:hint="eastAsia" w:ascii="Times New Roman" w:hAnsi="Times New Roman"/>
                <w:sz w:val="24"/>
                <w:szCs w:val="24"/>
              </w:rPr>
              <w:t>本项目原料使用量约为</w:t>
            </w:r>
            <w:r>
              <w:rPr>
                <w:rFonts w:hint="eastAsia" w:ascii="Times New Roman" w:hAnsi="Times New Roman"/>
                <w:color w:val="000000" w:themeColor="text1"/>
                <w:sz w:val="24"/>
                <w:szCs w:val="24"/>
                <w:lang w:val="en-US" w:eastAsia="zh-CN"/>
              </w:rPr>
              <w:t>12.5</w:t>
            </w:r>
            <w:r>
              <w:rPr>
                <w:rFonts w:hint="eastAsia" w:ascii="Times New Roman" w:hAnsi="Times New Roman"/>
                <w:color w:val="000000" w:themeColor="text1"/>
                <w:sz w:val="24"/>
                <w:szCs w:val="24"/>
              </w:rPr>
              <w:t>万</w:t>
            </w:r>
            <w:r>
              <w:rPr>
                <w:rFonts w:hint="eastAsia" w:ascii="Times New Roman" w:hAnsi="Times New Roman"/>
                <w:sz w:val="24"/>
                <w:szCs w:val="24"/>
              </w:rPr>
              <w:t>t/a，运输时使用防尘布遮盖。根据同行业类比，一车约装</w:t>
            </w:r>
            <w:r>
              <w:rPr>
                <w:rFonts w:hint="eastAsia" w:ascii="Times New Roman" w:hAnsi="Times New Roman"/>
                <w:sz w:val="24"/>
                <w:szCs w:val="24"/>
                <w:lang w:val="en-US" w:eastAsia="zh-CN"/>
              </w:rPr>
              <w:t>40</w:t>
            </w:r>
            <w:r>
              <w:rPr>
                <w:rFonts w:hint="eastAsia" w:ascii="Times New Roman" w:hAnsi="Times New Roman"/>
                <w:sz w:val="24"/>
                <w:szCs w:val="24"/>
              </w:rPr>
              <w:t>t，满载车总重约为</w:t>
            </w:r>
            <w:r>
              <w:rPr>
                <w:rFonts w:hint="eastAsia" w:ascii="Times New Roman" w:hAnsi="Times New Roman"/>
                <w:sz w:val="24"/>
                <w:szCs w:val="24"/>
                <w:lang w:val="en-US" w:eastAsia="zh-CN"/>
              </w:rPr>
              <w:t>50</w:t>
            </w:r>
            <w:r>
              <w:rPr>
                <w:rFonts w:hint="eastAsia" w:ascii="Times New Roman" w:hAnsi="Times New Roman"/>
                <w:sz w:val="24"/>
                <w:szCs w:val="24"/>
              </w:rPr>
              <w:t>t。本项目运输车辆在厂区行驶按100m计算，则原料运输发车总车次约为空车</w:t>
            </w:r>
            <w:r>
              <w:rPr>
                <w:rFonts w:hint="eastAsia" w:ascii="Times New Roman" w:hAnsi="Times New Roman"/>
                <w:sz w:val="24"/>
                <w:szCs w:val="24"/>
                <w:lang w:val="en-US" w:eastAsia="zh-CN"/>
              </w:rPr>
              <w:t>3125</w:t>
            </w:r>
            <w:r>
              <w:rPr>
                <w:rFonts w:hint="eastAsia" w:ascii="Times New Roman" w:hAnsi="Times New Roman"/>
                <w:sz w:val="24"/>
                <w:szCs w:val="24"/>
              </w:rPr>
              <w:t>次/a、重载</w:t>
            </w:r>
            <w:r>
              <w:rPr>
                <w:rFonts w:hint="eastAsia" w:ascii="Times New Roman" w:hAnsi="Times New Roman"/>
                <w:sz w:val="24"/>
                <w:szCs w:val="24"/>
                <w:lang w:val="en-US" w:eastAsia="zh-CN"/>
              </w:rPr>
              <w:t>3125</w:t>
            </w:r>
            <w:r>
              <w:rPr>
                <w:rFonts w:hint="eastAsia" w:ascii="Times New Roman" w:hAnsi="Times New Roman"/>
                <w:sz w:val="24"/>
                <w:szCs w:val="24"/>
              </w:rPr>
              <w:t>次/a，以15km/h车速行驶。则原料运输扬尘产生量为空车0.</w:t>
            </w:r>
            <w:r>
              <w:rPr>
                <w:rFonts w:hint="eastAsia" w:ascii="Times New Roman" w:hAnsi="Times New Roman"/>
                <w:sz w:val="24"/>
                <w:szCs w:val="24"/>
                <w:lang w:val="en-US" w:eastAsia="zh-CN"/>
              </w:rPr>
              <w:t>043</w:t>
            </w:r>
            <w:r>
              <w:rPr>
                <w:rFonts w:hint="eastAsia" w:ascii="Times New Roman" w:hAnsi="Times New Roman"/>
                <w:sz w:val="24"/>
                <w:szCs w:val="24"/>
              </w:rPr>
              <w:t>t/a，重车0.</w:t>
            </w:r>
            <w:r>
              <w:rPr>
                <w:rFonts w:hint="eastAsia" w:ascii="Times New Roman" w:hAnsi="Times New Roman"/>
                <w:sz w:val="24"/>
                <w:szCs w:val="24"/>
                <w:lang w:val="en-US" w:eastAsia="zh-CN"/>
              </w:rPr>
              <w:t>22</w:t>
            </w:r>
            <w:r>
              <w:rPr>
                <w:rFonts w:hint="eastAsia" w:ascii="Times New Roman" w:hAnsi="Times New Roman"/>
                <w:sz w:val="24"/>
                <w:szCs w:val="24"/>
              </w:rPr>
              <w:t>t/a，合计0.</w:t>
            </w:r>
            <w:r>
              <w:rPr>
                <w:rFonts w:hint="eastAsia" w:ascii="Times New Roman" w:hAnsi="Times New Roman"/>
                <w:sz w:val="24"/>
                <w:szCs w:val="24"/>
                <w:lang w:val="en-US" w:eastAsia="zh-CN"/>
              </w:rPr>
              <w:t>26</w:t>
            </w:r>
            <w:r>
              <w:rPr>
                <w:rFonts w:hint="eastAsia" w:ascii="Times New Roman" w:hAnsi="Times New Roman"/>
                <w:sz w:val="24"/>
                <w:szCs w:val="24"/>
              </w:rPr>
              <w:t>t/a。项目区对道路进行硬化处理，车辆减速慢行，洒水降尘等，汽车运输扬尘可减少90%，则原料运输扬尘排放量为0.0</w:t>
            </w:r>
            <w:r>
              <w:rPr>
                <w:rFonts w:hint="eastAsia" w:ascii="Times New Roman" w:hAnsi="Times New Roman"/>
                <w:sz w:val="24"/>
                <w:szCs w:val="24"/>
                <w:lang w:val="en-US" w:eastAsia="zh-CN"/>
              </w:rPr>
              <w:t>26</w:t>
            </w:r>
            <w:r>
              <w:rPr>
                <w:rFonts w:hint="eastAsia" w:ascii="Times New Roman" w:hAnsi="Times New Roman"/>
                <w:sz w:val="24"/>
                <w:szCs w:val="24"/>
              </w:rPr>
              <w:t>t/a。</w:t>
            </w:r>
          </w:p>
          <w:p w14:paraId="78869D38">
            <w:pPr>
              <w:pStyle w:val="6"/>
              <w:pageBreakBefore w:val="0"/>
              <w:kinsoku/>
              <w:wordWrap/>
              <w:overflowPunct/>
              <w:topLinePunct w:val="0"/>
              <w:autoSpaceDN/>
              <w:bidi w:val="0"/>
              <w:adjustRightInd/>
              <w:snapToGrid/>
              <w:ind w:firstLine="420"/>
              <w:rPr>
                <w:rFonts w:hint="default"/>
                <w:sz w:val="24"/>
                <w:szCs w:val="24"/>
                <w:lang w:val="en-US" w:eastAsia="zh-CN"/>
              </w:rPr>
            </w:pPr>
            <w:r>
              <w:rPr>
                <w:rFonts w:hint="eastAsia"/>
                <w:sz w:val="24"/>
                <w:szCs w:val="24"/>
              </w:rPr>
              <w:t>1.2.</w:t>
            </w:r>
            <w:r>
              <w:rPr>
                <w:rFonts w:hint="eastAsia"/>
                <w:sz w:val="24"/>
                <w:szCs w:val="24"/>
                <w:lang w:val="en-US" w:eastAsia="zh-CN"/>
              </w:rPr>
              <w:t>8未收集粉尘</w:t>
            </w:r>
          </w:p>
          <w:p w14:paraId="4F15EDD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lang w:val="en-US" w:eastAsia="zh-CN"/>
              </w:rPr>
            </w:pPr>
            <w:r>
              <w:rPr>
                <w:rFonts w:hint="eastAsia"/>
                <w:sz w:val="24"/>
                <w:szCs w:val="24"/>
                <w:lang w:val="en-US" w:eastAsia="zh-CN"/>
              </w:rPr>
              <w:t>打磨粉尘产生量约为1t/a。打磨设备上方设置集气罩并安装布袋除尘器进行除尘，集气罩收集效率90%，因此无组织粉尘排放量0.01t/a。</w:t>
            </w:r>
          </w:p>
          <w:p w14:paraId="5AEB31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1.2.9未收集有机废气</w:t>
            </w:r>
          </w:p>
          <w:p w14:paraId="4A460F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项目防腐处理工序非甲烷总烃产生量约0.15t/a，采用集气罩收集，收集效率为90%，则无组织非甲烷总烃排放量为0.015t/a。</w:t>
            </w:r>
          </w:p>
          <w:p w14:paraId="07572DEC">
            <w:pPr>
              <w:pStyle w:val="6"/>
              <w:pageBreakBefore w:val="0"/>
              <w:kinsoku/>
              <w:wordWrap/>
              <w:overflowPunct/>
              <w:topLinePunct w:val="0"/>
              <w:autoSpaceDN/>
              <w:bidi w:val="0"/>
              <w:adjustRightInd/>
              <w:snapToGrid/>
              <w:ind w:firstLine="420"/>
              <w:rPr>
                <w:sz w:val="24"/>
                <w:szCs w:val="24"/>
              </w:rPr>
            </w:pPr>
            <w:r>
              <w:rPr>
                <w:rFonts w:hint="eastAsia"/>
                <w:sz w:val="24"/>
                <w:szCs w:val="24"/>
                <w:lang w:val="en-US" w:eastAsia="zh-CN"/>
              </w:rPr>
              <w:t>1.2.10</w:t>
            </w:r>
            <w:r>
              <w:rPr>
                <w:rFonts w:hint="eastAsia"/>
                <w:sz w:val="24"/>
                <w:szCs w:val="24"/>
              </w:rPr>
              <w:t>无组织废气污染源统计</w:t>
            </w:r>
          </w:p>
          <w:p w14:paraId="1372BB0E">
            <w:pPr>
              <w:pStyle w:val="21"/>
              <w:pageBreakBefore w:val="0"/>
              <w:kinsoku/>
              <w:wordWrap/>
              <w:overflowPunct/>
              <w:topLinePunct w:val="0"/>
              <w:autoSpaceDE w:val="0"/>
              <w:autoSpaceDN/>
              <w:bidi w:val="0"/>
              <w:adjustRightInd/>
              <w:snapToGrid/>
              <w:spacing w:before="0" w:beforeAutospacing="0" w:after="0" w:afterAutospacing="0" w:line="360" w:lineRule="auto"/>
              <w:ind w:firstLine="480" w:firstLineChars="200"/>
              <w:jc w:val="both"/>
              <w:rPr>
                <w:rFonts w:ascii="Times New Roman" w:hAnsi="Times New Roman"/>
                <w:sz w:val="24"/>
                <w:szCs w:val="24"/>
              </w:rPr>
            </w:pPr>
            <w:r>
              <w:rPr>
                <w:rFonts w:hint="eastAsia" w:ascii="Times New Roman" w:hAnsi="Times New Roman"/>
                <w:sz w:val="24"/>
                <w:szCs w:val="24"/>
              </w:rPr>
              <w:t>本项目无组织废气污染源产排情况、处理措施及执行标准见下表。</w:t>
            </w:r>
          </w:p>
          <w:p w14:paraId="18AAE011">
            <w:pPr>
              <w:pStyle w:val="21"/>
              <w:autoSpaceDE w:val="0"/>
              <w:spacing w:before="0" w:beforeAutospacing="0" w:after="0" w:afterAutospacing="0"/>
              <w:jc w:val="center"/>
              <w:rPr>
                <w:rFonts w:ascii="Times New Roman" w:hAnsi="Times New Roman"/>
                <w:sz w:val="21"/>
                <w:szCs w:val="21"/>
              </w:rPr>
            </w:pPr>
            <w:r>
              <w:rPr>
                <w:rFonts w:hint="eastAsia" w:ascii="Times New Roman" w:hAnsi="Times New Roman"/>
                <w:b/>
                <w:bCs/>
                <w:sz w:val="21"/>
                <w:szCs w:val="21"/>
              </w:rPr>
              <w:t>表4-3无组织废气污染物情况表</w:t>
            </w:r>
          </w:p>
          <w:tbl>
            <w:tblPr>
              <w:tblStyle w:val="24"/>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09"/>
              <w:gridCol w:w="1368"/>
              <w:gridCol w:w="847"/>
              <w:gridCol w:w="959"/>
              <w:gridCol w:w="1014"/>
              <w:gridCol w:w="1294"/>
              <w:gridCol w:w="917"/>
              <w:gridCol w:w="2318"/>
            </w:tblGrid>
            <w:tr w14:paraId="7400B2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73" w:type="pct"/>
                  <w:gridSpan w:val="2"/>
                  <w:tcBorders>
                    <w:tl2br w:val="nil"/>
                    <w:tr2bl w:val="nil"/>
                  </w:tcBorders>
                  <w:vAlign w:val="center"/>
                </w:tcPr>
                <w:p w14:paraId="01BE62A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b/>
                      <w:bCs/>
                      <w:sz w:val="21"/>
                      <w:szCs w:val="21"/>
                    </w:rPr>
                  </w:pPr>
                  <w:r>
                    <w:rPr>
                      <w:b/>
                      <w:bCs/>
                      <w:sz w:val="21"/>
                      <w:szCs w:val="21"/>
                    </w:rPr>
                    <w:t>排放源</w:t>
                  </w:r>
                </w:p>
              </w:tc>
              <w:tc>
                <w:tcPr>
                  <w:tcW w:w="464" w:type="pct"/>
                  <w:tcBorders>
                    <w:tl2br w:val="nil"/>
                    <w:tr2bl w:val="nil"/>
                  </w:tcBorders>
                  <w:vAlign w:val="center"/>
                </w:tcPr>
                <w:p w14:paraId="6079AA3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b/>
                      <w:bCs/>
                      <w:sz w:val="21"/>
                      <w:szCs w:val="21"/>
                    </w:rPr>
                  </w:pPr>
                  <w:r>
                    <w:rPr>
                      <w:b/>
                      <w:bCs/>
                      <w:sz w:val="21"/>
                      <w:szCs w:val="21"/>
                    </w:rPr>
                    <w:t>污染物</w:t>
                  </w:r>
                </w:p>
                <w:p w14:paraId="375608E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b/>
                      <w:bCs/>
                      <w:sz w:val="21"/>
                      <w:szCs w:val="21"/>
                    </w:rPr>
                  </w:pPr>
                  <w:r>
                    <w:rPr>
                      <w:b/>
                      <w:bCs/>
                      <w:sz w:val="21"/>
                      <w:szCs w:val="21"/>
                    </w:rPr>
                    <w:t>名称</w:t>
                  </w:r>
                </w:p>
              </w:tc>
              <w:tc>
                <w:tcPr>
                  <w:tcW w:w="525" w:type="pct"/>
                  <w:tcBorders>
                    <w:tl2br w:val="nil"/>
                    <w:tr2bl w:val="nil"/>
                  </w:tcBorders>
                  <w:vAlign w:val="center"/>
                </w:tcPr>
                <w:p w14:paraId="5EA2BFC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b/>
                      <w:bCs/>
                      <w:sz w:val="21"/>
                      <w:szCs w:val="21"/>
                    </w:rPr>
                  </w:pPr>
                  <w:r>
                    <w:rPr>
                      <w:b/>
                      <w:bCs/>
                      <w:sz w:val="21"/>
                      <w:szCs w:val="21"/>
                    </w:rPr>
                    <w:t>产生量t/a</w:t>
                  </w:r>
                </w:p>
              </w:tc>
              <w:tc>
                <w:tcPr>
                  <w:tcW w:w="555" w:type="pct"/>
                  <w:tcBorders>
                    <w:tl2br w:val="nil"/>
                    <w:tr2bl w:val="nil"/>
                  </w:tcBorders>
                  <w:vAlign w:val="center"/>
                </w:tcPr>
                <w:p w14:paraId="156CD1C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b/>
                      <w:bCs/>
                      <w:sz w:val="21"/>
                      <w:szCs w:val="21"/>
                    </w:rPr>
                  </w:pPr>
                  <w:r>
                    <w:rPr>
                      <w:b/>
                      <w:bCs/>
                      <w:sz w:val="21"/>
                      <w:szCs w:val="21"/>
                    </w:rPr>
                    <w:t>排放量t/a</w:t>
                  </w:r>
                </w:p>
              </w:tc>
              <w:tc>
                <w:tcPr>
                  <w:tcW w:w="708" w:type="pct"/>
                  <w:tcBorders>
                    <w:tl2br w:val="nil"/>
                    <w:tr2bl w:val="nil"/>
                  </w:tcBorders>
                  <w:vAlign w:val="center"/>
                </w:tcPr>
                <w:p w14:paraId="48A0DB0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b/>
                      <w:bCs/>
                      <w:sz w:val="21"/>
                      <w:szCs w:val="21"/>
                    </w:rPr>
                  </w:pPr>
                  <w:r>
                    <w:rPr>
                      <w:b/>
                      <w:bCs/>
                      <w:sz w:val="21"/>
                      <w:szCs w:val="21"/>
                    </w:rPr>
                    <w:t>处理措施</w:t>
                  </w:r>
                </w:p>
              </w:tc>
              <w:tc>
                <w:tcPr>
                  <w:tcW w:w="502" w:type="pct"/>
                  <w:tcBorders>
                    <w:tl2br w:val="nil"/>
                    <w:tr2bl w:val="nil"/>
                  </w:tcBorders>
                  <w:vAlign w:val="center"/>
                </w:tcPr>
                <w:p w14:paraId="6DC8A16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b/>
                      <w:bCs/>
                      <w:sz w:val="21"/>
                      <w:szCs w:val="21"/>
                    </w:rPr>
                  </w:pPr>
                  <w:r>
                    <w:rPr>
                      <w:rFonts w:hint="eastAsia"/>
                      <w:b/>
                      <w:bCs/>
                      <w:sz w:val="21"/>
                      <w:szCs w:val="21"/>
                    </w:rPr>
                    <w:t>总排放量t/a</w:t>
                  </w:r>
                </w:p>
              </w:tc>
              <w:tc>
                <w:tcPr>
                  <w:tcW w:w="1269" w:type="pct"/>
                  <w:tcBorders>
                    <w:tl2br w:val="nil"/>
                    <w:tr2bl w:val="nil"/>
                  </w:tcBorders>
                  <w:vAlign w:val="center"/>
                </w:tcPr>
                <w:p w14:paraId="2750137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b/>
                      <w:bCs/>
                      <w:sz w:val="21"/>
                      <w:szCs w:val="21"/>
                    </w:rPr>
                  </w:pPr>
                  <w:r>
                    <w:rPr>
                      <w:b/>
                      <w:bCs/>
                      <w:sz w:val="21"/>
                      <w:szCs w:val="21"/>
                    </w:rPr>
                    <w:t>执行标准</w:t>
                  </w:r>
                </w:p>
              </w:tc>
            </w:tr>
            <w:tr w14:paraId="30ED87F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24" w:type="pct"/>
                  <w:vMerge w:val="restart"/>
                  <w:tcBorders>
                    <w:tl2br w:val="nil"/>
                    <w:tr2bl w:val="nil"/>
                  </w:tcBorders>
                  <w:vAlign w:val="center"/>
                </w:tcPr>
                <w:p w14:paraId="306AC6A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hint="eastAsia"/>
                      <w:sz w:val="21"/>
                      <w:szCs w:val="21"/>
                    </w:rPr>
                    <w:t>厂界</w:t>
                  </w:r>
                </w:p>
              </w:tc>
              <w:tc>
                <w:tcPr>
                  <w:tcW w:w="749" w:type="pct"/>
                  <w:tcBorders>
                    <w:tl2br w:val="nil"/>
                    <w:tr2bl w:val="nil"/>
                  </w:tcBorders>
                  <w:vAlign w:val="center"/>
                </w:tcPr>
                <w:p w14:paraId="7CAB4C2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物料混合搅拌</w:t>
                  </w:r>
                </w:p>
              </w:tc>
              <w:tc>
                <w:tcPr>
                  <w:tcW w:w="464" w:type="pct"/>
                  <w:vMerge w:val="restart"/>
                  <w:tcBorders>
                    <w:tl2br w:val="nil"/>
                    <w:tr2bl w:val="nil"/>
                  </w:tcBorders>
                  <w:vAlign w:val="center"/>
                </w:tcPr>
                <w:p w14:paraId="0465FA4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hint="eastAsia"/>
                      <w:sz w:val="21"/>
                      <w:szCs w:val="21"/>
                    </w:rPr>
                    <w:t>粉尘</w:t>
                  </w:r>
                </w:p>
              </w:tc>
              <w:tc>
                <w:tcPr>
                  <w:tcW w:w="525" w:type="pct"/>
                  <w:tcBorders>
                    <w:tl2br w:val="nil"/>
                    <w:tr2bl w:val="nil"/>
                  </w:tcBorders>
                  <w:vAlign w:val="center"/>
                </w:tcPr>
                <w:p w14:paraId="196ACC9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w:t>
                  </w:r>
                </w:p>
              </w:tc>
              <w:tc>
                <w:tcPr>
                  <w:tcW w:w="555" w:type="pct"/>
                  <w:tcBorders>
                    <w:tl2br w:val="nil"/>
                    <w:tr2bl w:val="nil"/>
                  </w:tcBorders>
                  <w:vAlign w:val="center"/>
                </w:tcPr>
                <w:p w14:paraId="3162590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w:t>
                  </w:r>
                </w:p>
              </w:tc>
              <w:tc>
                <w:tcPr>
                  <w:tcW w:w="708" w:type="pct"/>
                  <w:vMerge w:val="restart"/>
                  <w:tcBorders>
                    <w:tl2br w:val="nil"/>
                    <w:tr2bl w:val="nil"/>
                  </w:tcBorders>
                  <w:vAlign w:val="center"/>
                </w:tcPr>
                <w:p w14:paraId="0C0C1E8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lang w:eastAsia="zh-CN"/>
                    </w:rPr>
                  </w:pPr>
                  <w:r>
                    <w:rPr>
                      <w:rFonts w:hint="eastAsia"/>
                      <w:sz w:val="21"/>
                      <w:szCs w:val="21"/>
                    </w:rPr>
                    <w:t>车间建设为全封闭式结构，工人佩戴防尘面罩，并定期打扫车间</w:t>
                  </w:r>
                </w:p>
              </w:tc>
              <w:tc>
                <w:tcPr>
                  <w:tcW w:w="502" w:type="pct"/>
                  <w:vMerge w:val="restart"/>
                  <w:tcBorders>
                    <w:tl2br w:val="nil"/>
                    <w:tr2bl w:val="nil"/>
                  </w:tcBorders>
                  <w:vAlign w:val="center"/>
                </w:tcPr>
                <w:p w14:paraId="2DFDFC8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0.176</w:t>
                  </w:r>
                </w:p>
              </w:tc>
              <w:tc>
                <w:tcPr>
                  <w:tcW w:w="1269" w:type="pct"/>
                  <w:vMerge w:val="restart"/>
                  <w:tcBorders>
                    <w:tl2br w:val="nil"/>
                    <w:tr2bl w:val="nil"/>
                  </w:tcBorders>
                  <w:vAlign w:val="center"/>
                </w:tcPr>
                <w:p w14:paraId="31DC9B8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sz w:val="21"/>
                      <w:szCs w:val="21"/>
                    </w:rPr>
                  </w:pPr>
                  <w:r>
                    <w:rPr>
                      <w:color w:val="auto"/>
                      <w:sz w:val="21"/>
                      <w:szCs w:val="21"/>
                    </w:rPr>
                    <w:t>《</w:t>
                  </w:r>
                  <w:r>
                    <w:rPr>
                      <w:rFonts w:hint="eastAsia"/>
                      <w:color w:val="auto"/>
                      <w:sz w:val="21"/>
                      <w:szCs w:val="21"/>
                    </w:rPr>
                    <w:t>水泥工业</w:t>
                  </w:r>
                  <w:r>
                    <w:rPr>
                      <w:rFonts w:hint="eastAsia"/>
                      <w:color w:val="auto"/>
                      <w:sz w:val="21"/>
                      <w:szCs w:val="21"/>
                      <w:lang w:val="en-US" w:eastAsia="zh-CN"/>
                    </w:rPr>
                    <w:t>大气</w:t>
                  </w:r>
                  <w:r>
                    <w:rPr>
                      <w:color w:val="auto"/>
                      <w:sz w:val="21"/>
                      <w:szCs w:val="21"/>
                    </w:rPr>
                    <w:t>污染物排放标准》</w:t>
                  </w:r>
                  <w:r>
                    <w:rPr>
                      <w:rFonts w:ascii="Times New Roman" w:hAnsi="Times New Roman" w:eastAsia="宋体" w:cs="Times New Roman"/>
                      <w:color w:val="auto"/>
                      <w:kern w:val="0"/>
                      <w:sz w:val="21"/>
                      <w:szCs w:val="21"/>
                    </w:rPr>
                    <w:t>（</w:t>
                  </w:r>
                  <w:r>
                    <w:rPr>
                      <w:rFonts w:hint="eastAsia"/>
                      <w:color w:val="auto"/>
                      <w:sz w:val="21"/>
                      <w:szCs w:val="21"/>
                    </w:rPr>
                    <w:t>GB4915</w:t>
                  </w:r>
                  <w:r>
                    <w:rPr>
                      <w:color w:val="auto"/>
                      <w:sz w:val="21"/>
                      <w:szCs w:val="21"/>
                    </w:rPr>
                    <w:t>-2013</w:t>
                  </w:r>
                  <w:r>
                    <w:rPr>
                      <w:rFonts w:ascii="Times New Roman" w:hAnsi="Times New Roman" w:eastAsia="宋体" w:cs="Times New Roman"/>
                      <w:color w:val="auto"/>
                      <w:kern w:val="0"/>
                      <w:sz w:val="21"/>
                      <w:szCs w:val="21"/>
                    </w:rPr>
                    <w:t>）</w:t>
                  </w:r>
                  <w:r>
                    <w:rPr>
                      <w:rFonts w:hint="default" w:ascii="Times New Roman" w:hAnsi="Times New Roman" w:eastAsia="宋体" w:cs="Times New Roman"/>
                      <w:color w:val="auto"/>
                      <w:kern w:val="2"/>
                      <w:sz w:val="21"/>
                      <w:szCs w:val="21"/>
                      <w:lang w:val="en-US" w:eastAsia="zh-CN" w:bidi="ar"/>
                    </w:rPr>
                    <w:t>中无组织排放浓度</w:t>
                  </w:r>
                  <w:r>
                    <w:rPr>
                      <w:rFonts w:hint="eastAsia" w:ascii="Times New Roman" w:hAnsi="Times New Roman" w:eastAsia="宋体" w:cs="Times New Roman"/>
                      <w:color w:val="auto"/>
                      <w:kern w:val="2"/>
                      <w:sz w:val="21"/>
                      <w:szCs w:val="21"/>
                      <w:lang w:val="en-US" w:eastAsia="zh-CN" w:bidi="ar"/>
                    </w:rPr>
                    <w:t>限值</w:t>
                  </w:r>
                </w:p>
              </w:tc>
            </w:tr>
            <w:tr w14:paraId="1EA1A2E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224" w:type="pct"/>
                  <w:vMerge w:val="continue"/>
                  <w:tcBorders>
                    <w:tl2br w:val="nil"/>
                    <w:tr2bl w:val="nil"/>
                  </w:tcBorders>
                  <w:vAlign w:val="center"/>
                </w:tcPr>
                <w:p w14:paraId="1A9B9BE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749" w:type="pct"/>
                  <w:tcBorders>
                    <w:tl2br w:val="nil"/>
                    <w:tr2bl w:val="nil"/>
                  </w:tcBorders>
                  <w:vAlign w:val="center"/>
                </w:tcPr>
                <w:p w14:paraId="51C6E99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铝粉膏投料</w:t>
                  </w:r>
                </w:p>
              </w:tc>
              <w:tc>
                <w:tcPr>
                  <w:tcW w:w="464" w:type="pct"/>
                  <w:vMerge w:val="continue"/>
                  <w:tcBorders>
                    <w:tl2br w:val="nil"/>
                    <w:tr2bl w:val="nil"/>
                  </w:tcBorders>
                  <w:vAlign w:val="center"/>
                </w:tcPr>
                <w:p w14:paraId="27FD875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p>
              </w:tc>
              <w:tc>
                <w:tcPr>
                  <w:tcW w:w="525" w:type="pct"/>
                  <w:tcBorders>
                    <w:tl2br w:val="nil"/>
                    <w:tr2bl w:val="nil"/>
                  </w:tcBorders>
                  <w:vAlign w:val="center"/>
                </w:tcPr>
                <w:p w14:paraId="7616CEA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0.1</w:t>
                  </w:r>
                </w:p>
              </w:tc>
              <w:tc>
                <w:tcPr>
                  <w:tcW w:w="555" w:type="pct"/>
                  <w:tcBorders>
                    <w:tl2br w:val="nil"/>
                    <w:tr2bl w:val="nil"/>
                  </w:tcBorders>
                  <w:vAlign w:val="center"/>
                </w:tcPr>
                <w:p w14:paraId="4898CD1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0.02</w:t>
                  </w:r>
                </w:p>
              </w:tc>
              <w:tc>
                <w:tcPr>
                  <w:tcW w:w="708" w:type="pct"/>
                  <w:vMerge w:val="continue"/>
                  <w:tcBorders>
                    <w:tl2br w:val="nil"/>
                    <w:tr2bl w:val="nil"/>
                  </w:tcBorders>
                  <w:vAlign w:val="center"/>
                </w:tcPr>
                <w:p w14:paraId="71A0AFE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p>
              </w:tc>
              <w:tc>
                <w:tcPr>
                  <w:tcW w:w="502" w:type="pct"/>
                  <w:vMerge w:val="continue"/>
                  <w:tcBorders>
                    <w:tl2br w:val="nil"/>
                    <w:tr2bl w:val="nil"/>
                  </w:tcBorders>
                  <w:vAlign w:val="center"/>
                </w:tcPr>
                <w:p w14:paraId="52066E8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p>
              </w:tc>
              <w:tc>
                <w:tcPr>
                  <w:tcW w:w="1269" w:type="pct"/>
                  <w:vMerge w:val="continue"/>
                  <w:tcBorders>
                    <w:tl2br w:val="nil"/>
                    <w:tr2bl w:val="nil"/>
                  </w:tcBorders>
                  <w:vAlign w:val="center"/>
                </w:tcPr>
                <w:p w14:paraId="4B4C6CB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p>
              </w:tc>
            </w:tr>
            <w:tr w14:paraId="32891D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24" w:type="pct"/>
                  <w:vMerge w:val="continue"/>
                  <w:tcBorders>
                    <w:tl2br w:val="nil"/>
                    <w:tr2bl w:val="nil"/>
                  </w:tcBorders>
                  <w:vAlign w:val="center"/>
                </w:tcPr>
                <w:p w14:paraId="7B972D4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749" w:type="pct"/>
                  <w:tcBorders>
                    <w:tl2br w:val="nil"/>
                    <w:tr2bl w:val="nil"/>
                  </w:tcBorders>
                  <w:vAlign w:val="center"/>
                </w:tcPr>
                <w:p w14:paraId="20CEF3E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rPr>
                  </w:pPr>
                  <w:r>
                    <w:rPr>
                      <w:rFonts w:hint="eastAsia"/>
                      <w:sz w:val="21"/>
                      <w:szCs w:val="21"/>
                      <w:lang w:val="en-US" w:eastAsia="zh-CN"/>
                    </w:rPr>
                    <w:t>球磨、切割、破碎</w:t>
                  </w:r>
                </w:p>
              </w:tc>
              <w:tc>
                <w:tcPr>
                  <w:tcW w:w="464" w:type="pct"/>
                  <w:vMerge w:val="continue"/>
                  <w:tcBorders>
                    <w:tl2br w:val="nil"/>
                    <w:tr2bl w:val="nil"/>
                  </w:tcBorders>
                  <w:vAlign w:val="center"/>
                </w:tcPr>
                <w:p w14:paraId="03A6EA90">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rPr>
                      <w:sz w:val="21"/>
                      <w:szCs w:val="21"/>
                    </w:rPr>
                  </w:pPr>
                </w:p>
              </w:tc>
              <w:tc>
                <w:tcPr>
                  <w:tcW w:w="525" w:type="pct"/>
                  <w:tcBorders>
                    <w:tl2br w:val="nil"/>
                    <w:tr2bl w:val="nil"/>
                  </w:tcBorders>
                  <w:vAlign w:val="center"/>
                </w:tcPr>
                <w:p w14:paraId="4DF9AD4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rPr>
                  </w:pPr>
                  <w:r>
                    <w:rPr>
                      <w:rFonts w:hint="eastAsia"/>
                      <w:sz w:val="21"/>
                      <w:szCs w:val="21"/>
                      <w:lang w:val="en-US" w:eastAsia="zh-CN"/>
                    </w:rPr>
                    <w:t>/</w:t>
                  </w:r>
                </w:p>
              </w:tc>
              <w:tc>
                <w:tcPr>
                  <w:tcW w:w="555" w:type="pct"/>
                  <w:tcBorders>
                    <w:tl2br w:val="nil"/>
                    <w:tr2bl w:val="nil"/>
                  </w:tcBorders>
                  <w:vAlign w:val="center"/>
                </w:tcPr>
                <w:p w14:paraId="031319E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rPr>
                  </w:pPr>
                  <w:r>
                    <w:rPr>
                      <w:rFonts w:hint="eastAsia"/>
                      <w:sz w:val="21"/>
                      <w:szCs w:val="21"/>
                      <w:lang w:val="en-US" w:eastAsia="zh-CN"/>
                    </w:rPr>
                    <w:t>/</w:t>
                  </w:r>
                </w:p>
              </w:tc>
              <w:tc>
                <w:tcPr>
                  <w:tcW w:w="708" w:type="pct"/>
                  <w:vMerge w:val="continue"/>
                  <w:tcBorders>
                    <w:tl2br w:val="nil"/>
                    <w:tr2bl w:val="nil"/>
                  </w:tcBorders>
                  <w:vAlign w:val="center"/>
                </w:tcPr>
                <w:p w14:paraId="67C26C0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rPr>
                  </w:pPr>
                </w:p>
              </w:tc>
              <w:tc>
                <w:tcPr>
                  <w:tcW w:w="502" w:type="pct"/>
                  <w:vMerge w:val="continue"/>
                  <w:tcBorders>
                    <w:tl2br w:val="nil"/>
                    <w:tr2bl w:val="nil"/>
                  </w:tcBorders>
                  <w:vAlign w:val="center"/>
                </w:tcPr>
                <w:p w14:paraId="2F1B045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1269" w:type="pct"/>
                  <w:vMerge w:val="continue"/>
                  <w:tcBorders>
                    <w:tl2br w:val="nil"/>
                    <w:tr2bl w:val="nil"/>
                  </w:tcBorders>
                  <w:vAlign w:val="center"/>
                </w:tcPr>
                <w:p w14:paraId="6D6E6D7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kern w:val="0"/>
                      <w:sz w:val="21"/>
                      <w:szCs w:val="21"/>
                    </w:rPr>
                  </w:pPr>
                </w:p>
              </w:tc>
            </w:tr>
            <w:tr w14:paraId="00DADE2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71" w:hRule="atLeast"/>
                <w:jc w:val="center"/>
              </w:trPr>
              <w:tc>
                <w:tcPr>
                  <w:tcW w:w="224" w:type="pct"/>
                  <w:vMerge w:val="continue"/>
                  <w:tcBorders>
                    <w:tl2br w:val="nil"/>
                    <w:tr2bl w:val="nil"/>
                  </w:tcBorders>
                  <w:vAlign w:val="center"/>
                </w:tcPr>
                <w:p w14:paraId="50AF492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749" w:type="pct"/>
                  <w:tcBorders>
                    <w:tl2br w:val="nil"/>
                    <w:tr2bl w:val="nil"/>
                  </w:tcBorders>
                  <w:vAlign w:val="center"/>
                </w:tcPr>
                <w:p w14:paraId="6814637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原料装卸</w:t>
                  </w:r>
                </w:p>
              </w:tc>
              <w:tc>
                <w:tcPr>
                  <w:tcW w:w="464" w:type="pct"/>
                  <w:vMerge w:val="continue"/>
                  <w:tcBorders>
                    <w:tl2br w:val="nil"/>
                    <w:tr2bl w:val="nil"/>
                  </w:tcBorders>
                  <w:vAlign w:val="center"/>
                </w:tcPr>
                <w:p w14:paraId="0D6D2D0E">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rPr>
                      <w:sz w:val="21"/>
                      <w:szCs w:val="21"/>
                    </w:rPr>
                  </w:pPr>
                </w:p>
              </w:tc>
              <w:tc>
                <w:tcPr>
                  <w:tcW w:w="525" w:type="pct"/>
                  <w:tcBorders>
                    <w:tl2br w:val="nil"/>
                    <w:tr2bl w:val="nil"/>
                  </w:tcBorders>
                  <w:vAlign w:val="center"/>
                </w:tcPr>
                <w:p w14:paraId="1128BC5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1.2</w:t>
                  </w:r>
                </w:p>
              </w:tc>
              <w:tc>
                <w:tcPr>
                  <w:tcW w:w="555" w:type="pct"/>
                  <w:tcBorders>
                    <w:tl2br w:val="nil"/>
                    <w:tr2bl w:val="nil"/>
                  </w:tcBorders>
                  <w:vAlign w:val="center"/>
                </w:tcPr>
                <w:p w14:paraId="00ABDC6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0.12</w:t>
                  </w:r>
                </w:p>
              </w:tc>
              <w:tc>
                <w:tcPr>
                  <w:tcW w:w="708" w:type="pct"/>
                  <w:vMerge w:val="continue"/>
                  <w:tcBorders>
                    <w:tl2br w:val="nil"/>
                    <w:tr2bl w:val="nil"/>
                  </w:tcBorders>
                  <w:vAlign w:val="center"/>
                </w:tcPr>
                <w:p w14:paraId="2A572A6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lang w:val="en-US" w:eastAsia="zh-CN"/>
                    </w:rPr>
                  </w:pPr>
                </w:p>
              </w:tc>
              <w:tc>
                <w:tcPr>
                  <w:tcW w:w="502" w:type="pct"/>
                  <w:vMerge w:val="continue"/>
                  <w:tcBorders>
                    <w:tl2br w:val="nil"/>
                    <w:tr2bl w:val="nil"/>
                  </w:tcBorders>
                  <w:vAlign w:val="center"/>
                </w:tcPr>
                <w:p w14:paraId="5CE6CCF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1269" w:type="pct"/>
                  <w:vMerge w:val="continue"/>
                  <w:tcBorders>
                    <w:tl2br w:val="nil"/>
                    <w:tr2bl w:val="nil"/>
                  </w:tcBorders>
                  <w:vAlign w:val="center"/>
                </w:tcPr>
                <w:p w14:paraId="0F0A2D3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kern w:val="0"/>
                      <w:sz w:val="21"/>
                      <w:szCs w:val="21"/>
                    </w:rPr>
                  </w:pPr>
                </w:p>
              </w:tc>
            </w:tr>
            <w:tr w14:paraId="3C8066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24" w:type="pct"/>
                  <w:vMerge w:val="continue"/>
                  <w:tcBorders>
                    <w:tl2br w:val="nil"/>
                    <w:tr2bl w:val="nil"/>
                  </w:tcBorders>
                  <w:vAlign w:val="center"/>
                </w:tcPr>
                <w:p w14:paraId="26BEB8E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749" w:type="pct"/>
                  <w:tcBorders>
                    <w:tl2br w:val="nil"/>
                    <w:tr2bl w:val="nil"/>
                  </w:tcBorders>
                  <w:vAlign w:val="center"/>
                </w:tcPr>
                <w:p w14:paraId="2B7158E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rPr>
                  </w:pPr>
                  <w:r>
                    <w:rPr>
                      <w:rFonts w:hint="eastAsia"/>
                      <w:sz w:val="21"/>
                      <w:szCs w:val="21"/>
                      <w:lang w:val="en-US" w:eastAsia="zh-CN"/>
                    </w:rPr>
                    <w:t>焊接</w:t>
                  </w:r>
                </w:p>
              </w:tc>
              <w:tc>
                <w:tcPr>
                  <w:tcW w:w="464" w:type="pct"/>
                  <w:vMerge w:val="continue"/>
                  <w:tcBorders>
                    <w:tl2br w:val="nil"/>
                    <w:tr2bl w:val="nil"/>
                  </w:tcBorders>
                  <w:vAlign w:val="center"/>
                </w:tcPr>
                <w:p w14:paraId="0B765F72">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rPr>
                      <w:sz w:val="21"/>
                      <w:szCs w:val="21"/>
                    </w:rPr>
                  </w:pPr>
                </w:p>
              </w:tc>
              <w:tc>
                <w:tcPr>
                  <w:tcW w:w="525" w:type="pct"/>
                  <w:tcBorders>
                    <w:tl2br w:val="nil"/>
                    <w:tr2bl w:val="nil"/>
                  </w:tcBorders>
                  <w:vAlign w:val="center"/>
                </w:tcPr>
                <w:p w14:paraId="72BEE13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lang w:val="en-US" w:eastAsia="zh-CN"/>
                    </w:rPr>
                  </w:pPr>
                  <w:r>
                    <w:rPr>
                      <w:rFonts w:hint="eastAsia"/>
                      <w:sz w:val="21"/>
                      <w:szCs w:val="21"/>
                      <w:lang w:val="en-US" w:eastAsia="zh-CN"/>
                    </w:rPr>
                    <w:t>/</w:t>
                  </w:r>
                </w:p>
              </w:tc>
              <w:tc>
                <w:tcPr>
                  <w:tcW w:w="555" w:type="pct"/>
                  <w:tcBorders>
                    <w:tl2br w:val="nil"/>
                    <w:tr2bl w:val="nil"/>
                  </w:tcBorders>
                  <w:vAlign w:val="center"/>
                </w:tcPr>
                <w:p w14:paraId="7D114D4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lang w:val="en-US" w:eastAsia="zh-CN"/>
                    </w:rPr>
                  </w:pPr>
                  <w:r>
                    <w:rPr>
                      <w:rFonts w:hint="eastAsia"/>
                      <w:sz w:val="21"/>
                      <w:szCs w:val="21"/>
                      <w:lang w:val="en-US" w:eastAsia="zh-CN"/>
                    </w:rPr>
                    <w:t>/</w:t>
                  </w:r>
                </w:p>
              </w:tc>
              <w:tc>
                <w:tcPr>
                  <w:tcW w:w="708" w:type="pct"/>
                  <w:vMerge w:val="continue"/>
                  <w:tcBorders>
                    <w:tl2br w:val="nil"/>
                    <w:tr2bl w:val="nil"/>
                  </w:tcBorders>
                  <w:vAlign w:val="center"/>
                </w:tcPr>
                <w:p w14:paraId="71CD43D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lang w:val="en-US" w:eastAsia="zh-CN"/>
                    </w:rPr>
                  </w:pPr>
                </w:p>
              </w:tc>
              <w:tc>
                <w:tcPr>
                  <w:tcW w:w="502" w:type="pct"/>
                  <w:vMerge w:val="continue"/>
                  <w:tcBorders>
                    <w:tl2br w:val="nil"/>
                    <w:tr2bl w:val="nil"/>
                  </w:tcBorders>
                  <w:vAlign w:val="center"/>
                </w:tcPr>
                <w:p w14:paraId="23E89B2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1269" w:type="pct"/>
                  <w:vMerge w:val="continue"/>
                  <w:tcBorders>
                    <w:tl2br w:val="nil"/>
                    <w:tr2bl w:val="nil"/>
                  </w:tcBorders>
                  <w:vAlign w:val="center"/>
                </w:tcPr>
                <w:p w14:paraId="089ADD1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kern w:val="0"/>
                      <w:sz w:val="21"/>
                      <w:szCs w:val="21"/>
                    </w:rPr>
                  </w:pPr>
                </w:p>
              </w:tc>
            </w:tr>
            <w:tr w14:paraId="5800ACB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24" w:type="pct"/>
                  <w:vMerge w:val="continue"/>
                  <w:tcBorders>
                    <w:tl2br w:val="nil"/>
                    <w:tr2bl w:val="nil"/>
                  </w:tcBorders>
                  <w:vAlign w:val="center"/>
                </w:tcPr>
                <w:p w14:paraId="5C1E545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749" w:type="pct"/>
                  <w:tcBorders>
                    <w:tl2br w:val="nil"/>
                    <w:tr2bl w:val="nil"/>
                  </w:tcBorders>
                  <w:vAlign w:val="center"/>
                </w:tcPr>
                <w:p w14:paraId="260FD20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未收集粉尘</w:t>
                  </w:r>
                </w:p>
              </w:tc>
              <w:tc>
                <w:tcPr>
                  <w:tcW w:w="464" w:type="pct"/>
                  <w:vMerge w:val="continue"/>
                  <w:tcBorders>
                    <w:tl2br w:val="nil"/>
                    <w:tr2bl w:val="nil"/>
                  </w:tcBorders>
                  <w:vAlign w:val="center"/>
                </w:tcPr>
                <w:p w14:paraId="43264F51">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rPr>
                      <w:sz w:val="21"/>
                      <w:szCs w:val="21"/>
                    </w:rPr>
                  </w:pPr>
                </w:p>
              </w:tc>
              <w:tc>
                <w:tcPr>
                  <w:tcW w:w="525" w:type="pct"/>
                  <w:tcBorders>
                    <w:tl2br w:val="nil"/>
                    <w:tr2bl w:val="nil"/>
                  </w:tcBorders>
                  <w:vAlign w:val="center"/>
                </w:tcPr>
                <w:p w14:paraId="7AF3473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0.01</w:t>
                  </w:r>
                </w:p>
              </w:tc>
              <w:tc>
                <w:tcPr>
                  <w:tcW w:w="555" w:type="pct"/>
                  <w:tcBorders>
                    <w:tl2br w:val="nil"/>
                    <w:tr2bl w:val="nil"/>
                  </w:tcBorders>
                  <w:vAlign w:val="center"/>
                </w:tcPr>
                <w:p w14:paraId="5F930B4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0.01</w:t>
                  </w:r>
                </w:p>
              </w:tc>
              <w:tc>
                <w:tcPr>
                  <w:tcW w:w="708" w:type="pct"/>
                  <w:vMerge w:val="continue"/>
                  <w:tcBorders>
                    <w:tl2br w:val="nil"/>
                    <w:tr2bl w:val="nil"/>
                  </w:tcBorders>
                  <w:vAlign w:val="center"/>
                </w:tcPr>
                <w:p w14:paraId="464C13E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rPr>
                  </w:pPr>
                </w:p>
              </w:tc>
              <w:tc>
                <w:tcPr>
                  <w:tcW w:w="502" w:type="pct"/>
                  <w:vMerge w:val="continue"/>
                  <w:tcBorders>
                    <w:tl2br w:val="nil"/>
                    <w:tr2bl w:val="nil"/>
                  </w:tcBorders>
                  <w:vAlign w:val="center"/>
                </w:tcPr>
                <w:p w14:paraId="6E68780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1269" w:type="pct"/>
                  <w:vMerge w:val="continue"/>
                  <w:tcBorders>
                    <w:tl2br w:val="nil"/>
                    <w:tr2bl w:val="nil"/>
                  </w:tcBorders>
                  <w:vAlign w:val="center"/>
                </w:tcPr>
                <w:p w14:paraId="743260C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kern w:val="0"/>
                      <w:sz w:val="21"/>
                      <w:szCs w:val="21"/>
                    </w:rPr>
                  </w:pPr>
                </w:p>
              </w:tc>
            </w:tr>
            <w:tr w14:paraId="57D344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71" w:hRule="atLeast"/>
                <w:jc w:val="center"/>
              </w:trPr>
              <w:tc>
                <w:tcPr>
                  <w:tcW w:w="224" w:type="pct"/>
                  <w:vMerge w:val="continue"/>
                  <w:tcBorders>
                    <w:tl2br w:val="nil"/>
                    <w:tr2bl w:val="nil"/>
                  </w:tcBorders>
                  <w:vAlign w:val="center"/>
                </w:tcPr>
                <w:p w14:paraId="770F959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749" w:type="pct"/>
                  <w:tcBorders>
                    <w:tl2br w:val="nil"/>
                    <w:tr2bl w:val="nil"/>
                  </w:tcBorders>
                  <w:vAlign w:val="center"/>
                </w:tcPr>
                <w:p w14:paraId="4BCF26E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rPr>
                    <w:t>道路运输扬尘</w:t>
                  </w:r>
                </w:p>
              </w:tc>
              <w:tc>
                <w:tcPr>
                  <w:tcW w:w="464" w:type="pct"/>
                  <w:vMerge w:val="continue"/>
                  <w:tcBorders>
                    <w:tl2br w:val="nil"/>
                    <w:tr2bl w:val="nil"/>
                  </w:tcBorders>
                  <w:vAlign w:val="center"/>
                </w:tcPr>
                <w:p w14:paraId="2ACB87E3">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rPr>
                      <w:sz w:val="21"/>
                      <w:szCs w:val="21"/>
                    </w:rPr>
                  </w:pPr>
                </w:p>
              </w:tc>
              <w:tc>
                <w:tcPr>
                  <w:tcW w:w="525" w:type="pct"/>
                  <w:tcBorders>
                    <w:tl2br w:val="nil"/>
                    <w:tr2bl w:val="nil"/>
                  </w:tcBorders>
                  <w:vAlign w:val="center"/>
                </w:tcPr>
                <w:p w14:paraId="57BE07E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0.26</w:t>
                  </w:r>
                </w:p>
              </w:tc>
              <w:tc>
                <w:tcPr>
                  <w:tcW w:w="555" w:type="pct"/>
                  <w:tcBorders>
                    <w:tl2br w:val="nil"/>
                    <w:tr2bl w:val="nil"/>
                  </w:tcBorders>
                  <w:vAlign w:val="center"/>
                </w:tcPr>
                <w:p w14:paraId="51AEC4C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0.026</w:t>
                  </w:r>
                </w:p>
              </w:tc>
              <w:tc>
                <w:tcPr>
                  <w:tcW w:w="708" w:type="pct"/>
                  <w:tcBorders>
                    <w:tl2br w:val="nil"/>
                    <w:tr2bl w:val="nil"/>
                  </w:tcBorders>
                  <w:vAlign w:val="center"/>
                </w:tcPr>
                <w:p w14:paraId="4329EDB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rPr>
                  </w:pPr>
                  <w:r>
                    <w:rPr>
                      <w:rFonts w:hint="eastAsia"/>
                      <w:sz w:val="21"/>
                      <w:szCs w:val="21"/>
                    </w:rPr>
                    <w:t>道路硬化处理，洒水，车辆减速慢行</w:t>
                  </w:r>
                </w:p>
              </w:tc>
              <w:tc>
                <w:tcPr>
                  <w:tcW w:w="502" w:type="pct"/>
                  <w:vMerge w:val="continue"/>
                  <w:tcBorders>
                    <w:tl2br w:val="nil"/>
                    <w:tr2bl w:val="nil"/>
                  </w:tcBorders>
                  <w:vAlign w:val="center"/>
                </w:tcPr>
                <w:p w14:paraId="5541CC1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1269" w:type="pct"/>
                  <w:vMerge w:val="continue"/>
                  <w:tcBorders>
                    <w:tl2br w:val="nil"/>
                    <w:tr2bl w:val="nil"/>
                  </w:tcBorders>
                  <w:vAlign w:val="center"/>
                </w:tcPr>
                <w:p w14:paraId="0335F10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kern w:val="0"/>
                      <w:sz w:val="21"/>
                      <w:szCs w:val="21"/>
                    </w:rPr>
                  </w:pPr>
                </w:p>
              </w:tc>
            </w:tr>
            <w:tr w14:paraId="694CA6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24" w:type="pct"/>
                  <w:vMerge w:val="continue"/>
                  <w:tcBorders>
                    <w:tl2br w:val="nil"/>
                    <w:tr2bl w:val="nil"/>
                  </w:tcBorders>
                  <w:vAlign w:val="center"/>
                </w:tcPr>
                <w:p w14:paraId="6E2326A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749" w:type="pct"/>
                  <w:tcBorders>
                    <w:tl2br w:val="nil"/>
                    <w:tr2bl w:val="nil"/>
                  </w:tcBorders>
                  <w:vAlign w:val="center"/>
                </w:tcPr>
                <w:p w14:paraId="5A5AAB9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rPr>
                  </w:pPr>
                  <w:r>
                    <w:rPr>
                      <w:rFonts w:hint="eastAsia"/>
                      <w:sz w:val="21"/>
                      <w:szCs w:val="21"/>
                      <w:lang w:val="en-US" w:eastAsia="zh-CN"/>
                    </w:rPr>
                    <w:t>脱模剂废气</w:t>
                  </w:r>
                </w:p>
              </w:tc>
              <w:tc>
                <w:tcPr>
                  <w:tcW w:w="464" w:type="pct"/>
                  <w:vMerge w:val="continue"/>
                  <w:tcBorders>
                    <w:tl2br w:val="nil"/>
                    <w:tr2bl w:val="nil"/>
                  </w:tcBorders>
                  <w:vAlign w:val="center"/>
                </w:tcPr>
                <w:p w14:paraId="21EB536D">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rPr>
                      <w:sz w:val="21"/>
                      <w:szCs w:val="21"/>
                    </w:rPr>
                  </w:pPr>
                </w:p>
              </w:tc>
              <w:tc>
                <w:tcPr>
                  <w:tcW w:w="525" w:type="pct"/>
                  <w:tcBorders>
                    <w:tl2br w:val="nil"/>
                    <w:tr2bl w:val="nil"/>
                  </w:tcBorders>
                  <w:vAlign w:val="center"/>
                </w:tcPr>
                <w:p w14:paraId="173149E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0.024</w:t>
                  </w:r>
                </w:p>
              </w:tc>
              <w:tc>
                <w:tcPr>
                  <w:tcW w:w="555" w:type="pct"/>
                  <w:tcBorders>
                    <w:tl2br w:val="nil"/>
                    <w:tr2bl w:val="nil"/>
                  </w:tcBorders>
                  <w:vAlign w:val="center"/>
                </w:tcPr>
                <w:p w14:paraId="24770D2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0.024</w:t>
                  </w:r>
                </w:p>
              </w:tc>
              <w:tc>
                <w:tcPr>
                  <w:tcW w:w="708" w:type="pct"/>
                  <w:vMerge w:val="restart"/>
                  <w:tcBorders>
                    <w:tl2br w:val="nil"/>
                    <w:tr2bl w:val="nil"/>
                  </w:tcBorders>
                  <w:vAlign w:val="center"/>
                </w:tcPr>
                <w:p w14:paraId="1601EDE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hint="eastAsia"/>
                      <w:sz w:val="21"/>
                      <w:szCs w:val="21"/>
                    </w:rPr>
                    <w:t>定期打扫车间</w:t>
                  </w:r>
                  <w:r>
                    <w:rPr>
                      <w:rFonts w:hint="eastAsia"/>
                      <w:sz w:val="21"/>
                      <w:szCs w:val="21"/>
                      <w:lang w:eastAsia="zh-CN"/>
                    </w:rPr>
                    <w:t>，</w:t>
                  </w:r>
                  <w:r>
                    <w:rPr>
                      <w:rFonts w:hint="eastAsia"/>
                      <w:sz w:val="21"/>
                      <w:szCs w:val="21"/>
                      <w:lang w:val="en-US" w:eastAsia="zh-CN"/>
                    </w:rPr>
                    <w:t>加强车间通风</w:t>
                  </w:r>
                </w:p>
              </w:tc>
              <w:tc>
                <w:tcPr>
                  <w:tcW w:w="502" w:type="pct"/>
                  <w:vMerge w:val="restart"/>
                  <w:tcBorders>
                    <w:tl2br w:val="nil"/>
                    <w:tr2bl w:val="nil"/>
                  </w:tcBorders>
                  <w:vAlign w:val="center"/>
                </w:tcPr>
                <w:p w14:paraId="1AA5BDC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0.039</w:t>
                  </w:r>
                </w:p>
              </w:tc>
              <w:tc>
                <w:tcPr>
                  <w:tcW w:w="1269" w:type="pct"/>
                  <w:vMerge w:val="restart"/>
                  <w:tcBorders>
                    <w:tl2br w:val="nil"/>
                    <w:tr2bl w:val="nil"/>
                  </w:tcBorders>
                  <w:vAlign w:val="center"/>
                </w:tcPr>
                <w:p w14:paraId="2507EFC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kern w:val="0"/>
                      <w:sz w:val="21"/>
                      <w:szCs w:val="21"/>
                    </w:rPr>
                  </w:pPr>
                  <w:r>
                    <w:rPr>
                      <w:rFonts w:hint="default" w:ascii="Times New Roman" w:hAnsi="Times New Roman" w:eastAsia="宋体" w:cs="Times New Roman"/>
                      <w:color w:val="auto"/>
                      <w:spacing w:val="0"/>
                      <w:kern w:val="0"/>
                      <w:position w:val="0"/>
                      <w:sz w:val="21"/>
                      <w:szCs w:val="21"/>
                      <w:highlight w:val="none"/>
                      <w:lang w:val="en-US" w:eastAsia="zh-CN"/>
                    </w:rPr>
                    <w:t>《合成树脂工业污染物排放标准》（GB31572-2015）中表9企业边界大气污染物浓度限值</w:t>
                  </w:r>
                </w:p>
              </w:tc>
            </w:tr>
            <w:tr w14:paraId="4A676E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24" w:type="pct"/>
                  <w:vMerge w:val="continue"/>
                  <w:tcBorders>
                    <w:tl2br w:val="nil"/>
                    <w:tr2bl w:val="nil"/>
                  </w:tcBorders>
                  <w:vAlign w:val="center"/>
                </w:tcPr>
                <w:p w14:paraId="5BA0782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749" w:type="pct"/>
                  <w:tcBorders>
                    <w:tl2br w:val="nil"/>
                    <w:tr2bl w:val="nil"/>
                  </w:tcBorders>
                  <w:vAlign w:val="center"/>
                </w:tcPr>
                <w:p w14:paraId="5EA56C9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未收集有机废气</w:t>
                  </w:r>
                </w:p>
              </w:tc>
              <w:tc>
                <w:tcPr>
                  <w:tcW w:w="464" w:type="pct"/>
                  <w:vMerge w:val="continue"/>
                  <w:tcBorders>
                    <w:tl2br w:val="nil"/>
                    <w:tr2bl w:val="nil"/>
                  </w:tcBorders>
                  <w:vAlign w:val="center"/>
                </w:tcPr>
                <w:p w14:paraId="1AE520DF">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rPr>
                      <w:sz w:val="21"/>
                      <w:szCs w:val="21"/>
                    </w:rPr>
                  </w:pPr>
                </w:p>
              </w:tc>
              <w:tc>
                <w:tcPr>
                  <w:tcW w:w="525" w:type="pct"/>
                  <w:tcBorders>
                    <w:tl2br w:val="nil"/>
                    <w:tr2bl w:val="nil"/>
                  </w:tcBorders>
                  <w:vAlign w:val="center"/>
                </w:tcPr>
                <w:p w14:paraId="17575DA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0.015</w:t>
                  </w:r>
                </w:p>
              </w:tc>
              <w:tc>
                <w:tcPr>
                  <w:tcW w:w="555" w:type="pct"/>
                  <w:tcBorders>
                    <w:tl2br w:val="nil"/>
                    <w:tr2bl w:val="nil"/>
                  </w:tcBorders>
                  <w:vAlign w:val="center"/>
                </w:tcPr>
                <w:p w14:paraId="60C57F7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0.015</w:t>
                  </w:r>
                </w:p>
              </w:tc>
              <w:tc>
                <w:tcPr>
                  <w:tcW w:w="708" w:type="pct"/>
                  <w:vMerge w:val="continue"/>
                  <w:tcBorders>
                    <w:tl2br w:val="nil"/>
                    <w:tr2bl w:val="nil"/>
                  </w:tcBorders>
                  <w:vAlign w:val="center"/>
                </w:tcPr>
                <w:p w14:paraId="2A8F944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502" w:type="pct"/>
                  <w:vMerge w:val="continue"/>
                  <w:tcBorders>
                    <w:tl2br w:val="nil"/>
                    <w:tr2bl w:val="nil"/>
                  </w:tcBorders>
                  <w:vAlign w:val="center"/>
                </w:tcPr>
                <w:p w14:paraId="5ED2E42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1269" w:type="pct"/>
                  <w:vMerge w:val="continue"/>
                  <w:tcBorders>
                    <w:tl2br w:val="nil"/>
                    <w:tr2bl w:val="nil"/>
                  </w:tcBorders>
                  <w:vAlign w:val="center"/>
                </w:tcPr>
                <w:p w14:paraId="13300F0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kern w:val="0"/>
                      <w:sz w:val="21"/>
                      <w:szCs w:val="21"/>
                    </w:rPr>
                  </w:pPr>
                </w:p>
              </w:tc>
            </w:tr>
            <w:tr w14:paraId="3A0DE5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24" w:type="pct"/>
                  <w:vMerge w:val="continue"/>
                  <w:tcBorders>
                    <w:tl2br w:val="nil"/>
                    <w:tr2bl w:val="nil"/>
                  </w:tcBorders>
                  <w:vAlign w:val="center"/>
                </w:tcPr>
                <w:p w14:paraId="2334330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749" w:type="pct"/>
                  <w:tcBorders>
                    <w:tl2br w:val="nil"/>
                    <w:tr2bl w:val="nil"/>
                  </w:tcBorders>
                  <w:vAlign w:val="center"/>
                </w:tcPr>
                <w:p w14:paraId="452C45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rPr>
                  </w:pPr>
                  <w:r>
                    <w:rPr>
                      <w:rFonts w:hint="eastAsia"/>
                      <w:sz w:val="21"/>
                      <w:szCs w:val="21"/>
                      <w:lang w:val="en-US" w:eastAsia="zh-CN"/>
                    </w:rPr>
                    <w:t>浸蜡废气</w:t>
                  </w:r>
                </w:p>
              </w:tc>
              <w:tc>
                <w:tcPr>
                  <w:tcW w:w="464" w:type="pct"/>
                  <w:vMerge w:val="continue"/>
                  <w:tcBorders>
                    <w:tl2br w:val="nil"/>
                    <w:tr2bl w:val="nil"/>
                  </w:tcBorders>
                  <w:vAlign w:val="center"/>
                </w:tcPr>
                <w:p w14:paraId="3DDBD2A6">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rPr>
                      <w:sz w:val="21"/>
                      <w:szCs w:val="21"/>
                    </w:rPr>
                  </w:pPr>
                </w:p>
              </w:tc>
              <w:tc>
                <w:tcPr>
                  <w:tcW w:w="525" w:type="pct"/>
                  <w:tcBorders>
                    <w:tl2br w:val="nil"/>
                    <w:tr2bl w:val="nil"/>
                  </w:tcBorders>
                  <w:vAlign w:val="center"/>
                </w:tcPr>
                <w:p w14:paraId="1E5B165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0.00006</w:t>
                  </w:r>
                </w:p>
              </w:tc>
              <w:tc>
                <w:tcPr>
                  <w:tcW w:w="555" w:type="pct"/>
                  <w:tcBorders>
                    <w:tl2br w:val="nil"/>
                    <w:tr2bl w:val="nil"/>
                  </w:tcBorders>
                  <w:vAlign w:val="center"/>
                </w:tcPr>
                <w:p w14:paraId="4B24E08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lang w:eastAsia="zh-CN"/>
                    </w:rPr>
                  </w:pPr>
                  <w:r>
                    <w:rPr>
                      <w:rFonts w:hint="eastAsia"/>
                      <w:sz w:val="21"/>
                      <w:szCs w:val="21"/>
                      <w:lang w:val="en-US" w:eastAsia="zh-CN"/>
                    </w:rPr>
                    <w:t>0.00006</w:t>
                  </w:r>
                </w:p>
              </w:tc>
              <w:tc>
                <w:tcPr>
                  <w:tcW w:w="708" w:type="pct"/>
                  <w:vMerge w:val="continue"/>
                  <w:tcBorders>
                    <w:tl2br w:val="nil"/>
                    <w:tr2bl w:val="nil"/>
                  </w:tcBorders>
                  <w:vAlign w:val="center"/>
                </w:tcPr>
                <w:p w14:paraId="4C48BFC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502" w:type="pct"/>
                  <w:vMerge w:val="continue"/>
                  <w:tcBorders>
                    <w:tl2br w:val="nil"/>
                    <w:tr2bl w:val="nil"/>
                  </w:tcBorders>
                  <w:vAlign w:val="center"/>
                </w:tcPr>
                <w:p w14:paraId="13BF479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1269" w:type="pct"/>
                  <w:vMerge w:val="continue"/>
                  <w:tcBorders>
                    <w:tl2br w:val="nil"/>
                    <w:tr2bl w:val="nil"/>
                  </w:tcBorders>
                  <w:vAlign w:val="center"/>
                </w:tcPr>
                <w:p w14:paraId="4E9CF69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kern w:val="0"/>
                      <w:sz w:val="21"/>
                      <w:szCs w:val="21"/>
                    </w:rPr>
                  </w:pPr>
                </w:p>
              </w:tc>
            </w:tr>
          </w:tbl>
          <w:p w14:paraId="79CC7E57">
            <w:pPr>
              <w:pStyle w:val="5"/>
              <w:ind w:firstLine="422"/>
              <w:rPr>
                <w:sz w:val="24"/>
                <w:szCs w:val="24"/>
              </w:rPr>
            </w:pPr>
            <w:r>
              <w:rPr>
                <w:sz w:val="24"/>
                <w:szCs w:val="24"/>
              </w:rPr>
              <w:t>1.</w:t>
            </w:r>
            <w:r>
              <w:rPr>
                <w:rFonts w:hint="eastAsia"/>
                <w:sz w:val="24"/>
                <w:szCs w:val="24"/>
                <w:lang w:val="en-US" w:eastAsia="zh-CN"/>
              </w:rPr>
              <w:t>3</w:t>
            </w:r>
            <w:r>
              <w:rPr>
                <w:sz w:val="24"/>
                <w:szCs w:val="24"/>
              </w:rPr>
              <w:t>废气监测计划</w:t>
            </w:r>
          </w:p>
          <w:p w14:paraId="4BDF2B27">
            <w:pPr>
              <w:spacing w:line="360" w:lineRule="auto"/>
              <w:ind w:firstLine="480" w:firstLineChars="200"/>
              <w:rPr>
                <w:sz w:val="24"/>
                <w:szCs w:val="24"/>
              </w:rPr>
            </w:pPr>
            <w:r>
              <w:rPr>
                <w:sz w:val="24"/>
                <w:szCs w:val="24"/>
              </w:rPr>
              <w:t>项目在运营期存在污染物排放问题，会对局部环境造成潜在的影响。为把建设项目对周围环境的不利影响减到最小，除选择适当的工艺外，还必须加强日常监测和严格管理，制定环境监测计划，才能达到预期目的。</w:t>
            </w:r>
          </w:p>
          <w:p w14:paraId="6DDB5214">
            <w:pPr>
              <w:spacing w:line="360" w:lineRule="auto"/>
              <w:ind w:firstLine="480" w:firstLineChars="200"/>
              <w:rPr>
                <w:sz w:val="24"/>
                <w:szCs w:val="24"/>
              </w:rPr>
            </w:pPr>
            <w:r>
              <w:rPr>
                <w:rFonts w:hint="eastAsia"/>
                <w:sz w:val="24"/>
                <w:szCs w:val="24"/>
              </w:rPr>
              <w:t>（1）</w:t>
            </w:r>
            <w:r>
              <w:rPr>
                <w:sz w:val="24"/>
                <w:szCs w:val="24"/>
              </w:rPr>
              <w:t>监测目的</w:t>
            </w:r>
          </w:p>
          <w:p w14:paraId="4977FC38">
            <w:pPr>
              <w:spacing w:line="360" w:lineRule="auto"/>
              <w:ind w:firstLine="480" w:firstLineChars="200"/>
              <w:rPr>
                <w:sz w:val="24"/>
                <w:szCs w:val="24"/>
              </w:rPr>
            </w:pPr>
            <w:r>
              <w:rPr>
                <w:sz w:val="24"/>
                <w:szCs w:val="24"/>
              </w:rPr>
              <w:t>环境监测是环境保护中最重要的环节和技术支持，其目的在于：</w:t>
            </w:r>
          </w:p>
          <w:p w14:paraId="581E3DBF">
            <w:pPr>
              <w:spacing w:line="360" w:lineRule="auto"/>
              <w:ind w:firstLine="480" w:firstLineChars="200"/>
              <w:rPr>
                <w:sz w:val="24"/>
                <w:szCs w:val="24"/>
              </w:rPr>
            </w:pPr>
            <w:r>
              <w:rPr>
                <w:sz w:val="24"/>
                <w:szCs w:val="24"/>
              </w:rPr>
              <w:t>①检查、跟踪项目投产后运行过程中废气治理措施的实施情况和效果，掌握环境质量的变化动态；</w:t>
            </w:r>
          </w:p>
          <w:p w14:paraId="0CF3DFB8">
            <w:pPr>
              <w:spacing w:line="360" w:lineRule="auto"/>
              <w:ind w:firstLine="480" w:firstLineChars="200"/>
              <w:rPr>
                <w:sz w:val="24"/>
                <w:szCs w:val="24"/>
              </w:rPr>
            </w:pPr>
            <w:r>
              <w:rPr>
                <w:sz w:val="24"/>
                <w:szCs w:val="24"/>
              </w:rPr>
              <w:t>②了解项目环境工程设施的运行状况，确保设施的正常运行；</w:t>
            </w:r>
          </w:p>
          <w:p w14:paraId="33E505DA">
            <w:pPr>
              <w:spacing w:line="360" w:lineRule="auto"/>
              <w:ind w:firstLine="480" w:firstLineChars="200"/>
              <w:rPr>
                <w:sz w:val="24"/>
                <w:szCs w:val="24"/>
              </w:rPr>
            </w:pPr>
            <w:r>
              <w:rPr>
                <w:sz w:val="24"/>
                <w:szCs w:val="24"/>
              </w:rPr>
              <w:t>③了解项目有关的环境质量监控实施情况；</w:t>
            </w:r>
          </w:p>
          <w:p w14:paraId="7C12551C">
            <w:pPr>
              <w:spacing w:line="360" w:lineRule="auto"/>
              <w:ind w:firstLine="480" w:firstLineChars="200"/>
              <w:rPr>
                <w:sz w:val="24"/>
                <w:szCs w:val="24"/>
              </w:rPr>
            </w:pPr>
            <w:r>
              <w:rPr>
                <w:sz w:val="24"/>
                <w:szCs w:val="24"/>
              </w:rPr>
              <w:t>④为改善项目周围区域环境质量提供技术支持。</w:t>
            </w:r>
          </w:p>
          <w:p w14:paraId="2400D1D5">
            <w:pPr>
              <w:spacing w:line="360" w:lineRule="auto"/>
              <w:ind w:firstLine="480" w:firstLineChars="200"/>
              <w:rPr>
                <w:sz w:val="24"/>
                <w:szCs w:val="24"/>
              </w:rPr>
            </w:pPr>
            <w:r>
              <w:rPr>
                <w:rFonts w:hint="eastAsia"/>
                <w:sz w:val="24"/>
                <w:szCs w:val="24"/>
              </w:rPr>
              <w:t>（2）</w:t>
            </w:r>
            <w:r>
              <w:rPr>
                <w:sz w:val="24"/>
                <w:szCs w:val="24"/>
              </w:rPr>
              <w:t>监测内容</w:t>
            </w:r>
          </w:p>
          <w:p w14:paraId="59645A85">
            <w:pPr>
              <w:spacing w:line="360" w:lineRule="auto"/>
              <w:ind w:firstLine="480" w:firstLineChars="200"/>
              <w:rPr>
                <w:sz w:val="24"/>
                <w:szCs w:val="24"/>
              </w:rPr>
            </w:pPr>
            <w:r>
              <w:rPr>
                <w:sz w:val="24"/>
                <w:szCs w:val="24"/>
              </w:rPr>
              <w:t>对项目运营过程中产生的污染物进行监测，监测点的选取、监测项目确定均按《排污单位自行监测指南</w:t>
            </w:r>
            <w:r>
              <w:rPr>
                <w:rFonts w:hint="eastAsia"/>
                <w:sz w:val="24"/>
                <w:szCs w:val="24"/>
              </w:rPr>
              <w:t xml:space="preserve"> 总则</w:t>
            </w:r>
            <w:r>
              <w:rPr>
                <w:sz w:val="24"/>
                <w:szCs w:val="24"/>
              </w:rPr>
              <w:t>》（HJ</w:t>
            </w:r>
            <w:r>
              <w:rPr>
                <w:rFonts w:hint="eastAsia"/>
                <w:sz w:val="24"/>
                <w:szCs w:val="24"/>
              </w:rPr>
              <w:t>819</w:t>
            </w:r>
            <w:r>
              <w:rPr>
                <w:sz w:val="24"/>
                <w:szCs w:val="24"/>
              </w:rPr>
              <w:t>-201</w:t>
            </w:r>
            <w:r>
              <w:rPr>
                <w:rFonts w:hint="eastAsia"/>
                <w:sz w:val="24"/>
                <w:szCs w:val="24"/>
              </w:rPr>
              <w:t>7</w:t>
            </w:r>
            <w:r>
              <w:rPr>
                <w:sz w:val="24"/>
                <w:szCs w:val="24"/>
              </w:rPr>
              <w:t>）执行。建设单位现不具备单独进行环境监测的能力，委托有资质的环境监测机构进行监测工作。</w:t>
            </w:r>
          </w:p>
          <w:p w14:paraId="38AAB222">
            <w:pPr>
              <w:spacing w:line="360" w:lineRule="auto"/>
              <w:ind w:firstLine="480" w:firstLineChars="200"/>
            </w:pPr>
            <w:r>
              <w:rPr>
                <w:sz w:val="24"/>
                <w:szCs w:val="24"/>
              </w:rPr>
              <w:t>依据《排污许可证申请与核发技术规范 总则》（HJ942-2018）</w:t>
            </w:r>
            <w:r>
              <w:rPr>
                <w:rFonts w:hint="eastAsia"/>
                <w:sz w:val="24"/>
                <w:szCs w:val="24"/>
              </w:rPr>
              <w:t>及</w:t>
            </w:r>
            <w:r>
              <w:rPr>
                <w:sz w:val="24"/>
                <w:szCs w:val="24"/>
              </w:rPr>
              <w:t>项目内容、企业实际情况，制定相应的监测方案。废气</w:t>
            </w:r>
            <w:r>
              <w:rPr>
                <w:rFonts w:hint="eastAsia"/>
                <w:sz w:val="24"/>
                <w:szCs w:val="24"/>
                <w:lang w:eastAsia="zh-CN"/>
              </w:rPr>
              <w:t>每年生产期</w:t>
            </w:r>
            <w:r>
              <w:rPr>
                <w:sz w:val="24"/>
                <w:szCs w:val="24"/>
              </w:rPr>
              <w:t>监测计划具体如</w:t>
            </w:r>
            <w:r>
              <w:rPr>
                <w:rFonts w:hint="eastAsia"/>
                <w:sz w:val="24"/>
                <w:szCs w:val="24"/>
              </w:rPr>
              <w:t>下</w:t>
            </w:r>
            <w:r>
              <w:rPr>
                <w:sz w:val="24"/>
                <w:szCs w:val="24"/>
              </w:rPr>
              <w:t>表所示。</w:t>
            </w:r>
          </w:p>
          <w:p w14:paraId="1A8678C8">
            <w:pPr>
              <w:jc w:val="center"/>
            </w:pPr>
            <w:r>
              <w:rPr>
                <w:b/>
                <w:bCs/>
              </w:rPr>
              <w:t>表</w:t>
            </w:r>
            <w:r>
              <w:rPr>
                <w:rFonts w:hint="eastAsia"/>
                <w:b/>
                <w:bCs/>
              </w:rPr>
              <w:t>4-</w:t>
            </w:r>
            <w:r>
              <w:rPr>
                <w:rFonts w:hint="eastAsia"/>
                <w:b/>
                <w:bCs/>
                <w:lang w:val="en-US" w:eastAsia="zh-CN"/>
              </w:rPr>
              <w:t>4</w:t>
            </w:r>
            <w:r>
              <w:rPr>
                <w:rFonts w:hint="eastAsia"/>
                <w:b/>
                <w:bCs/>
              </w:rPr>
              <w:t xml:space="preserve"> </w:t>
            </w:r>
            <w:r>
              <w:rPr>
                <w:b/>
                <w:bCs/>
              </w:rPr>
              <w:t xml:space="preserve"> 废气监测计划表</w:t>
            </w:r>
          </w:p>
          <w:tbl>
            <w:tblPr>
              <w:tblStyle w:val="24"/>
              <w:tblW w:w="912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196"/>
              <w:gridCol w:w="1067"/>
              <w:gridCol w:w="1093"/>
              <w:gridCol w:w="1467"/>
              <w:gridCol w:w="3246"/>
            </w:tblGrid>
            <w:tr w14:paraId="44E559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59" w:type="dxa"/>
                  <w:tcBorders>
                    <w:tl2br w:val="nil"/>
                    <w:tr2bl w:val="nil"/>
                  </w:tcBorders>
                  <w:noWrap/>
                  <w:vAlign w:val="center"/>
                </w:tcPr>
                <w:p w14:paraId="6DA99F77">
                  <w:pPr>
                    <w:jc w:val="center"/>
                    <w:rPr>
                      <w:b/>
                      <w:bCs/>
                    </w:rPr>
                  </w:pPr>
                  <w:r>
                    <w:rPr>
                      <w:rFonts w:hint="eastAsia"/>
                      <w:b/>
                      <w:bCs/>
                    </w:rPr>
                    <w:t>类型</w:t>
                  </w:r>
                </w:p>
              </w:tc>
              <w:tc>
                <w:tcPr>
                  <w:tcW w:w="1196" w:type="dxa"/>
                  <w:tcBorders>
                    <w:tl2br w:val="nil"/>
                    <w:tr2bl w:val="nil"/>
                  </w:tcBorders>
                  <w:noWrap/>
                  <w:vAlign w:val="center"/>
                </w:tcPr>
                <w:p w14:paraId="0A13EB29">
                  <w:pPr>
                    <w:jc w:val="center"/>
                    <w:rPr>
                      <w:b/>
                      <w:bCs/>
                    </w:rPr>
                  </w:pPr>
                  <w:r>
                    <w:rPr>
                      <w:b/>
                      <w:bCs/>
                    </w:rPr>
                    <w:t>监测点</w:t>
                  </w:r>
                </w:p>
              </w:tc>
              <w:tc>
                <w:tcPr>
                  <w:tcW w:w="1067" w:type="dxa"/>
                  <w:tcBorders>
                    <w:tl2br w:val="nil"/>
                    <w:tr2bl w:val="nil"/>
                  </w:tcBorders>
                  <w:noWrap/>
                  <w:vAlign w:val="center"/>
                </w:tcPr>
                <w:p w14:paraId="373A5A84">
                  <w:pPr>
                    <w:jc w:val="center"/>
                    <w:rPr>
                      <w:b/>
                      <w:bCs/>
                    </w:rPr>
                  </w:pPr>
                  <w:r>
                    <w:rPr>
                      <w:b/>
                      <w:bCs/>
                    </w:rPr>
                    <w:t>监测频次</w:t>
                  </w:r>
                </w:p>
              </w:tc>
              <w:tc>
                <w:tcPr>
                  <w:tcW w:w="1093" w:type="dxa"/>
                  <w:tcBorders>
                    <w:tl2br w:val="nil"/>
                    <w:tr2bl w:val="nil"/>
                  </w:tcBorders>
                  <w:noWrap/>
                  <w:vAlign w:val="center"/>
                </w:tcPr>
                <w:p w14:paraId="63426A1C">
                  <w:pPr>
                    <w:jc w:val="center"/>
                    <w:rPr>
                      <w:b/>
                      <w:bCs/>
                    </w:rPr>
                  </w:pPr>
                  <w:r>
                    <w:rPr>
                      <w:b/>
                      <w:bCs/>
                    </w:rPr>
                    <w:t>监测项目</w:t>
                  </w:r>
                </w:p>
              </w:tc>
              <w:tc>
                <w:tcPr>
                  <w:tcW w:w="1467" w:type="dxa"/>
                  <w:tcBorders>
                    <w:tl2br w:val="nil"/>
                    <w:tr2bl w:val="nil"/>
                  </w:tcBorders>
                  <w:noWrap/>
                  <w:vAlign w:val="center"/>
                </w:tcPr>
                <w:p w14:paraId="0AAC45F5">
                  <w:pPr>
                    <w:jc w:val="center"/>
                    <w:rPr>
                      <w:rFonts w:hint="default" w:eastAsia="宋体"/>
                      <w:b/>
                      <w:bCs/>
                      <w:lang w:val="en-US" w:eastAsia="zh-CN"/>
                    </w:rPr>
                  </w:pPr>
                  <w:r>
                    <w:rPr>
                      <w:rFonts w:hint="eastAsia"/>
                      <w:b/>
                      <w:bCs/>
                      <w:lang w:val="en-US" w:eastAsia="zh-CN"/>
                    </w:rPr>
                    <w:t>排放限值</w:t>
                  </w:r>
                </w:p>
              </w:tc>
              <w:tc>
                <w:tcPr>
                  <w:tcW w:w="3246" w:type="dxa"/>
                  <w:tcBorders>
                    <w:tl2br w:val="nil"/>
                    <w:tr2bl w:val="nil"/>
                  </w:tcBorders>
                  <w:noWrap/>
                  <w:vAlign w:val="center"/>
                </w:tcPr>
                <w:p w14:paraId="13A4BDB8">
                  <w:pPr>
                    <w:jc w:val="center"/>
                    <w:rPr>
                      <w:b/>
                      <w:bCs/>
                    </w:rPr>
                  </w:pPr>
                  <w:r>
                    <w:rPr>
                      <w:b/>
                      <w:bCs/>
                    </w:rPr>
                    <w:t>执行标准</w:t>
                  </w:r>
                </w:p>
              </w:tc>
            </w:tr>
            <w:tr w14:paraId="12C2172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59" w:type="dxa"/>
                  <w:vMerge w:val="restart"/>
                  <w:tcBorders>
                    <w:tl2br w:val="nil"/>
                    <w:tr2bl w:val="nil"/>
                  </w:tcBorders>
                  <w:noWrap/>
                  <w:vAlign w:val="center"/>
                </w:tcPr>
                <w:p w14:paraId="607AE23A">
                  <w:pPr>
                    <w:widowControl/>
                    <w:jc w:val="center"/>
                  </w:pPr>
                  <w:r>
                    <w:rPr>
                      <w:rFonts w:hint="eastAsia"/>
                    </w:rPr>
                    <w:t>有组织废气</w:t>
                  </w:r>
                </w:p>
              </w:tc>
              <w:tc>
                <w:tcPr>
                  <w:tcW w:w="1196" w:type="dxa"/>
                  <w:tcBorders>
                    <w:tl2br w:val="nil"/>
                    <w:tr2bl w:val="nil"/>
                  </w:tcBorders>
                  <w:noWrap/>
                  <w:vAlign w:val="center"/>
                </w:tcPr>
                <w:p w14:paraId="6D1E022B">
                  <w:pPr>
                    <w:widowControl/>
                    <w:jc w:val="center"/>
                    <w:rPr>
                      <w:rFonts w:hint="eastAsia" w:eastAsia="宋体"/>
                      <w:lang w:val="en-US" w:eastAsia="zh-CN"/>
                    </w:rPr>
                  </w:pPr>
                  <w:r>
                    <w:rPr>
                      <w:rFonts w:hint="eastAsia"/>
                    </w:rPr>
                    <w:t>DA001</w:t>
                  </w:r>
                  <w:r>
                    <w:rPr>
                      <w:rFonts w:hint="eastAsia"/>
                      <w:lang w:val="en-US" w:eastAsia="zh-CN"/>
                    </w:rPr>
                    <w:t>-</w:t>
                  </w:r>
                  <w:r>
                    <w:rPr>
                      <w:rFonts w:hint="eastAsia"/>
                      <w:sz w:val="21"/>
                      <w:szCs w:val="21"/>
                    </w:rPr>
                    <w:t>DA00</w:t>
                  </w:r>
                  <w:r>
                    <w:rPr>
                      <w:rFonts w:hint="eastAsia"/>
                      <w:sz w:val="21"/>
                      <w:szCs w:val="21"/>
                      <w:lang w:val="en-US" w:eastAsia="zh-CN"/>
                    </w:rPr>
                    <w:t>6</w:t>
                  </w:r>
                </w:p>
              </w:tc>
              <w:tc>
                <w:tcPr>
                  <w:tcW w:w="1067" w:type="dxa"/>
                  <w:vMerge w:val="restart"/>
                  <w:tcBorders>
                    <w:tl2br w:val="nil"/>
                    <w:tr2bl w:val="nil"/>
                  </w:tcBorders>
                  <w:noWrap/>
                  <w:vAlign w:val="center"/>
                </w:tcPr>
                <w:p w14:paraId="119BE73E">
                  <w:pPr>
                    <w:jc w:val="center"/>
                  </w:pPr>
                  <w:r>
                    <w:rPr>
                      <w:rFonts w:hint="eastAsia"/>
                    </w:rPr>
                    <w:t>1次/年</w:t>
                  </w:r>
                </w:p>
              </w:tc>
              <w:tc>
                <w:tcPr>
                  <w:tcW w:w="1093" w:type="dxa"/>
                  <w:vMerge w:val="restart"/>
                  <w:tcBorders>
                    <w:tl2br w:val="nil"/>
                    <w:tr2bl w:val="nil"/>
                  </w:tcBorders>
                  <w:noWrap/>
                  <w:vAlign w:val="center"/>
                </w:tcPr>
                <w:p w14:paraId="467F934A">
                  <w:pPr>
                    <w:jc w:val="center"/>
                    <w:rPr>
                      <w:rFonts w:eastAsia="微软雅黑"/>
                    </w:rPr>
                  </w:pPr>
                  <w:r>
                    <w:t>颗粒物</w:t>
                  </w:r>
                </w:p>
              </w:tc>
              <w:tc>
                <w:tcPr>
                  <w:tcW w:w="1467" w:type="dxa"/>
                  <w:vMerge w:val="restart"/>
                  <w:tcBorders>
                    <w:tl2br w:val="nil"/>
                    <w:tr2bl w:val="nil"/>
                  </w:tcBorders>
                  <w:noWrap/>
                  <w:vAlign w:val="center"/>
                </w:tcPr>
                <w:p w14:paraId="5E599E9C">
                  <w:pPr>
                    <w:jc w:val="center"/>
                    <w:rPr>
                      <w:rFonts w:hint="default" w:eastAsia="宋体"/>
                      <w:lang w:val="en-US" w:eastAsia="zh-CN"/>
                    </w:rPr>
                  </w:pPr>
                  <w:r>
                    <w:rPr>
                      <w:rFonts w:hint="eastAsia"/>
                      <w:lang w:val="en-US" w:eastAsia="zh-CN"/>
                    </w:rPr>
                    <w:t>20</w:t>
                  </w:r>
                  <w:r>
                    <w:t>mg/m</w:t>
                  </w:r>
                  <w:r>
                    <w:rPr>
                      <w:vertAlign w:val="superscript"/>
                    </w:rPr>
                    <w:t>3</w:t>
                  </w:r>
                </w:p>
              </w:tc>
              <w:tc>
                <w:tcPr>
                  <w:tcW w:w="3246" w:type="dxa"/>
                  <w:vMerge w:val="restart"/>
                  <w:tcBorders>
                    <w:tl2br w:val="nil"/>
                    <w:tr2bl w:val="nil"/>
                  </w:tcBorders>
                  <w:noWrap/>
                  <w:vAlign w:val="center"/>
                </w:tcPr>
                <w:p w14:paraId="33D8D391">
                  <w:pPr>
                    <w:keepNext w:val="0"/>
                    <w:keepLines w:val="0"/>
                    <w:pageBreakBefore w:val="0"/>
                    <w:kinsoku/>
                    <w:wordWrap/>
                    <w:overflowPunct/>
                    <w:topLinePunct w:val="0"/>
                    <w:autoSpaceDE/>
                    <w:autoSpaceDN/>
                    <w:bidi w:val="0"/>
                    <w:adjustRightInd/>
                    <w:snapToGrid/>
                    <w:ind w:firstLine="0" w:firstLineChars="0"/>
                    <w:jc w:val="center"/>
                    <w:textAlignment w:val="auto"/>
                  </w:pPr>
                  <w:r>
                    <w:rPr>
                      <w:color w:val="auto"/>
                      <w:sz w:val="21"/>
                      <w:szCs w:val="21"/>
                    </w:rPr>
                    <w:t>《</w:t>
                  </w:r>
                  <w:r>
                    <w:rPr>
                      <w:rFonts w:hint="eastAsia"/>
                      <w:color w:val="auto"/>
                      <w:sz w:val="21"/>
                      <w:szCs w:val="21"/>
                    </w:rPr>
                    <w:t>水泥工业</w:t>
                  </w:r>
                  <w:r>
                    <w:rPr>
                      <w:rFonts w:hint="eastAsia"/>
                      <w:color w:val="auto"/>
                      <w:sz w:val="21"/>
                      <w:szCs w:val="21"/>
                      <w:lang w:val="en-US" w:eastAsia="zh-CN"/>
                    </w:rPr>
                    <w:t>大气</w:t>
                  </w:r>
                  <w:r>
                    <w:rPr>
                      <w:color w:val="auto"/>
                      <w:sz w:val="21"/>
                      <w:szCs w:val="21"/>
                    </w:rPr>
                    <w:t>污染物排放标准》</w:t>
                  </w:r>
                  <w:r>
                    <w:rPr>
                      <w:rFonts w:ascii="Times New Roman" w:hAnsi="Times New Roman" w:eastAsia="宋体" w:cs="Times New Roman"/>
                      <w:color w:val="auto"/>
                      <w:kern w:val="0"/>
                      <w:sz w:val="21"/>
                      <w:szCs w:val="21"/>
                    </w:rPr>
                    <w:t>（</w:t>
                  </w:r>
                  <w:r>
                    <w:rPr>
                      <w:rFonts w:hint="eastAsia"/>
                      <w:color w:val="auto"/>
                      <w:sz w:val="21"/>
                      <w:szCs w:val="21"/>
                    </w:rPr>
                    <w:t>GB4915</w:t>
                  </w:r>
                  <w:r>
                    <w:rPr>
                      <w:color w:val="auto"/>
                      <w:sz w:val="21"/>
                      <w:szCs w:val="21"/>
                    </w:rPr>
                    <w:t>-2013</w:t>
                  </w:r>
                  <w:r>
                    <w:rPr>
                      <w:rFonts w:ascii="Times New Roman" w:hAnsi="Times New Roman" w:eastAsia="宋体" w:cs="Times New Roman"/>
                      <w:color w:val="auto"/>
                      <w:kern w:val="0"/>
                      <w:sz w:val="21"/>
                      <w:szCs w:val="21"/>
                    </w:rPr>
                    <w:t>）</w:t>
                  </w:r>
                </w:p>
              </w:tc>
            </w:tr>
            <w:tr w14:paraId="0895BC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059" w:type="dxa"/>
                  <w:vMerge w:val="continue"/>
                  <w:tcBorders>
                    <w:tl2br w:val="nil"/>
                    <w:tr2bl w:val="nil"/>
                  </w:tcBorders>
                  <w:noWrap/>
                  <w:vAlign w:val="center"/>
                </w:tcPr>
                <w:p w14:paraId="1A3E7516">
                  <w:pPr>
                    <w:widowControl/>
                    <w:jc w:val="center"/>
                  </w:pPr>
                </w:p>
              </w:tc>
              <w:tc>
                <w:tcPr>
                  <w:tcW w:w="1196" w:type="dxa"/>
                  <w:tcBorders>
                    <w:tl2br w:val="nil"/>
                    <w:tr2bl w:val="nil"/>
                  </w:tcBorders>
                  <w:noWrap/>
                  <w:vAlign w:val="center"/>
                </w:tcPr>
                <w:p w14:paraId="59B16258">
                  <w:pPr>
                    <w:widowControl/>
                    <w:jc w:val="center"/>
                    <w:rPr>
                      <w:rFonts w:hint="eastAsia" w:eastAsia="宋体"/>
                      <w:lang w:eastAsia="zh-CN"/>
                    </w:rPr>
                  </w:pPr>
                  <w:r>
                    <w:rPr>
                      <w:rFonts w:hint="eastAsia"/>
                    </w:rPr>
                    <w:t>DA00</w:t>
                  </w:r>
                  <w:r>
                    <w:rPr>
                      <w:rFonts w:hint="eastAsia"/>
                      <w:lang w:val="en-US" w:eastAsia="zh-CN"/>
                    </w:rPr>
                    <w:t>7</w:t>
                  </w:r>
                </w:p>
              </w:tc>
              <w:tc>
                <w:tcPr>
                  <w:tcW w:w="1067" w:type="dxa"/>
                  <w:vMerge w:val="continue"/>
                  <w:tcBorders>
                    <w:tl2br w:val="nil"/>
                    <w:tr2bl w:val="nil"/>
                  </w:tcBorders>
                  <w:noWrap/>
                  <w:vAlign w:val="center"/>
                </w:tcPr>
                <w:p w14:paraId="49EF8B3C">
                  <w:pPr>
                    <w:widowControl/>
                    <w:jc w:val="center"/>
                  </w:pPr>
                </w:p>
              </w:tc>
              <w:tc>
                <w:tcPr>
                  <w:tcW w:w="1093" w:type="dxa"/>
                  <w:vMerge w:val="continue"/>
                  <w:tcBorders>
                    <w:tl2br w:val="nil"/>
                    <w:tr2bl w:val="nil"/>
                  </w:tcBorders>
                  <w:noWrap/>
                  <w:vAlign w:val="center"/>
                </w:tcPr>
                <w:p w14:paraId="2B2CD9FD">
                  <w:pPr>
                    <w:widowControl/>
                    <w:jc w:val="center"/>
                  </w:pPr>
                </w:p>
              </w:tc>
              <w:tc>
                <w:tcPr>
                  <w:tcW w:w="1467" w:type="dxa"/>
                  <w:vMerge w:val="continue"/>
                  <w:tcBorders>
                    <w:tl2br w:val="nil"/>
                    <w:tr2bl w:val="nil"/>
                  </w:tcBorders>
                  <w:noWrap/>
                  <w:vAlign w:val="center"/>
                </w:tcPr>
                <w:p w14:paraId="52260445">
                  <w:pPr>
                    <w:widowControl/>
                    <w:jc w:val="center"/>
                  </w:pPr>
                </w:p>
              </w:tc>
              <w:tc>
                <w:tcPr>
                  <w:tcW w:w="3246" w:type="dxa"/>
                  <w:vMerge w:val="continue"/>
                  <w:tcBorders>
                    <w:tl2br w:val="nil"/>
                    <w:tr2bl w:val="nil"/>
                  </w:tcBorders>
                  <w:noWrap/>
                  <w:vAlign w:val="center"/>
                </w:tcPr>
                <w:p w14:paraId="1EB60F45">
                  <w:pPr>
                    <w:keepNext w:val="0"/>
                    <w:keepLines w:val="0"/>
                    <w:pageBreakBefore w:val="0"/>
                    <w:widowControl/>
                    <w:kinsoku/>
                    <w:wordWrap/>
                    <w:overflowPunct/>
                    <w:topLinePunct w:val="0"/>
                    <w:autoSpaceDE/>
                    <w:autoSpaceDN/>
                    <w:bidi w:val="0"/>
                    <w:adjustRightInd/>
                    <w:snapToGrid/>
                    <w:ind w:firstLine="0" w:firstLineChars="0"/>
                    <w:jc w:val="center"/>
                    <w:textAlignment w:val="auto"/>
                  </w:pPr>
                </w:p>
              </w:tc>
            </w:tr>
            <w:tr w14:paraId="5AD84A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059" w:type="dxa"/>
                  <w:vMerge w:val="continue"/>
                  <w:tcBorders>
                    <w:tl2br w:val="nil"/>
                    <w:tr2bl w:val="nil"/>
                  </w:tcBorders>
                  <w:noWrap/>
                  <w:vAlign w:val="center"/>
                </w:tcPr>
                <w:p w14:paraId="583F4727">
                  <w:pPr>
                    <w:widowControl/>
                    <w:jc w:val="center"/>
                  </w:pPr>
                </w:p>
              </w:tc>
              <w:tc>
                <w:tcPr>
                  <w:tcW w:w="1196" w:type="dxa"/>
                  <w:tcBorders>
                    <w:tl2br w:val="nil"/>
                    <w:tr2bl w:val="nil"/>
                  </w:tcBorders>
                  <w:noWrap/>
                  <w:vAlign w:val="center"/>
                </w:tcPr>
                <w:p w14:paraId="711FE8AC">
                  <w:pPr>
                    <w:widowControl/>
                    <w:jc w:val="center"/>
                    <w:rPr>
                      <w:rFonts w:hint="eastAsia" w:eastAsia="宋体"/>
                      <w:lang w:val="en-US" w:eastAsia="zh-CN"/>
                    </w:rPr>
                  </w:pPr>
                  <w:r>
                    <w:rPr>
                      <w:rFonts w:hint="eastAsia"/>
                    </w:rPr>
                    <w:t>DA00</w:t>
                  </w:r>
                  <w:r>
                    <w:rPr>
                      <w:rFonts w:hint="eastAsia"/>
                      <w:lang w:val="en-US" w:eastAsia="zh-CN"/>
                    </w:rPr>
                    <w:t>8</w:t>
                  </w:r>
                </w:p>
              </w:tc>
              <w:tc>
                <w:tcPr>
                  <w:tcW w:w="1067" w:type="dxa"/>
                  <w:tcBorders>
                    <w:tl2br w:val="nil"/>
                    <w:tr2bl w:val="nil"/>
                  </w:tcBorders>
                  <w:noWrap/>
                  <w:vAlign w:val="center"/>
                </w:tcPr>
                <w:p w14:paraId="2295FD9B">
                  <w:pPr>
                    <w:widowControl/>
                    <w:jc w:val="center"/>
                  </w:pPr>
                  <w:r>
                    <w:rPr>
                      <w:rFonts w:hint="default" w:ascii="Times New Roman" w:hAnsi="Times New Roman" w:cs="Times New Roman"/>
                      <w:color w:val="auto"/>
                      <w:sz w:val="21"/>
                      <w:szCs w:val="21"/>
                    </w:rPr>
                    <w:t>1次/</w:t>
                  </w:r>
                  <w:r>
                    <w:rPr>
                      <w:rFonts w:hint="eastAsia" w:cs="Times New Roman"/>
                      <w:color w:val="auto"/>
                      <w:sz w:val="21"/>
                      <w:szCs w:val="21"/>
                      <w:lang w:val="en-US" w:eastAsia="zh-CN"/>
                    </w:rPr>
                    <w:t>年</w:t>
                  </w:r>
                </w:p>
              </w:tc>
              <w:tc>
                <w:tcPr>
                  <w:tcW w:w="1093" w:type="dxa"/>
                  <w:tcBorders>
                    <w:tl2br w:val="nil"/>
                    <w:tr2bl w:val="nil"/>
                  </w:tcBorders>
                  <w:noWrap/>
                  <w:vAlign w:val="center"/>
                </w:tcPr>
                <w:p w14:paraId="3695714D">
                  <w:pPr>
                    <w:widowControl/>
                    <w:jc w:val="center"/>
                    <w:rPr>
                      <w:rFonts w:hint="eastAsia" w:eastAsia="宋体"/>
                      <w:lang w:eastAsia="zh-CN"/>
                    </w:rPr>
                  </w:pPr>
                  <w:r>
                    <w:rPr>
                      <w:rFonts w:hint="eastAsia"/>
                      <w:lang w:val="en-US" w:eastAsia="zh-CN"/>
                    </w:rPr>
                    <w:t>非甲烷总烃</w:t>
                  </w:r>
                </w:p>
              </w:tc>
              <w:tc>
                <w:tcPr>
                  <w:tcW w:w="1467" w:type="dxa"/>
                  <w:tcBorders>
                    <w:tl2br w:val="nil"/>
                    <w:tr2bl w:val="nil"/>
                  </w:tcBorders>
                  <w:noWrap/>
                  <w:vAlign w:val="center"/>
                </w:tcPr>
                <w:p w14:paraId="774767E4">
                  <w:pPr>
                    <w:widowControl/>
                    <w:jc w:val="center"/>
                    <w:rPr>
                      <w:rFonts w:hint="default" w:eastAsia="宋体"/>
                      <w:lang w:val="en-US" w:eastAsia="zh-CN"/>
                    </w:rPr>
                  </w:pPr>
                  <w:r>
                    <w:rPr>
                      <w:rFonts w:hint="eastAsia"/>
                      <w:lang w:val="en-US" w:eastAsia="zh-CN"/>
                    </w:rPr>
                    <w:t>100</w:t>
                  </w:r>
                  <w:r>
                    <w:t>mg/m</w:t>
                  </w:r>
                  <w:r>
                    <w:rPr>
                      <w:vertAlign w:val="superscript"/>
                    </w:rPr>
                    <w:t>3</w:t>
                  </w:r>
                </w:p>
              </w:tc>
              <w:tc>
                <w:tcPr>
                  <w:tcW w:w="3246" w:type="dxa"/>
                  <w:tcBorders>
                    <w:tl2br w:val="nil"/>
                    <w:tr2bl w:val="nil"/>
                  </w:tcBorders>
                  <w:noWrap/>
                  <w:vAlign w:val="center"/>
                </w:tcPr>
                <w:p w14:paraId="004457D2">
                  <w:pPr>
                    <w:keepNext w:val="0"/>
                    <w:keepLines w:val="0"/>
                    <w:pageBreakBefore w:val="0"/>
                    <w:widowControl/>
                    <w:kinsoku/>
                    <w:wordWrap/>
                    <w:overflowPunct/>
                    <w:topLinePunct w:val="0"/>
                    <w:autoSpaceDE/>
                    <w:autoSpaceDN/>
                    <w:bidi w:val="0"/>
                    <w:adjustRightInd/>
                    <w:snapToGrid/>
                    <w:ind w:firstLine="0" w:firstLineChars="0"/>
                    <w:jc w:val="center"/>
                    <w:textAlignment w:val="auto"/>
                  </w:pPr>
                  <w:r>
                    <w:rPr>
                      <w:rFonts w:hint="default" w:ascii="Times New Roman" w:hAnsi="Times New Roman" w:eastAsia="宋体" w:cs="Times New Roman"/>
                      <w:color w:val="auto"/>
                      <w:spacing w:val="0"/>
                      <w:kern w:val="0"/>
                      <w:position w:val="0"/>
                      <w:sz w:val="21"/>
                      <w:szCs w:val="21"/>
                      <w:highlight w:val="none"/>
                      <w:lang w:val="en-US" w:eastAsia="zh-CN"/>
                    </w:rPr>
                    <w:t>《合成树脂工业污染物排放标准》</w:t>
                  </w:r>
                  <w:r>
                    <w:rPr>
                      <w:rFonts w:hint="eastAsia" w:ascii="Times New Roman" w:hAnsi="Times New Roman" w:eastAsia="宋体" w:cs="Times New Roman"/>
                      <w:color w:val="auto"/>
                      <w:spacing w:val="0"/>
                      <w:kern w:val="0"/>
                      <w:position w:val="0"/>
                      <w:sz w:val="21"/>
                      <w:szCs w:val="21"/>
                      <w:highlight w:val="none"/>
                      <w:lang w:val="en-US" w:eastAsia="zh-CN"/>
                    </w:rPr>
                    <w:t>（含2024年修改单）</w:t>
                  </w:r>
                  <w:r>
                    <w:rPr>
                      <w:rFonts w:hint="default" w:ascii="Times New Roman" w:hAnsi="Times New Roman" w:eastAsia="宋体" w:cs="Times New Roman"/>
                      <w:color w:val="auto"/>
                      <w:spacing w:val="0"/>
                      <w:kern w:val="0"/>
                      <w:position w:val="0"/>
                      <w:sz w:val="21"/>
                      <w:szCs w:val="21"/>
                      <w:highlight w:val="none"/>
                      <w:lang w:val="en-US" w:eastAsia="zh-CN"/>
                    </w:rPr>
                    <w:t>（GB31572-2015）中表</w:t>
                  </w:r>
                  <w:r>
                    <w:rPr>
                      <w:rFonts w:hint="eastAsia" w:cs="Times New Roman"/>
                      <w:color w:val="auto"/>
                      <w:spacing w:val="0"/>
                      <w:kern w:val="0"/>
                      <w:position w:val="0"/>
                      <w:sz w:val="21"/>
                      <w:szCs w:val="21"/>
                      <w:highlight w:val="none"/>
                      <w:lang w:val="en-US" w:eastAsia="zh-CN"/>
                    </w:rPr>
                    <w:t>4</w:t>
                  </w:r>
                  <w:r>
                    <w:rPr>
                      <w:rFonts w:hint="default" w:ascii="Times New Roman" w:hAnsi="Times New Roman" w:eastAsia="宋体" w:cs="Times New Roman"/>
                      <w:color w:val="auto"/>
                      <w:spacing w:val="0"/>
                      <w:kern w:val="0"/>
                      <w:position w:val="0"/>
                      <w:sz w:val="21"/>
                      <w:szCs w:val="21"/>
                      <w:highlight w:val="none"/>
                      <w:lang w:val="en-US" w:eastAsia="zh-CN"/>
                    </w:rPr>
                    <w:t>大气污染物排放限值</w:t>
                  </w:r>
                </w:p>
              </w:tc>
            </w:tr>
            <w:tr w14:paraId="615E2C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59" w:type="dxa"/>
                  <w:vMerge w:val="restart"/>
                  <w:tcBorders>
                    <w:tl2br w:val="nil"/>
                    <w:tr2bl w:val="nil"/>
                  </w:tcBorders>
                  <w:noWrap/>
                  <w:vAlign w:val="center"/>
                </w:tcPr>
                <w:p w14:paraId="063FE6F9">
                  <w:pPr>
                    <w:jc w:val="center"/>
                  </w:pPr>
                  <w:r>
                    <w:rPr>
                      <w:rFonts w:hint="eastAsia"/>
                    </w:rPr>
                    <w:t>无组织废气</w:t>
                  </w:r>
                </w:p>
              </w:tc>
              <w:tc>
                <w:tcPr>
                  <w:tcW w:w="1196" w:type="dxa"/>
                  <w:vMerge w:val="restart"/>
                  <w:tcBorders>
                    <w:tl2br w:val="nil"/>
                    <w:tr2bl w:val="nil"/>
                  </w:tcBorders>
                  <w:noWrap/>
                  <w:vAlign w:val="center"/>
                </w:tcPr>
                <w:p w14:paraId="29A682D8">
                  <w:pPr>
                    <w:jc w:val="center"/>
                  </w:pPr>
                  <w:r>
                    <w:rPr>
                      <w:rFonts w:hint="eastAsia"/>
                    </w:rPr>
                    <w:t>厂界</w:t>
                  </w:r>
                </w:p>
              </w:tc>
              <w:tc>
                <w:tcPr>
                  <w:tcW w:w="1067" w:type="dxa"/>
                  <w:vMerge w:val="restart"/>
                  <w:tcBorders>
                    <w:tl2br w:val="nil"/>
                    <w:tr2bl w:val="nil"/>
                  </w:tcBorders>
                  <w:noWrap/>
                  <w:vAlign w:val="center"/>
                </w:tcPr>
                <w:p w14:paraId="3BFAE838">
                  <w:pPr>
                    <w:jc w:val="center"/>
                    <w:rPr>
                      <w:rFonts w:hint="eastAsia"/>
                      <w:lang w:eastAsia="zh-CN"/>
                    </w:rPr>
                  </w:pPr>
                  <w:r>
                    <w:rPr>
                      <w:rFonts w:hint="default" w:ascii="Times New Roman" w:hAnsi="Times New Roman" w:cs="Times New Roman"/>
                      <w:color w:val="auto"/>
                      <w:sz w:val="21"/>
                      <w:szCs w:val="21"/>
                    </w:rPr>
                    <w:t>1次/</w:t>
                  </w:r>
                  <w:r>
                    <w:rPr>
                      <w:rFonts w:hint="eastAsia" w:cs="Times New Roman"/>
                      <w:color w:val="auto"/>
                      <w:sz w:val="21"/>
                      <w:szCs w:val="21"/>
                      <w:lang w:val="en-US" w:eastAsia="zh-CN"/>
                    </w:rPr>
                    <w:t>年</w:t>
                  </w:r>
                </w:p>
              </w:tc>
              <w:tc>
                <w:tcPr>
                  <w:tcW w:w="1093" w:type="dxa"/>
                  <w:tcBorders>
                    <w:tl2br w:val="nil"/>
                    <w:tr2bl w:val="nil"/>
                  </w:tcBorders>
                  <w:noWrap/>
                  <w:vAlign w:val="center"/>
                </w:tcPr>
                <w:p w14:paraId="43791950">
                  <w:pPr>
                    <w:jc w:val="center"/>
                  </w:pPr>
                  <w:r>
                    <w:rPr>
                      <w:rFonts w:hint="eastAsia"/>
                    </w:rPr>
                    <w:t>颗粒物</w:t>
                  </w:r>
                </w:p>
              </w:tc>
              <w:tc>
                <w:tcPr>
                  <w:tcW w:w="1467" w:type="dxa"/>
                  <w:tcBorders>
                    <w:tl2br w:val="nil"/>
                    <w:tr2bl w:val="nil"/>
                  </w:tcBorders>
                  <w:noWrap/>
                  <w:vAlign w:val="center"/>
                </w:tcPr>
                <w:p w14:paraId="3334ABF5">
                  <w:pPr>
                    <w:jc w:val="center"/>
                    <w:rPr>
                      <w:rFonts w:hint="default" w:eastAsia="宋体"/>
                      <w:lang w:val="en-US" w:eastAsia="zh-CN"/>
                    </w:rPr>
                  </w:pPr>
                  <w:r>
                    <w:rPr>
                      <w:rFonts w:hint="eastAsia"/>
                      <w:lang w:val="en-US" w:eastAsia="zh-CN"/>
                    </w:rPr>
                    <w:t>0.5</w:t>
                  </w:r>
                  <w:r>
                    <w:t>mg/m</w:t>
                  </w:r>
                  <w:r>
                    <w:rPr>
                      <w:vertAlign w:val="superscript"/>
                    </w:rPr>
                    <w:t>3</w:t>
                  </w:r>
                </w:p>
              </w:tc>
              <w:tc>
                <w:tcPr>
                  <w:tcW w:w="3246" w:type="dxa"/>
                  <w:tcBorders>
                    <w:tl2br w:val="nil"/>
                    <w:tr2bl w:val="nil"/>
                  </w:tcBorders>
                  <w:noWrap/>
                  <w:vAlign w:val="center"/>
                </w:tcPr>
                <w:p w14:paraId="30641F12">
                  <w:pPr>
                    <w:keepNext w:val="0"/>
                    <w:keepLines w:val="0"/>
                    <w:pageBreakBefore w:val="0"/>
                    <w:kinsoku/>
                    <w:wordWrap/>
                    <w:overflowPunct/>
                    <w:topLinePunct w:val="0"/>
                    <w:autoSpaceDE/>
                    <w:autoSpaceDN/>
                    <w:bidi w:val="0"/>
                    <w:adjustRightInd/>
                    <w:snapToGrid/>
                    <w:ind w:firstLine="0" w:firstLineChars="0"/>
                    <w:jc w:val="center"/>
                    <w:textAlignment w:val="auto"/>
                    <w:rPr>
                      <w:rFonts w:hAnsi="宋体"/>
                    </w:rPr>
                  </w:pPr>
                  <w:r>
                    <w:rPr>
                      <w:color w:val="auto"/>
                      <w:sz w:val="21"/>
                      <w:szCs w:val="21"/>
                    </w:rPr>
                    <w:t>《</w:t>
                  </w:r>
                  <w:r>
                    <w:rPr>
                      <w:rFonts w:hint="eastAsia"/>
                      <w:color w:val="auto"/>
                      <w:sz w:val="21"/>
                      <w:szCs w:val="21"/>
                    </w:rPr>
                    <w:t>水泥工业</w:t>
                  </w:r>
                  <w:r>
                    <w:rPr>
                      <w:rFonts w:hint="eastAsia"/>
                      <w:color w:val="auto"/>
                      <w:sz w:val="21"/>
                      <w:szCs w:val="21"/>
                      <w:lang w:val="en-US" w:eastAsia="zh-CN"/>
                    </w:rPr>
                    <w:t>大气</w:t>
                  </w:r>
                  <w:r>
                    <w:rPr>
                      <w:color w:val="auto"/>
                      <w:sz w:val="21"/>
                      <w:szCs w:val="21"/>
                    </w:rPr>
                    <w:t>污染物排放标准》</w:t>
                  </w:r>
                  <w:r>
                    <w:rPr>
                      <w:rFonts w:ascii="Times New Roman" w:hAnsi="Times New Roman" w:eastAsia="宋体" w:cs="Times New Roman"/>
                      <w:color w:val="auto"/>
                      <w:kern w:val="0"/>
                      <w:sz w:val="21"/>
                      <w:szCs w:val="21"/>
                    </w:rPr>
                    <w:t>（</w:t>
                  </w:r>
                  <w:r>
                    <w:rPr>
                      <w:rFonts w:hint="eastAsia"/>
                      <w:color w:val="auto"/>
                      <w:sz w:val="21"/>
                      <w:szCs w:val="21"/>
                    </w:rPr>
                    <w:t>GB4915</w:t>
                  </w:r>
                  <w:r>
                    <w:rPr>
                      <w:color w:val="auto"/>
                      <w:sz w:val="21"/>
                      <w:szCs w:val="21"/>
                    </w:rPr>
                    <w:t>-2013</w:t>
                  </w:r>
                  <w:r>
                    <w:rPr>
                      <w:rFonts w:ascii="Times New Roman" w:hAnsi="Times New Roman" w:eastAsia="宋体" w:cs="Times New Roman"/>
                      <w:color w:val="auto"/>
                      <w:kern w:val="0"/>
                      <w:sz w:val="21"/>
                      <w:szCs w:val="21"/>
                    </w:rPr>
                    <w:t>）</w:t>
                  </w:r>
                  <w:r>
                    <w:rPr>
                      <w:rFonts w:hint="default" w:ascii="Times New Roman" w:hAnsi="Times New Roman" w:eastAsia="宋体" w:cs="Times New Roman"/>
                      <w:color w:val="auto"/>
                      <w:kern w:val="2"/>
                      <w:sz w:val="21"/>
                      <w:szCs w:val="21"/>
                      <w:lang w:val="en-US" w:eastAsia="zh-CN" w:bidi="ar"/>
                    </w:rPr>
                    <w:t>中无组织排放浓度</w:t>
                  </w:r>
                  <w:r>
                    <w:rPr>
                      <w:rFonts w:hint="eastAsia" w:ascii="Times New Roman" w:hAnsi="Times New Roman" w:eastAsia="宋体" w:cs="Times New Roman"/>
                      <w:color w:val="auto"/>
                      <w:kern w:val="2"/>
                      <w:sz w:val="21"/>
                      <w:szCs w:val="21"/>
                      <w:lang w:val="en-US" w:eastAsia="zh-CN" w:bidi="ar"/>
                    </w:rPr>
                    <w:t>限值</w:t>
                  </w:r>
                </w:p>
              </w:tc>
            </w:tr>
            <w:tr w14:paraId="5D66E7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59" w:type="dxa"/>
                  <w:vMerge w:val="continue"/>
                  <w:tcBorders>
                    <w:tl2br w:val="nil"/>
                    <w:tr2bl w:val="nil"/>
                  </w:tcBorders>
                  <w:noWrap/>
                  <w:vAlign w:val="center"/>
                </w:tcPr>
                <w:p w14:paraId="2FBE0CB9">
                  <w:pPr>
                    <w:keepNext w:val="0"/>
                    <w:keepLines w:val="0"/>
                    <w:pageBreakBefore w:val="0"/>
                    <w:kinsoku/>
                    <w:wordWrap/>
                    <w:overflowPunct/>
                    <w:topLinePunct w:val="0"/>
                    <w:autoSpaceDE/>
                    <w:autoSpaceDN/>
                    <w:bidi w:val="0"/>
                    <w:adjustRightInd/>
                    <w:snapToGrid/>
                    <w:ind w:firstLine="0" w:firstLineChars="0"/>
                    <w:jc w:val="center"/>
                    <w:textAlignment w:val="auto"/>
                  </w:pPr>
                </w:p>
              </w:tc>
              <w:tc>
                <w:tcPr>
                  <w:tcW w:w="1196" w:type="dxa"/>
                  <w:vMerge w:val="continue"/>
                  <w:tcBorders>
                    <w:tl2br w:val="nil"/>
                    <w:tr2bl w:val="nil"/>
                  </w:tcBorders>
                  <w:noWrap/>
                  <w:vAlign w:val="center"/>
                </w:tcPr>
                <w:p w14:paraId="40F09940">
                  <w:pPr>
                    <w:keepNext w:val="0"/>
                    <w:keepLines w:val="0"/>
                    <w:pageBreakBefore w:val="0"/>
                    <w:kinsoku/>
                    <w:wordWrap/>
                    <w:overflowPunct/>
                    <w:topLinePunct w:val="0"/>
                    <w:autoSpaceDE/>
                    <w:autoSpaceDN/>
                    <w:bidi w:val="0"/>
                    <w:adjustRightInd/>
                    <w:snapToGrid/>
                    <w:ind w:firstLine="0" w:firstLineChars="0"/>
                    <w:jc w:val="center"/>
                    <w:textAlignment w:val="auto"/>
                  </w:pPr>
                </w:p>
              </w:tc>
              <w:tc>
                <w:tcPr>
                  <w:tcW w:w="1067" w:type="dxa"/>
                  <w:vMerge w:val="continue"/>
                  <w:tcBorders>
                    <w:tl2br w:val="nil"/>
                    <w:tr2bl w:val="nil"/>
                  </w:tcBorders>
                  <w:noWrap/>
                  <w:vAlign w:val="center"/>
                </w:tcPr>
                <w:p w14:paraId="68F109E2">
                  <w:pPr>
                    <w:keepNext w:val="0"/>
                    <w:keepLines w:val="0"/>
                    <w:pageBreakBefore w:val="0"/>
                    <w:kinsoku/>
                    <w:wordWrap/>
                    <w:overflowPunct/>
                    <w:topLinePunct w:val="0"/>
                    <w:autoSpaceDE/>
                    <w:autoSpaceDN/>
                    <w:bidi w:val="0"/>
                    <w:adjustRightInd/>
                    <w:snapToGrid/>
                    <w:ind w:firstLine="0" w:firstLineChars="0"/>
                    <w:jc w:val="center"/>
                    <w:textAlignment w:val="auto"/>
                  </w:pPr>
                </w:p>
              </w:tc>
              <w:tc>
                <w:tcPr>
                  <w:tcW w:w="1093" w:type="dxa"/>
                  <w:vMerge w:val="restart"/>
                  <w:tcBorders>
                    <w:tl2br w:val="nil"/>
                    <w:tr2bl w:val="nil"/>
                  </w:tcBorders>
                  <w:noWrap/>
                  <w:vAlign w:val="center"/>
                </w:tcPr>
                <w:p w14:paraId="042BE9C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非甲烷总烃</w:t>
                  </w:r>
                </w:p>
              </w:tc>
              <w:tc>
                <w:tcPr>
                  <w:tcW w:w="1467" w:type="dxa"/>
                  <w:tcBorders>
                    <w:tl2br w:val="nil"/>
                    <w:tr2bl w:val="nil"/>
                  </w:tcBorders>
                  <w:noWrap/>
                  <w:vAlign w:val="center"/>
                </w:tcPr>
                <w:p w14:paraId="388BAFF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rPr>
                  </w:pPr>
                  <w:r>
                    <w:rPr>
                      <w:rFonts w:hint="eastAsia" w:cs="Times New Roman"/>
                      <w:color w:val="auto"/>
                      <w:spacing w:val="0"/>
                      <w:kern w:val="0"/>
                      <w:position w:val="0"/>
                      <w:sz w:val="21"/>
                      <w:szCs w:val="21"/>
                      <w:highlight w:val="none"/>
                      <w:lang w:val="en-US" w:eastAsia="zh-CN"/>
                    </w:rPr>
                    <w:t>4</w:t>
                  </w:r>
                  <w:r>
                    <w:t>mg/m</w:t>
                  </w:r>
                  <w:r>
                    <w:rPr>
                      <w:vertAlign w:val="superscript"/>
                    </w:rPr>
                    <w:t>3</w:t>
                  </w:r>
                </w:p>
              </w:tc>
              <w:tc>
                <w:tcPr>
                  <w:tcW w:w="3246" w:type="dxa"/>
                  <w:tcBorders>
                    <w:tl2br w:val="nil"/>
                    <w:tr2bl w:val="nil"/>
                  </w:tcBorders>
                  <w:noWrap/>
                  <w:vAlign w:val="center"/>
                </w:tcPr>
                <w:p w14:paraId="4463EF4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rPr>
                  </w:pPr>
                  <w:r>
                    <w:rPr>
                      <w:rFonts w:hint="default" w:ascii="Times New Roman" w:hAnsi="Times New Roman" w:eastAsia="宋体" w:cs="Times New Roman"/>
                      <w:color w:val="auto"/>
                      <w:spacing w:val="0"/>
                      <w:kern w:val="0"/>
                      <w:position w:val="0"/>
                      <w:sz w:val="21"/>
                      <w:szCs w:val="21"/>
                      <w:highlight w:val="none"/>
                      <w:lang w:val="en-US" w:eastAsia="zh-CN"/>
                    </w:rPr>
                    <w:t>《合成树脂工业污染物排放标准》</w:t>
                  </w:r>
                  <w:r>
                    <w:rPr>
                      <w:rFonts w:hint="eastAsia" w:ascii="Times New Roman" w:hAnsi="Times New Roman" w:eastAsia="宋体" w:cs="Times New Roman"/>
                      <w:color w:val="auto"/>
                      <w:spacing w:val="0"/>
                      <w:kern w:val="0"/>
                      <w:position w:val="0"/>
                      <w:sz w:val="21"/>
                      <w:szCs w:val="21"/>
                      <w:highlight w:val="none"/>
                      <w:lang w:val="en-US" w:eastAsia="zh-CN"/>
                    </w:rPr>
                    <w:t>（含2024年修改单）</w:t>
                  </w:r>
                  <w:r>
                    <w:rPr>
                      <w:rFonts w:hint="default" w:ascii="Times New Roman" w:hAnsi="Times New Roman" w:eastAsia="宋体" w:cs="Times New Roman"/>
                      <w:color w:val="auto"/>
                      <w:spacing w:val="0"/>
                      <w:kern w:val="0"/>
                      <w:position w:val="0"/>
                      <w:sz w:val="21"/>
                      <w:szCs w:val="21"/>
                      <w:highlight w:val="none"/>
                      <w:lang w:val="en-US" w:eastAsia="zh-CN"/>
                    </w:rPr>
                    <w:t>（GB31572-2015）中表9企业边界大气污染物浓度限值</w:t>
                  </w:r>
                </w:p>
              </w:tc>
            </w:tr>
            <w:tr w14:paraId="68B94E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059" w:type="dxa"/>
                  <w:vMerge w:val="continue"/>
                  <w:tcBorders>
                    <w:tl2br w:val="nil"/>
                    <w:tr2bl w:val="nil"/>
                  </w:tcBorders>
                  <w:noWrap/>
                  <w:vAlign w:val="center"/>
                </w:tcPr>
                <w:p w14:paraId="464AAF32">
                  <w:pPr>
                    <w:jc w:val="center"/>
                    <w:rPr>
                      <w:rFonts w:hint="eastAsia"/>
                    </w:rPr>
                  </w:pPr>
                </w:p>
              </w:tc>
              <w:tc>
                <w:tcPr>
                  <w:tcW w:w="1196" w:type="dxa"/>
                  <w:tcBorders>
                    <w:tl2br w:val="nil"/>
                    <w:tr2bl w:val="nil"/>
                  </w:tcBorders>
                  <w:noWrap/>
                  <w:vAlign w:val="center"/>
                </w:tcPr>
                <w:p w14:paraId="3A146D3D">
                  <w:pPr>
                    <w:jc w:val="center"/>
                    <w:rPr>
                      <w:rFonts w:hint="default" w:eastAsia="宋体"/>
                      <w:lang w:val="en-US" w:eastAsia="zh-CN"/>
                    </w:rPr>
                  </w:pPr>
                  <w:r>
                    <w:rPr>
                      <w:rFonts w:hint="eastAsia"/>
                      <w:lang w:val="en-US" w:eastAsia="zh-CN"/>
                    </w:rPr>
                    <w:t>车间外</w:t>
                  </w:r>
                </w:p>
              </w:tc>
              <w:tc>
                <w:tcPr>
                  <w:tcW w:w="1067" w:type="dxa"/>
                  <w:tcBorders>
                    <w:tl2br w:val="nil"/>
                    <w:tr2bl w:val="nil"/>
                  </w:tcBorders>
                  <w:noWrap/>
                  <w:vAlign w:val="center"/>
                </w:tcPr>
                <w:p w14:paraId="75D6E8E7">
                  <w:pPr>
                    <w:jc w:val="center"/>
                    <w:rPr>
                      <w:rFonts w:hint="eastAsia"/>
                    </w:rPr>
                  </w:pPr>
                  <w:r>
                    <w:rPr>
                      <w:rFonts w:hint="default" w:ascii="Times New Roman" w:hAnsi="Times New Roman" w:cs="Times New Roman"/>
                      <w:color w:val="auto"/>
                      <w:sz w:val="21"/>
                      <w:szCs w:val="21"/>
                    </w:rPr>
                    <w:t>1次/</w:t>
                  </w:r>
                  <w:r>
                    <w:rPr>
                      <w:rFonts w:hint="eastAsia" w:cs="Times New Roman"/>
                      <w:color w:val="auto"/>
                      <w:sz w:val="21"/>
                      <w:szCs w:val="21"/>
                      <w:lang w:val="en-US" w:eastAsia="zh-CN"/>
                    </w:rPr>
                    <w:t>年</w:t>
                  </w:r>
                </w:p>
              </w:tc>
              <w:tc>
                <w:tcPr>
                  <w:tcW w:w="1093" w:type="dxa"/>
                  <w:vMerge w:val="continue"/>
                  <w:tcBorders>
                    <w:tl2br w:val="nil"/>
                    <w:tr2bl w:val="nil"/>
                  </w:tcBorders>
                  <w:noWrap/>
                  <w:vAlign w:val="center"/>
                </w:tcPr>
                <w:p w14:paraId="6F0DEC66">
                  <w:pPr>
                    <w:jc w:val="center"/>
                    <w:rPr>
                      <w:rFonts w:hint="eastAsia"/>
                    </w:rPr>
                  </w:pPr>
                </w:p>
              </w:tc>
              <w:tc>
                <w:tcPr>
                  <w:tcW w:w="1467" w:type="dxa"/>
                  <w:tcBorders>
                    <w:tl2br w:val="nil"/>
                    <w:tr2bl w:val="nil"/>
                  </w:tcBorders>
                  <w:noWrap/>
                  <w:vAlign w:val="center"/>
                </w:tcPr>
                <w:p w14:paraId="53F7B790">
                  <w:pPr>
                    <w:jc w:val="center"/>
                    <w:rPr>
                      <w:rFonts w:hint="default"/>
                      <w:lang w:val="en-US" w:eastAsia="zh-CN"/>
                    </w:rPr>
                  </w:pPr>
                  <w:r>
                    <w:rPr>
                      <w:rFonts w:hint="eastAsia" w:ascii="Times New Roman" w:hAnsi="Times New Roman" w:eastAsia="宋体" w:cs="Times New Roman"/>
                      <w:color w:val="auto"/>
                      <w:spacing w:val="0"/>
                      <w:kern w:val="0"/>
                      <w:position w:val="0"/>
                      <w:sz w:val="21"/>
                      <w:szCs w:val="21"/>
                      <w:highlight w:val="none"/>
                      <w:lang w:val="en-US" w:eastAsia="zh-CN"/>
                    </w:rPr>
                    <w:t>监控点处1h浓度平均值</w:t>
                  </w:r>
                  <w:r>
                    <w:rPr>
                      <w:rFonts w:hint="eastAsia" w:cs="Times New Roman"/>
                      <w:color w:val="auto"/>
                      <w:spacing w:val="0"/>
                      <w:kern w:val="0"/>
                      <w:position w:val="0"/>
                      <w:sz w:val="21"/>
                      <w:szCs w:val="21"/>
                      <w:highlight w:val="none"/>
                      <w:lang w:val="en-US" w:eastAsia="zh-CN"/>
                    </w:rPr>
                    <w:t>10</w:t>
                  </w:r>
                  <w:r>
                    <w:t>mg/m</w:t>
                  </w:r>
                  <w:r>
                    <w:rPr>
                      <w:vertAlign w:val="superscript"/>
                    </w:rPr>
                    <w:t>3</w:t>
                  </w:r>
                </w:p>
              </w:tc>
              <w:tc>
                <w:tcPr>
                  <w:tcW w:w="3246" w:type="dxa"/>
                  <w:tcBorders>
                    <w:tl2br w:val="nil"/>
                    <w:tr2bl w:val="nil"/>
                  </w:tcBorders>
                  <w:noWrap/>
                  <w:vAlign w:val="center"/>
                </w:tcPr>
                <w:p w14:paraId="2F0450D2">
                  <w:pPr>
                    <w:keepNext w:val="0"/>
                    <w:keepLines w:val="0"/>
                    <w:pageBreakBefore w:val="0"/>
                    <w:kinsoku/>
                    <w:wordWrap/>
                    <w:overflowPunct/>
                    <w:topLinePunct w:val="0"/>
                    <w:autoSpaceDE/>
                    <w:autoSpaceDN/>
                    <w:bidi w:val="0"/>
                    <w:adjustRightInd/>
                    <w:snapToGrid/>
                    <w:ind w:firstLine="0" w:firstLineChars="0"/>
                    <w:jc w:val="center"/>
                    <w:textAlignment w:val="auto"/>
                    <w:rPr>
                      <w:color w:val="auto"/>
                      <w:sz w:val="21"/>
                      <w:szCs w:val="21"/>
                    </w:rPr>
                  </w:pPr>
                  <w:r>
                    <w:rPr>
                      <w:rFonts w:hint="eastAsia"/>
                    </w:rPr>
                    <w:t>《挥发性有机物无组织排放控制标准》GB37822-2019)</w:t>
                  </w:r>
                </w:p>
              </w:tc>
            </w:tr>
          </w:tbl>
          <w:p w14:paraId="2D201172">
            <w:pPr>
              <w:pStyle w:val="5"/>
              <w:ind w:firstLine="422"/>
              <w:rPr>
                <w:sz w:val="24"/>
                <w:szCs w:val="24"/>
              </w:rPr>
            </w:pPr>
            <w:r>
              <w:rPr>
                <w:sz w:val="24"/>
                <w:szCs w:val="24"/>
              </w:rPr>
              <w:t>1.</w:t>
            </w:r>
            <w:r>
              <w:rPr>
                <w:rFonts w:hint="eastAsia"/>
                <w:sz w:val="24"/>
                <w:szCs w:val="24"/>
              </w:rPr>
              <w:t>4非正常工况下废气排放情况</w:t>
            </w:r>
          </w:p>
          <w:p w14:paraId="79C1D5B4">
            <w:pPr>
              <w:pStyle w:val="21"/>
              <w:widowControl w:val="0"/>
              <w:autoSpaceDE w:val="0"/>
              <w:spacing w:before="0" w:beforeAutospacing="0" w:after="0" w:afterAutospacing="0" w:line="360" w:lineRule="auto"/>
              <w:ind w:firstLine="480" w:firstLineChars="200"/>
              <w:jc w:val="both"/>
              <w:textAlignment w:val="baseline"/>
              <w:rPr>
                <w:rFonts w:ascii="Times New Roman" w:hAnsi="Times New Roman"/>
                <w:sz w:val="24"/>
                <w:szCs w:val="24"/>
              </w:rPr>
            </w:pPr>
            <w:r>
              <w:rPr>
                <w:rFonts w:hint="eastAsia" w:ascii="Times New Roman" w:hAnsi="Times New Roman"/>
                <w:sz w:val="24"/>
                <w:szCs w:val="24"/>
              </w:rPr>
              <w:t>《污染源源强核算技术指南准则》（</w:t>
            </w:r>
            <w:r>
              <w:rPr>
                <w:rFonts w:ascii="Times New Roman" w:hAnsi="Times New Roman"/>
                <w:sz w:val="24"/>
                <w:szCs w:val="24"/>
              </w:rPr>
              <w:t>HJ884-2018</w:t>
            </w:r>
            <w:r>
              <w:rPr>
                <w:rFonts w:hint="eastAsia" w:ascii="Times New Roman" w:hAnsi="Times New Roman"/>
                <w:sz w:val="24"/>
                <w:szCs w:val="24"/>
              </w:rPr>
              <w:t>）中指出：生产设施非正常工况是指开停炉（机）、设备检修、工艺设备运转异常等工况，污染防治（控制）设施非正常状况指达不到应有治理效率或同步运转率等情况。</w:t>
            </w:r>
          </w:p>
          <w:p w14:paraId="1A428473">
            <w:pPr>
              <w:pStyle w:val="21"/>
              <w:widowControl w:val="0"/>
              <w:autoSpaceDE w:val="0"/>
              <w:spacing w:before="0" w:beforeAutospacing="0" w:after="0" w:afterAutospacing="0" w:line="360" w:lineRule="auto"/>
              <w:ind w:firstLine="480" w:firstLineChars="200"/>
              <w:jc w:val="both"/>
              <w:textAlignment w:val="baseline"/>
              <w:rPr>
                <w:rFonts w:ascii="Times New Roman" w:hAnsi="Times New Roman"/>
                <w:sz w:val="24"/>
                <w:szCs w:val="24"/>
              </w:rPr>
            </w:pPr>
            <w:r>
              <w:rPr>
                <w:rFonts w:hint="eastAsia" w:ascii="Times New Roman" w:hAnsi="Times New Roman"/>
                <w:sz w:val="24"/>
                <w:szCs w:val="24"/>
              </w:rPr>
              <w:t>（1）生产线非正常工况废气排放</w:t>
            </w:r>
          </w:p>
          <w:p w14:paraId="6E027A44">
            <w:pPr>
              <w:pStyle w:val="21"/>
              <w:widowControl w:val="0"/>
              <w:autoSpaceDE w:val="0"/>
              <w:spacing w:before="0" w:beforeAutospacing="0" w:after="0" w:afterAutospacing="0" w:line="360" w:lineRule="auto"/>
              <w:ind w:firstLine="480" w:firstLineChars="200"/>
              <w:jc w:val="both"/>
              <w:textAlignment w:val="baseline"/>
              <w:rPr>
                <w:rFonts w:ascii="Times New Roman" w:hAnsi="Times New Roman"/>
                <w:sz w:val="24"/>
                <w:szCs w:val="24"/>
              </w:rPr>
            </w:pPr>
            <w:r>
              <w:rPr>
                <w:rFonts w:hint="eastAsia" w:ascii="Times New Roman" w:hAnsi="Times New Roman"/>
                <w:sz w:val="24"/>
                <w:szCs w:val="24"/>
              </w:rPr>
              <w:t>本项目生产线废气排放的非正常工况主要发生在污染防治（控制）设施非正常状况，主要为布袋除尘器</w:t>
            </w:r>
            <w:r>
              <w:rPr>
                <w:rFonts w:hint="eastAsia" w:ascii="Times New Roman" w:hAnsi="Times New Roman"/>
                <w:sz w:val="24"/>
                <w:szCs w:val="24"/>
                <w:lang w:val="en-US" w:eastAsia="zh-CN"/>
              </w:rPr>
              <w:t>和二级活性炭装置</w:t>
            </w:r>
            <w:r>
              <w:rPr>
                <w:rFonts w:hint="eastAsia" w:ascii="Times New Roman" w:hAnsi="Times New Roman"/>
                <w:sz w:val="24"/>
                <w:szCs w:val="24"/>
              </w:rPr>
              <w:t>，导致颗粒物</w:t>
            </w:r>
            <w:r>
              <w:rPr>
                <w:rFonts w:hint="eastAsia" w:ascii="Times New Roman" w:hAnsi="Times New Roman"/>
                <w:sz w:val="24"/>
                <w:szCs w:val="24"/>
                <w:lang w:eastAsia="zh-CN"/>
              </w:rPr>
              <w:t>、</w:t>
            </w:r>
            <w:r>
              <w:rPr>
                <w:rFonts w:hint="eastAsia" w:ascii="Times New Roman" w:hAnsi="Times New Roman"/>
                <w:sz w:val="24"/>
                <w:szCs w:val="24"/>
                <w:lang w:val="en-US" w:eastAsia="zh-CN"/>
              </w:rPr>
              <w:t>非甲烷总烃</w:t>
            </w:r>
            <w:r>
              <w:rPr>
                <w:rFonts w:hint="eastAsia" w:ascii="Times New Roman" w:hAnsi="Times New Roman"/>
                <w:sz w:val="24"/>
                <w:szCs w:val="24"/>
              </w:rPr>
              <w:t>未经处理就排放。</w:t>
            </w:r>
          </w:p>
          <w:p w14:paraId="7B2B72F4">
            <w:pPr>
              <w:pStyle w:val="21"/>
              <w:widowControl w:val="0"/>
              <w:autoSpaceDE w:val="0"/>
              <w:spacing w:before="0" w:beforeAutospacing="0" w:after="0" w:afterAutospacing="0" w:line="360" w:lineRule="auto"/>
              <w:ind w:firstLine="480" w:firstLineChars="200"/>
              <w:jc w:val="both"/>
              <w:textAlignment w:val="baseline"/>
              <w:rPr>
                <w:rFonts w:ascii="Times New Roman" w:hAnsi="Times New Roman"/>
                <w:sz w:val="24"/>
                <w:szCs w:val="24"/>
              </w:rPr>
            </w:pPr>
            <w:r>
              <w:rPr>
                <w:rFonts w:hint="eastAsia" w:ascii="Times New Roman" w:hAnsi="Times New Roman"/>
                <w:sz w:val="24"/>
                <w:szCs w:val="24"/>
              </w:rPr>
              <w:t>工生产线非正常工况排放情况如下表。</w:t>
            </w:r>
          </w:p>
          <w:p w14:paraId="6DDA7ED2">
            <w:pPr>
              <w:pStyle w:val="21"/>
              <w:widowControl w:val="0"/>
              <w:autoSpaceDE w:val="0"/>
              <w:spacing w:before="0" w:beforeAutospacing="0" w:after="0" w:afterAutospacing="0"/>
              <w:jc w:val="center"/>
              <w:textAlignment w:val="baseline"/>
              <w:rPr>
                <w:rFonts w:ascii="Times New Roman" w:hAnsi="Times New Roman"/>
                <w:b/>
                <w:bCs/>
                <w:sz w:val="21"/>
                <w:szCs w:val="21"/>
              </w:rPr>
            </w:pPr>
            <w:r>
              <w:rPr>
                <w:rFonts w:hint="eastAsia" w:ascii="Times New Roman" w:hAnsi="Times New Roman"/>
                <w:b/>
                <w:bCs/>
                <w:sz w:val="21"/>
                <w:szCs w:val="21"/>
              </w:rPr>
              <w:t>表4-8  污染源非正常排放量一览表</w:t>
            </w:r>
          </w:p>
          <w:tbl>
            <w:tblPr>
              <w:tblStyle w:val="24"/>
              <w:tblW w:w="4997"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587"/>
              <w:gridCol w:w="1221"/>
              <w:gridCol w:w="1550"/>
              <w:gridCol w:w="2021"/>
              <w:gridCol w:w="1444"/>
              <w:gridCol w:w="1307"/>
            </w:tblGrid>
            <w:tr w14:paraId="79C5726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869" w:type="pct"/>
                  <w:tcBorders>
                    <w:tl2br w:val="nil"/>
                    <w:tr2bl w:val="nil"/>
                  </w:tcBorders>
                  <w:noWrap/>
                  <w:vAlign w:val="center"/>
                </w:tcPr>
                <w:p w14:paraId="28F020A4">
                  <w:pPr>
                    <w:pStyle w:val="21"/>
                    <w:autoSpaceDE w:val="0"/>
                    <w:autoSpaceDN w:val="0"/>
                    <w:spacing w:before="0" w:beforeAutospacing="0" w:after="0" w:afterAutospacing="0"/>
                    <w:jc w:val="center"/>
                    <w:rPr>
                      <w:rFonts w:cs="宋体"/>
                      <w:b/>
                      <w:color w:val="000000"/>
                      <w:sz w:val="21"/>
                      <w:szCs w:val="21"/>
                    </w:rPr>
                  </w:pPr>
                  <w:r>
                    <w:rPr>
                      <w:rFonts w:hint="eastAsia" w:cs="宋体"/>
                      <w:b/>
                      <w:color w:val="000000"/>
                      <w:sz w:val="21"/>
                      <w:szCs w:val="21"/>
                    </w:rPr>
                    <w:t>非正常排放源</w:t>
                  </w:r>
                </w:p>
              </w:tc>
              <w:tc>
                <w:tcPr>
                  <w:tcW w:w="668" w:type="pct"/>
                  <w:tcBorders>
                    <w:tl2br w:val="nil"/>
                    <w:tr2bl w:val="nil"/>
                  </w:tcBorders>
                  <w:noWrap/>
                  <w:vAlign w:val="center"/>
                </w:tcPr>
                <w:p w14:paraId="43F1DE70">
                  <w:pPr>
                    <w:pStyle w:val="21"/>
                    <w:autoSpaceDE w:val="0"/>
                    <w:autoSpaceDN w:val="0"/>
                    <w:spacing w:before="0" w:beforeAutospacing="0" w:after="0" w:afterAutospacing="0"/>
                    <w:jc w:val="center"/>
                    <w:rPr>
                      <w:rFonts w:cs="宋体"/>
                      <w:b/>
                      <w:color w:val="000000"/>
                      <w:sz w:val="21"/>
                      <w:szCs w:val="21"/>
                    </w:rPr>
                  </w:pPr>
                  <w:r>
                    <w:rPr>
                      <w:rFonts w:hint="eastAsia" w:cs="宋体"/>
                      <w:b/>
                      <w:color w:val="000000"/>
                      <w:sz w:val="21"/>
                      <w:szCs w:val="21"/>
                    </w:rPr>
                    <w:t>污染物</w:t>
                  </w:r>
                </w:p>
              </w:tc>
              <w:tc>
                <w:tcPr>
                  <w:tcW w:w="848" w:type="pct"/>
                  <w:tcBorders>
                    <w:tl2br w:val="nil"/>
                    <w:tr2bl w:val="nil"/>
                  </w:tcBorders>
                  <w:noWrap/>
                  <w:vAlign w:val="center"/>
                </w:tcPr>
                <w:p w14:paraId="3ED486BF">
                  <w:pPr>
                    <w:pStyle w:val="21"/>
                    <w:autoSpaceDE w:val="0"/>
                    <w:autoSpaceDN w:val="0"/>
                    <w:spacing w:before="0" w:beforeAutospacing="0" w:after="0" w:afterAutospacing="0"/>
                    <w:jc w:val="center"/>
                    <w:rPr>
                      <w:rFonts w:cs="宋体"/>
                      <w:b/>
                      <w:color w:val="000000"/>
                      <w:sz w:val="21"/>
                      <w:szCs w:val="21"/>
                    </w:rPr>
                  </w:pPr>
                  <w:r>
                    <w:rPr>
                      <w:rFonts w:hint="eastAsia" w:cs="宋体"/>
                      <w:b/>
                      <w:color w:val="000000"/>
                      <w:sz w:val="21"/>
                      <w:szCs w:val="21"/>
                    </w:rPr>
                    <w:t>非正常排放浓度</w:t>
                  </w:r>
                  <w:r>
                    <w:rPr>
                      <w:rFonts w:ascii="Times New Roman" w:hAnsi="Times New Roman"/>
                      <w:b/>
                      <w:color w:val="000000"/>
                      <w:sz w:val="21"/>
                      <w:szCs w:val="21"/>
                    </w:rPr>
                    <w:t>mg/m</w:t>
                  </w:r>
                  <w:r>
                    <w:rPr>
                      <w:rFonts w:ascii="Times New Roman" w:hAnsi="Times New Roman"/>
                      <w:b/>
                      <w:color w:val="000000"/>
                      <w:sz w:val="21"/>
                      <w:szCs w:val="21"/>
                      <w:vertAlign w:val="superscript"/>
                    </w:rPr>
                    <w:t>3</w:t>
                  </w:r>
                </w:p>
              </w:tc>
              <w:tc>
                <w:tcPr>
                  <w:tcW w:w="1106" w:type="pct"/>
                  <w:tcBorders>
                    <w:tl2br w:val="nil"/>
                    <w:tr2bl w:val="nil"/>
                  </w:tcBorders>
                  <w:noWrap/>
                  <w:vAlign w:val="center"/>
                </w:tcPr>
                <w:p w14:paraId="182D0DE9">
                  <w:pPr>
                    <w:pStyle w:val="21"/>
                    <w:autoSpaceDE w:val="0"/>
                    <w:autoSpaceDN w:val="0"/>
                    <w:spacing w:before="0" w:beforeAutospacing="0" w:after="0" w:afterAutospacing="0"/>
                    <w:jc w:val="center"/>
                    <w:rPr>
                      <w:rFonts w:ascii="Times New Roman" w:cs="宋体"/>
                      <w:b/>
                      <w:color w:val="000000"/>
                      <w:sz w:val="21"/>
                      <w:szCs w:val="21"/>
                    </w:rPr>
                  </w:pPr>
                  <w:r>
                    <w:rPr>
                      <w:rFonts w:hint="eastAsia" w:cs="宋体"/>
                      <w:b/>
                      <w:color w:val="000000"/>
                      <w:sz w:val="21"/>
                      <w:szCs w:val="21"/>
                    </w:rPr>
                    <w:t>非正常排放速率</w:t>
                  </w:r>
                  <w:r>
                    <w:rPr>
                      <w:rFonts w:ascii="Times New Roman" w:cs="宋体"/>
                      <w:b/>
                      <w:color w:val="000000"/>
                      <w:sz w:val="21"/>
                      <w:szCs w:val="21"/>
                    </w:rPr>
                    <w:t>kg/h</w:t>
                  </w:r>
                </w:p>
              </w:tc>
              <w:tc>
                <w:tcPr>
                  <w:tcW w:w="790" w:type="pct"/>
                  <w:tcBorders>
                    <w:tl2br w:val="nil"/>
                    <w:tr2bl w:val="nil"/>
                  </w:tcBorders>
                  <w:noWrap/>
                  <w:vAlign w:val="center"/>
                </w:tcPr>
                <w:p w14:paraId="4539042B">
                  <w:pPr>
                    <w:pStyle w:val="21"/>
                    <w:autoSpaceDE w:val="0"/>
                    <w:autoSpaceDN w:val="0"/>
                    <w:spacing w:before="0" w:beforeAutospacing="0" w:after="0" w:afterAutospacing="0"/>
                    <w:jc w:val="center"/>
                    <w:rPr>
                      <w:rFonts w:cs="宋体"/>
                      <w:b/>
                      <w:color w:val="000000"/>
                      <w:sz w:val="21"/>
                      <w:szCs w:val="21"/>
                    </w:rPr>
                  </w:pPr>
                  <w:r>
                    <w:rPr>
                      <w:rFonts w:hint="eastAsia" w:cs="宋体"/>
                      <w:b/>
                      <w:color w:val="000000"/>
                      <w:sz w:val="21"/>
                      <w:szCs w:val="21"/>
                    </w:rPr>
                    <w:t>单次持续时间</w:t>
                  </w:r>
                </w:p>
              </w:tc>
              <w:tc>
                <w:tcPr>
                  <w:tcW w:w="715" w:type="pct"/>
                  <w:tcBorders>
                    <w:tl2br w:val="nil"/>
                    <w:tr2bl w:val="nil"/>
                  </w:tcBorders>
                  <w:noWrap/>
                  <w:vAlign w:val="center"/>
                </w:tcPr>
                <w:p w14:paraId="39B9FC54">
                  <w:pPr>
                    <w:pStyle w:val="21"/>
                    <w:autoSpaceDE w:val="0"/>
                    <w:autoSpaceDN w:val="0"/>
                    <w:spacing w:before="0" w:beforeAutospacing="0" w:after="0" w:afterAutospacing="0"/>
                    <w:jc w:val="center"/>
                    <w:rPr>
                      <w:rFonts w:cs="宋体"/>
                      <w:b/>
                      <w:color w:val="000000"/>
                      <w:sz w:val="21"/>
                      <w:szCs w:val="21"/>
                    </w:rPr>
                  </w:pPr>
                  <w:r>
                    <w:rPr>
                      <w:rFonts w:hint="eastAsia" w:cs="宋体"/>
                      <w:b/>
                      <w:color w:val="000000"/>
                      <w:sz w:val="21"/>
                      <w:szCs w:val="21"/>
                    </w:rPr>
                    <w:t>年发生频次</w:t>
                  </w:r>
                </w:p>
              </w:tc>
            </w:tr>
            <w:tr w14:paraId="1F06055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69" w:type="pct"/>
                  <w:tcBorders>
                    <w:tl2br w:val="nil"/>
                    <w:tr2bl w:val="nil"/>
                  </w:tcBorders>
                  <w:noWrap/>
                  <w:vAlign w:val="center"/>
                </w:tcPr>
                <w:p w14:paraId="3FF72DA5">
                  <w:pPr>
                    <w:jc w:val="center"/>
                    <w:rPr>
                      <w:rFonts w:hint="eastAsia" w:ascii="宋体" w:hAnsi="宋体" w:eastAsia="宋体" w:cs="宋体"/>
                      <w:color w:val="000000"/>
                      <w:kern w:val="0"/>
                      <w:lang w:val="en-US" w:eastAsia="zh-CN"/>
                    </w:rPr>
                  </w:pPr>
                  <w:r>
                    <w:rPr>
                      <w:rFonts w:hint="eastAsia"/>
                    </w:rPr>
                    <w:t>DA001</w:t>
                  </w:r>
                  <w:r>
                    <w:rPr>
                      <w:rFonts w:hint="eastAsia"/>
                      <w:lang w:val="en-US" w:eastAsia="zh-CN"/>
                    </w:rPr>
                    <w:t>-</w:t>
                  </w:r>
                  <w:r>
                    <w:rPr>
                      <w:rFonts w:hint="eastAsia"/>
                      <w:sz w:val="21"/>
                      <w:szCs w:val="21"/>
                    </w:rPr>
                    <w:t>DA00</w:t>
                  </w:r>
                  <w:r>
                    <w:rPr>
                      <w:rFonts w:hint="eastAsia"/>
                      <w:sz w:val="21"/>
                      <w:szCs w:val="21"/>
                      <w:lang w:val="en-US" w:eastAsia="zh-CN"/>
                    </w:rPr>
                    <w:t>6</w:t>
                  </w:r>
                </w:p>
              </w:tc>
              <w:tc>
                <w:tcPr>
                  <w:tcW w:w="668" w:type="pct"/>
                  <w:vMerge w:val="restart"/>
                  <w:tcBorders>
                    <w:tl2br w:val="nil"/>
                    <w:tr2bl w:val="nil"/>
                  </w:tcBorders>
                  <w:noWrap/>
                  <w:vAlign w:val="center"/>
                </w:tcPr>
                <w:p w14:paraId="69746F54">
                  <w:pPr>
                    <w:pStyle w:val="21"/>
                    <w:autoSpaceDE w:val="0"/>
                    <w:autoSpaceDN w:val="0"/>
                    <w:spacing w:before="0" w:beforeAutospacing="0" w:after="0" w:afterAutospacing="0"/>
                    <w:jc w:val="center"/>
                    <w:rPr>
                      <w:rFonts w:cs="宋体"/>
                      <w:color w:val="000000"/>
                      <w:sz w:val="21"/>
                      <w:szCs w:val="21"/>
                    </w:rPr>
                  </w:pPr>
                  <w:r>
                    <w:rPr>
                      <w:rFonts w:hint="eastAsia" w:cs="宋体"/>
                      <w:color w:val="000000"/>
                      <w:sz w:val="21"/>
                      <w:szCs w:val="21"/>
                    </w:rPr>
                    <w:t>粉尘</w:t>
                  </w:r>
                </w:p>
              </w:tc>
              <w:tc>
                <w:tcPr>
                  <w:tcW w:w="848" w:type="pct"/>
                  <w:tcBorders>
                    <w:tl2br w:val="nil"/>
                    <w:tr2bl w:val="nil"/>
                  </w:tcBorders>
                  <w:noWrap/>
                  <w:vAlign w:val="center"/>
                </w:tcPr>
                <w:p w14:paraId="3B029E7F">
                  <w:pPr>
                    <w:pStyle w:val="21"/>
                    <w:autoSpaceDE w:val="0"/>
                    <w:autoSpaceDN w:val="0"/>
                    <w:spacing w:before="0" w:beforeAutospacing="0" w:after="0" w:afterAutospacing="0"/>
                    <w:jc w:val="center"/>
                    <w:rPr>
                      <w:rFonts w:hint="default" w:ascii="Times New Roman" w:eastAsia="宋体" w:cs="宋体"/>
                      <w:sz w:val="21"/>
                      <w:szCs w:val="21"/>
                      <w:lang w:val="en-US" w:eastAsia="zh-CN"/>
                    </w:rPr>
                  </w:pPr>
                  <w:r>
                    <w:rPr>
                      <w:rFonts w:hint="eastAsia" w:ascii="Times New Roman" w:cs="宋体"/>
                      <w:sz w:val="21"/>
                      <w:szCs w:val="21"/>
                      <w:lang w:val="en-US" w:eastAsia="zh-CN"/>
                    </w:rPr>
                    <w:t>1183</w:t>
                  </w:r>
                </w:p>
              </w:tc>
              <w:tc>
                <w:tcPr>
                  <w:tcW w:w="1106" w:type="pct"/>
                  <w:tcBorders>
                    <w:tl2br w:val="nil"/>
                    <w:tr2bl w:val="nil"/>
                  </w:tcBorders>
                  <w:noWrap/>
                  <w:vAlign w:val="center"/>
                </w:tcPr>
                <w:p w14:paraId="0E561B84">
                  <w:pPr>
                    <w:pStyle w:val="21"/>
                    <w:autoSpaceDE w:val="0"/>
                    <w:autoSpaceDN w:val="0"/>
                    <w:spacing w:before="0" w:beforeAutospacing="0" w:after="0" w:afterAutospacing="0"/>
                    <w:jc w:val="center"/>
                    <w:rPr>
                      <w:rFonts w:hint="default" w:ascii="Times New Roman" w:eastAsia="宋体" w:cs="宋体"/>
                      <w:sz w:val="21"/>
                      <w:szCs w:val="21"/>
                      <w:lang w:val="en-US" w:eastAsia="zh-CN"/>
                    </w:rPr>
                  </w:pPr>
                  <w:r>
                    <w:rPr>
                      <w:rFonts w:hint="eastAsia" w:ascii="Times New Roman" w:cs="宋体"/>
                      <w:sz w:val="21"/>
                      <w:szCs w:val="21"/>
                    </w:rPr>
                    <w:t>1</w:t>
                  </w:r>
                  <w:r>
                    <w:rPr>
                      <w:rFonts w:hint="eastAsia" w:ascii="Times New Roman" w:cs="宋体"/>
                      <w:sz w:val="21"/>
                      <w:szCs w:val="21"/>
                      <w:lang w:val="en-US" w:eastAsia="zh-CN"/>
                    </w:rPr>
                    <w:t>1.8</w:t>
                  </w:r>
                </w:p>
              </w:tc>
              <w:tc>
                <w:tcPr>
                  <w:tcW w:w="790" w:type="pct"/>
                  <w:tcBorders>
                    <w:tl2br w:val="nil"/>
                    <w:tr2bl w:val="nil"/>
                  </w:tcBorders>
                  <w:noWrap/>
                  <w:vAlign w:val="center"/>
                </w:tcPr>
                <w:p w14:paraId="782D1D6F">
                  <w:pPr>
                    <w:pStyle w:val="21"/>
                    <w:autoSpaceDE w:val="0"/>
                    <w:autoSpaceDN w:val="0"/>
                    <w:spacing w:before="0" w:beforeAutospacing="0" w:after="0" w:afterAutospacing="0"/>
                    <w:jc w:val="center"/>
                    <w:rPr>
                      <w:rFonts w:ascii="Times New Roman" w:cs="宋体"/>
                      <w:sz w:val="21"/>
                      <w:szCs w:val="21"/>
                    </w:rPr>
                  </w:pPr>
                  <w:r>
                    <w:rPr>
                      <w:rFonts w:ascii="Times New Roman" w:cs="宋体"/>
                      <w:sz w:val="21"/>
                      <w:szCs w:val="21"/>
                    </w:rPr>
                    <w:t>1h</w:t>
                  </w:r>
                </w:p>
              </w:tc>
              <w:tc>
                <w:tcPr>
                  <w:tcW w:w="715" w:type="pct"/>
                  <w:tcBorders>
                    <w:tl2br w:val="nil"/>
                    <w:tr2bl w:val="nil"/>
                  </w:tcBorders>
                  <w:noWrap/>
                  <w:vAlign w:val="center"/>
                </w:tcPr>
                <w:p w14:paraId="502D89F7">
                  <w:pPr>
                    <w:pStyle w:val="21"/>
                    <w:autoSpaceDE w:val="0"/>
                    <w:autoSpaceDN w:val="0"/>
                    <w:spacing w:before="0" w:beforeAutospacing="0" w:after="0" w:afterAutospacing="0"/>
                    <w:jc w:val="center"/>
                    <w:rPr>
                      <w:rFonts w:cs="宋体"/>
                      <w:color w:val="000000"/>
                      <w:sz w:val="21"/>
                      <w:szCs w:val="21"/>
                    </w:rPr>
                  </w:pPr>
                  <w:r>
                    <w:rPr>
                      <w:rFonts w:ascii="Times New Roman" w:cs="宋体"/>
                      <w:color w:val="000000"/>
                      <w:sz w:val="21"/>
                      <w:szCs w:val="21"/>
                    </w:rPr>
                    <w:t>1</w:t>
                  </w:r>
                  <w:r>
                    <w:rPr>
                      <w:rFonts w:hint="eastAsia" w:cs="宋体"/>
                      <w:color w:val="000000"/>
                      <w:sz w:val="21"/>
                      <w:szCs w:val="21"/>
                    </w:rPr>
                    <w:t>次</w:t>
                  </w:r>
                  <w:r>
                    <w:rPr>
                      <w:rFonts w:ascii="Times New Roman" w:cs="宋体"/>
                      <w:color w:val="000000"/>
                      <w:sz w:val="21"/>
                      <w:szCs w:val="21"/>
                    </w:rPr>
                    <w:t>/</w:t>
                  </w:r>
                  <w:r>
                    <w:rPr>
                      <w:rFonts w:hint="eastAsia" w:cs="宋体"/>
                      <w:color w:val="000000"/>
                      <w:sz w:val="21"/>
                      <w:szCs w:val="21"/>
                    </w:rPr>
                    <w:t>年</w:t>
                  </w:r>
                </w:p>
              </w:tc>
            </w:tr>
            <w:tr w14:paraId="6D00334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69" w:type="pct"/>
                  <w:tcBorders>
                    <w:tl2br w:val="nil"/>
                    <w:tr2bl w:val="nil"/>
                  </w:tcBorders>
                  <w:noWrap/>
                  <w:vAlign w:val="center"/>
                </w:tcPr>
                <w:p w14:paraId="648E53F5">
                  <w:pPr>
                    <w:jc w:val="center"/>
                    <w:rPr>
                      <w:rFonts w:hint="eastAsia" w:eastAsia="宋体"/>
                      <w:lang w:eastAsia="zh-CN"/>
                    </w:rPr>
                  </w:pPr>
                  <w:r>
                    <w:rPr>
                      <w:rFonts w:hint="eastAsia"/>
                    </w:rPr>
                    <w:t>DA00</w:t>
                  </w:r>
                  <w:r>
                    <w:rPr>
                      <w:rFonts w:hint="eastAsia"/>
                      <w:lang w:val="en-US" w:eastAsia="zh-CN"/>
                    </w:rPr>
                    <w:t>7</w:t>
                  </w:r>
                </w:p>
              </w:tc>
              <w:tc>
                <w:tcPr>
                  <w:tcW w:w="668" w:type="pct"/>
                  <w:vMerge w:val="continue"/>
                  <w:tcBorders>
                    <w:tl2br w:val="nil"/>
                    <w:tr2bl w:val="nil"/>
                  </w:tcBorders>
                  <w:noWrap/>
                  <w:vAlign w:val="center"/>
                </w:tcPr>
                <w:p w14:paraId="640CC645">
                  <w:pPr>
                    <w:pStyle w:val="21"/>
                    <w:autoSpaceDE w:val="0"/>
                    <w:autoSpaceDN w:val="0"/>
                    <w:spacing w:before="0" w:beforeAutospacing="0" w:after="0" w:afterAutospacing="0"/>
                    <w:jc w:val="center"/>
                    <w:rPr>
                      <w:rFonts w:cs="宋体"/>
                      <w:color w:val="000000"/>
                      <w:sz w:val="21"/>
                      <w:szCs w:val="21"/>
                    </w:rPr>
                  </w:pPr>
                </w:p>
              </w:tc>
              <w:tc>
                <w:tcPr>
                  <w:tcW w:w="848" w:type="pct"/>
                  <w:tcBorders>
                    <w:tl2br w:val="nil"/>
                    <w:tr2bl w:val="nil"/>
                  </w:tcBorders>
                  <w:noWrap/>
                  <w:vAlign w:val="center"/>
                </w:tcPr>
                <w:p w14:paraId="4CC1D9D3">
                  <w:pPr>
                    <w:pStyle w:val="21"/>
                    <w:autoSpaceDE w:val="0"/>
                    <w:autoSpaceDN w:val="0"/>
                    <w:spacing w:before="0" w:beforeAutospacing="0" w:after="0" w:afterAutospacing="0"/>
                    <w:jc w:val="center"/>
                    <w:rPr>
                      <w:rFonts w:hint="default" w:ascii="Times New Roman" w:eastAsia="宋体" w:cs="宋体"/>
                      <w:sz w:val="21"/>
                      <w:szCs w:val="21"/>
                      <w:lang w:val="en-US" w:eastAsia="zh-CN"/>
                    </w:rPr>
                  </w:pPr>
                  <w:r>
                    <w:rPr>
                      <w:rFonts w:hint="eastAsia" w:ascii="Times New Roman" w:cs="宋体"/>
                      <w:sz w:val="21"/>
                      <w:szCs w:val="21"/>
                      <w:lang w:val="en-US" w:eastAsia="zh-CN"/>
                    </w:rPr>
                    <w:t>260.4</w:t>
                  </w:r>
                </w:p>
              </w:tc>
              <w:tc>
                <w:tcPr>
                  <w:tcW w:w="1106" w:type="pct"/>
                  <w:tcBorders>
                    <w:tl2br w:val="nil"/>
                    <w:tr2bl w:val="nil"/>
                  </w:tcBorders>
                  <w:noWrap/>
                  <w:vAlign w:val="center"/>
                </w:tcPr>
                <w:p w14:paraId="17A95A78">
                  <w:pPr>
                    <w:pStyle w:val="21"/>
                    <w:autoSpaceDE w:val="0"/>
                    <w:autoSpaceDN w:val="0"/>
                    <w:spacing w:before="0" w:beforeAutospacing="0" w:after="0" w:afterAutospacing="0"/>
                    <w:jc w:val="center"/>
                    <w:rPr>
                      <w:rFonts w:hint="default" w:ascii="Times New Roman" w:eastAsia="宋体" w:cs="宋体"/>
                      <w:sz w:val="21"/>
                      <w:szCs w:val="21"/>
                      <w:lang w:val="en-US" w:eastAsia="zh-CN"/>
                    </w:rPr>
                  </w:pPr>
                  <w:r>
                    <w:rPr>
                      <w:rFonts w:hint="eastAsia" w:ascii="Times New Roman" w:cs="宋体"/>
                      <w:sz w:val="21"/>
                      <w:szCs w:val="21"/>
                      <w:lang w:val="en-US" w:eastAsia="zh-CN"/>
                    </w:rPr>
                    <w:t>0.52</w:t>
                  </w:r>
                </w:p>
              </w:tc>
              <w:tc>
                <w:tcPr>
                  <w:tcW w:w="790" w:type="pct"/>
                  <w:tcBorders>
                    <w:tl2br w:val="nil"/>
                    <w:tr2bl w:val="nil"/>
                  </w:tcBorders>
                  <w:noWrap/>
                  <w:vAlign w:val="center"/>
                </w:tcPr>
                <w:p w14:paraId="6CD919DF">
                  <w:pPr>
                    <w:pStyle w:val="21"/>
                    <w:autoSpaceDE w:val="0"/>
                    <w:autoSpaceDN w:val="0"/>
                    <w:spacing w:before="0" w:beforeAutospacing="0" w:after="0" w:afterAutospacing="0"/>
                    <w:jc w:val="center"/>
                    <w:rPr>
                      <w:rFonts w:ascii="Times New Roman" w:cs="宋体"/>
                      <w:sz w:val="21"/>
                      <w:szCs w:val="21"/>
                    </w:rPr>
                  </w:pPr>
                  <w:r>
                    <w:rPr>
                      <w:rFonts w:ascii="Times New Roman" w:cs="宋体"/>
                      <w:sz w:val="21"/>
                      <w:szCs w:val="21"/>
                    </w:rPr>
                    <w:t>1h</w:t>
                  </w:r>
                </w:p>
              </w:tc>
              <w:tc>
                <w:tcPr>
                  <w:tcW w:w="715" w:type="pct"/>
                  <w:tcBorders>
                    <w:tl2br w:val="nil"/>
                    <w:tr2bl w:val="nil"/>
                  </w:tcBorders>
                  <w:noWrap/>
                  <w:vAlign w:val="center"/>
                </w:tcPr>
                <w:p w14:paraId="7BD97E83">
                  <w:pPr>
                    <w:pStyle w:val="21"/>
                    <w:autoSpaceDE w:val="0"/>
                    <w:autoSpaceDN w:val="0"/>
                    <w:spacing w:before="0" w:beforeAutospacing="0" w:after="0" w:afterAutospacing="0"/>
                    <w:jc w:val="center"/>
                    <w:rPr>
                      <w:rFonts w:ascii="Times New Roman" w:cs="宋体"/>
                      <w:color w:val="000000"/>
                      <w:sz w:val="21"/>
                      <w:szCs w:val="21"/>
                    </w:rPr>
                  </w:pPr>
                  <w:r>
                    <w:rPr>
                      <w:rFonts w:ascii="Times New Roman" w:cs="宋体"/>
                      <w:color w:val="000000"/>
                      <w:sz w:val="21"/>
                      <w:szCs w:val="21"/>
                    </w:rPr>
                    <w:t>1</w:t>
                  </w:r>
                  <w:r>
                    <w:rPr>
                      <w:rFonts w:hint="eastAsia" w:cs="宋体"/>
                      <w:color w:val="000000"/>
                      <w:sz w:val="21"/>
                      <w:szCs w:val="21"/>
                    </w:rPr>
                    <w:t>次</w:t>
                  </w:r>
                  <w:r>
                    <w:rPr>
                      <w:rFonts w:ascii="Times New Roman" w:cs="宋体"/>
                      <w:color w:val="000000"/>
                      <w:sz w:val="21"/>
                      <w:szCs w:val="21"/>
                    </w:rPr>
                    <w:t>/</w:t>
                  </w:r>
                  <w:r>
                    <w:rPr>
                      <w:rFonts w:hint="eastAsia" w:cs="宋体"/>
                      <w:color w:val="000000"/>
                      <w:sz w:val="21"/>
                      <w:szCs w:val="21"/>
                    </w:rPr>
                    <w:t>年</w:t>
                  </w:r>
                </w:p>
              </w:tc>
            </w:tr>
            <w:tr w14:paraId="68D08D3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69" w:type="pct"/>
                  <w:tcBorders>
                    <w:tl2br w:val="nil"/>
                    <w:tr2bl w:val="nil"/>
                  </w:tcBorders>
                  <w:noWrap/>
                  <w:vAlign w:val="center"/>
                </w:tcPr>
                <w:p w14:paraId="28FA12F7">
                  <w:pPr>
                    <w:jc w:val="center"/>
                    <w:rPr>
                      <w:rFonts w:hint="eastAsia" w:eastAsia="宋体"/>
                      <w:lang w:eastAsia="zh-CN"/>
                    </w:rPr>
                  </w:pPr>
                  <w:r>
                    <w:rPr>
                      <w:rFonts w:hint="eastAsia"/>
                    </w:rPr>
                    <w:t>DA00</w:t>
                  </w:r>
                  <w:r>
                    <w:rPr>
                      <w:rFonts w:hint="eastAsia"/>
                      <w:lang w:val="en-US" w:eastAsia="zh-CN"/>
                    </w:rPr>
                    <w:t>8</w:t>
                  </w:r>
                </w:p>
              </w:tc>
              <w:tc>
                <w:tcPr>
                  <w:tcW w:w="668" w:type="pct"/>
                  <w:tcBorders>
                    <w:tl2br w:val="nil"/>
                    <w:tr2bl w:val="nil"/>
                  </w:tcBorders>
                  <w:noWrap/>
                  <w:vAlign w:val="center"/>
                </w:tcPr>
                <w:p w14:paraId="61680FD8">
                  <w:pPr>
                    <w:jc w:val="center"/>
                    <w:rPr>
                      <w:rFonts w:hint="eastAsia" w:eastAsia="宋体" w:cs="宋体"/>
                      <w:color w:val="000000"/>
                      <w:lang w:eastAsia="zh-CN"/>
                    </w:rPr>
                  </w:pPr>
                  <w:r>
                    <w:rPr>
                      <w:rFonts w:hint="eastAsia"/>
                      <w:lang w:val="en-US" w:eastAsia="zh-CN"/>
                    </w:rPr>
                    <w:t>非甲烷总烃</w:t>
                  </w:r>
                </w:p>
              </w:tc>
              <w:tc>
                <w:tcPr>
                  <w:tcW w:w="848" w:type="pct"/>
                  <w:tcBorders>
                    <w:tl2br w:val="nil"/>
                    <w:tr2bl w:val="nil"/>
                  </w:tcBorders>
                  <w:noWrap/>
                  <w:vAlign w:val="center"/>
                </w:tcPr>
                <w:p w14:paraId="12140E41">
                  <w:pPr>
                    <w:pStyle w:val="21"/>
                    <w:autoSpaceDE w:val="0"/>
                    <w:autoSpaceDN w:val="0"/>
                    <w:spacing w:before="0" w:beforeAutospacing="0" w:after="0" w:afterAutospacing="0"/>
                    <w:ind w:left="118" w:right="91"/>
                    <w:jc w:val="center"/>
                    <w:rPr>
                      <w:rFonts w:hint="default" w:ascii="Times New Roman" w:eastAsia="宋体" w:cs="宋体"/>
                      <w:sz w:val="21"/>
                      <w:szCs w:val="21"/>
                      <w:lang w:val="en-US" w:eastAsia="zh-CN"/>
                    </w:rPr>
                  </w:pPr>
                  <w:r>
                    <w:rPr>
                      <w:rFonts w:hint="eastAsia" w:ascii="Times New Roman" w:cs="宋体"/>
                      <w:sz w:val="21"/>
                      <w:szCs w:val="21"/>
                      <w:lang w:val="en-US" w:eastAsia="zh-CN"/>
                    </w:rPr>
                    <w:t>156.25</w:t>
                  </w:r>
                </w:p>
              </w:tc>
              <w:tc>
                <w:tcPr>
                  <w:tcW w:w="1106" w:type="pct"/>
                  <w:tcBorders>
                    <w:tl2br w:val="nil"/>
                    <w:tr2bl w:val="nil"/>
                  </w:tcBorders>
                  <w:noWrap/>
                  <w:vAlign w:val="center"/>
                </w:tcPr>
                <w:p w14:paraId="16188213">
                  <w:pPr>
                    <w:pStyle w:val="21"/>
                    <w:autoSpaceDE w:val="0"/>
                    <w:autoSpaceDN w:val="0"/>
                    <w:spacing w:before="14" w:beforeAutospacing="0" w:after="0" w:afterAutospacing="0"/>
                    <w:ind w:left="162" w:right="136"/>
                    <w:jc w:val="center"/>
                    <w:rPr>
                      <w:rFonts w:hint="default" w:ascii="Times New Roman" w:eastAsia="宋体" w:cs="宋体"/>
                      <w:sz w:val="21"/>
                      <w:szCs w:val="21"/>
                      <w:lang w:val="en-US" w:eastAsia="zh-CN"/>
                    </w:rPr>
                  </w:pPr>
                  <w:r>
                    <w:rPr>
                      <w:rFonts w:hint="eastAsia" w:ascii="Times New Roman" w:cs="宋体"/>
                      <w:sz w:val="21"/>
                      <w:szCs w:val="21"/>
                      <w:lang w:val="en-US" w:eastAsia="zh-CN"/>
                    </w:rPr>
                    <w:t>0.08</w:t>
                  </w:r>
                </w:p>
              </w:tc>
              <w:tc>
                <w:tcPr>
                  <w:tcW w:w="790" w:type="pct"/>
                  <w:tcBorders>
                    <w:tl2br w:val="nil"/>
                    <w:tr2bl w:val="nil"/>
                  </w:tcBorders>
                  <w:noWrap/>
                  <w:vAlign w:val="center"/>
                </w:tcPr>
                <w:p w14:paraId="3377AA15">
                  <w:pPr>
                    <w:pStyle w:val="21"/>
                    <w:autoSpaceDE w:val="0"/>
                    <w:autoSpaceDN w:val="0"/>
                    <w:spacing w:before="14" w:beforeAutospacing="0" w:after="0" w:afterAutospacing="0"/>
                    <w:ind w:left="98" w:right="67"/>
                    <w:jc w:val="center"/>
                    <w:rPr>
                      <w:rFonts w:ascii="Times New Roman" w:cs="宋体"/>
                      <w:sz w:val="21"/>
                      <w:szCs w:val="21"/>
                    </w:rPr>
                  </w:pPr>
                  <w:r>
                    <w:rPr>
                      <w:rFonts w:ascii="Times New Roman" w:cs="宋体"/>
                      <w:sz w:val="21"/>
                      <w:szCs w:val="21"/>
                    </w:rPr>
                    <w:t>1h</w:t>
                  </w:r>
                </w:p>
              </w:tc>
              <w:tc>
                <w:tcPr>
                  <w:tcW w:w="715" w:type="pct"/>
                  <w:tcBorders>
                    <w:tl2br w:val="nil"/>
                    <w:tr2bl w:val="nil"/>
                  </w:tcBorders>
                  <w:noWrap/>
                  <w:vAlign w:val="center"/>
                </w:tcPr>
                <w:p w14:paraId="326F8CA0">
                  <w:pPr>
                    <w:pStyle w:val="21"/>
                    <w:autoSpaceDE w:val="0"/>
                    <w:autoSpaceDN w:val="0"/>
                    <w:spacing w:before="0" w:beforeAutospacing="0" w:after="0" w:afterAutospacing="0"/>
                    <w:jc w:val="center"/>
                    <w:rPr>
                      <w:rFonts w:ascii="Times New Roman" w:cs="宋体"/>
                      <w:color w:val="000000"/>
                      <w:sz w:val="21"/>
                      <w:szCs w:val="21"/>
                    </w:rPr>
                  </w:pPr>
                  <w:r>
                    <w:rPr>
                      <w:rFonts w:ascii="Times New Roman" w:cs="宋体"/>
                      <w:color w:val="000000"/>
                      <w:sz w:val="21"/>
                      <w:szCs w:val="21"/>
                    </w:rPr>
                    <w:t>1</w:t>
                  </w:r>
                  <w:r>
                    <w:rPr>
                      <w:rFonts w:hint="eastAsia" w:cs="宋体"/>
                      <w:color w:val="000000"/>
                      <w:sz w:val="21"/>
                      <w:szCs w:val="21"/>
                    </w:rPr>
                    <w:t>次</w:t>
                  </w:r>
                  <w:r>
                    <w:rPr>
                      <w:rFonts w:ascii="Times New Roman" w:cs="宋体"/>
                      <w:color w:val="000000"/>
                      <w:sz w:val="21"/>
                      <w:szCs w:val="21"/>
                    </w:rPr>
                    <w:t>/</w:t>
                  </w:r>
                  <w:r>
                    <w:rPr>
                      <w:rFonts w:hint="eastAsia" w:cs="宋体"/>
                      <w:color w:val="000000"/>
                      <w:sz w:val="21"/>
                      <w:szCs w:val="21"/>
                    </w:rPr>
                    <w:t>年</w:t>
                  </w:r>
                </w:p>
              </w:tc>
            </w:tr>
          </w:tbl>
          <w:p w14:paraId="76E9A063">
            <w:pPr>
              <w:pStyle w:val="21"/>
              <w:widowControl w:val="0"/>
              <w:autoSpaceDE w:val="0"/>
              <w:spacing w:before="0" w:beforeAutospacing="0" w:after="0" w:afterAutospacing="0" w:line="360" w:lineRule="auto"/>
              <w:ind w:firstLine="480" w:firstLineChars="200"/>
              <w:jc w:val="both"/>
              <w:textAlignment w:val="baseline"/>
              <w:rPr>
                <w:rFonts w:ascii="Times New Roman" w:hAnsi="Times New Roman"/>
                <w:sz w:val="24"/>
                <w:szCs w:val="24"/>
              </w:rPr>
            </w:pPr>
            <w:r>
              <w:rPr>
                <w:rFonts w:hint="eastAsia" w:ascii="Times New Roman" w:hAnsi="Times New Roman"/>
                <w:sz w:val="24"/>
                <w:szCs w:val="24"/>
              </w:rPr>
              <w:t>综上，非正常工况下，粉尘</w:t>
            </w:r>
            <w:r>
              <w:rPr>
                <w:rFonts w:hint="eastAsia" w:ascii="Times New Roman" w:hAnsi="Times New Roman"/>
                <w:sz w:val="24"/>
                <w:szCs w:val="24"/>
                <w:lang w:eastAsia="zh-CN"/>
              </w:rPr>
              <w:t>、</w:t>
            </w:r>
            <w:r>
              <w:rPr>
                <w:rFonts w:hint="eastAsia" w:ascii="Times New Roman" w:hAnsi="Times New Roman"/>
                <w:sz w:val="24"/>
                <w:szCs w:val="24"/>
                <w:lang w:val="en-US" w:eastAsia="zh-CN"/>
              </w:rPr>
              <w:t>非甲烷总烃</w:t>
            </w:r>
            <w:r>
              <w:rPr>
                <w:rFonts w:hint="eastAsia" w:ascii="Times New Roman" w:hAnsi="Times New Roman"/>
                <w:sz w:val="24"/>
                <w:szCs w:val="24"/>
              </w:rPr>
              <w:t>超标排放。为防止生产废气非正常工况排放，所以企业必须加强废气处理设施的管理，定期检修，确保环保设备正常运行，发生设备故障时及时维修，避免废气非正常排放污染环境。在废气处理设备停止运行或出现故障时，产生废气的各工序也必须相应停止生产。为杜绝废气非正常排放，应采取以下措施确保废气达标排放：</w:t>
            </w:r>
          </w:p>
          <w:p w14:paraId="364E497C">
            <w:pPr>
              <w:pStyle w:val="21"/>
              <w:widowControl w:val="0"/>
              <w:autoSpaceDE w:val="0"/>
              <w:spacing w:before="0" w:beforeAutospacing="0" w:after="0" w:afterAutospacing="0" w:line="360" w:lineRule="auto"/>
              <w:ind w:firstLine="480" w:firstLineChars="200"/>
              <w:jc w:val="both"/>
              <w:textAlignment w:val="baseline"/>
              <w:rPr>
                <w:rFonts w:ascii="Times New Roman" w:hAnsi="Times New Roman"/>
                <w:sz w:val="24"/>
                <w:szCs w:val="24"/>
              </w:rPr>
            </w:pPr>
            <w:r>
              <w:rPr>
                <w:rFonts w:hint="eastAsia" w:ascii="Times New Roman" w:hAnsi="Times New Roman"/>
                <w:sz w:val="24"/>
                <w:szCs w:val="24"/>
              </w:rPr>
              <w:t>①安排专人负责环保设备的日常维护和管理，每个固定时间检查、汇报情况，及时发现废气处理设备的隐患，确保废气处理系统正常运行；</w:t>
            </w:r>
          </w:p>
          <w:p w14:paraId="404CE80A">
            <w:pPr>
              <w:pStyle w:val="21"/>
              <w:widowControl w:val="0"/>
              <w:autoSpaceDE w:val="0"/>
              <w:spacing w:before="0" w:beforeAutospacing="0" w:after="0" w:afterAutospacing="0" w:line="360" w:lineRule="auto"/>
              <w:ind w:firstLine="480" w:firstLineChars="200"/>
              <w:jc w:val="both"/>
              <w:textAlignment w:val="baseline"/>
              <w:rPr>
                <w:rFonts w:ascii="Times New Roman" w:hAnsi="Times New Roman"/>
                <w:sz w:val="24"/>
                <w:szCs w:val="24"/>
              </w:rPr>
            </w:pPr>
            <w:r>
              <w:rPr>
                <w:rFonts w:hint="eastAsia" w:ascii="Times New Roman" w:hAnsi="Times New Roman"/>
                <w:sz w:val="24"/>
                <w:szCs w:val="24"/>
              </w:rPr>
              <w:t>②建立健全的环保管理机构，对环保管理人员和技术人员进行岗位培训，委托具有专业资质的环境检测单位对项目排放的各类污染物进行定期检测；</w:t>
            </w:r>
          </w:p>
          <w:p w14:paraId="686C9291">
            <w:pPr>
              <w:pStyle w:val="21"/>
              <w:pageBreakBefore w:val="0"/>
              <w:widowControl w:val="0"/>
              <w:kinsoku/>
              <w:wordWrap/>
              <w:overflowPunct/>
              <w:autoSpaceDE w:val="0"/>
              <w:autoSpaceDN/>
              <w:bidi w:val="0"/>
              <w:adjustRightInd/>
              <w:snapToGrid/>
              <w:spacing w:before="0" w:beforeAutospacing="0" w:after="0" w:afterAutospacing="0" w:line="360" w:lineRule="auto"/>
              <w:ind w:firstLine="480" w:firstLineChars="200"/>
              <w:jc w:val="both"/>
              <w:textAlignment w:val="baseline"/>
              <w:rPr>
                <w:rFonts w:ascii="Times New Roman" w:hAnsi="Times New Roman"/>
                <w:sz w:val="24"/>
                <w:szCs w:val="24"/>
              </w:rPr>
            </w:pPr>
            <w:r>
              <w:rPr>
                <w:rFonts w:hint="eastAsia" w:ascii="Times New Roman" w:hAnsi="Times New Roman"/>
                <w:sz w:val="24"/>
                <w:szCs w:val="24"/>
              </w:rPr>
              <w:t>③应定期维护、检修废气处理装置，以保持废气处理装置的净化能力。</w:t>
            </w:r>
          </w:p>
          <w:p w14:paraId="2E226F43">
            <w:pPr>
              <w:pStyle w:val="5"/>
              <w:pageBreakBefore w:val="0"/>
              <w:kinsoku/>
              <w:wordWrap/>
              <w:overflowPunct/>
              <w:autoSpaceDN/>
              <w:bidi w:val="0"/>
              <w:adjustRightInd/>
              <w:snapToGrid/>
              <w:ind w:firstLine="422"/>
              <w:rPr>
                <w:sz w:val="24"/>
                <w:szCs w:val="24"/>
              </w:rPr>
            </w:pPr>
            <w:r>
              <w:rPr>
                <w:sz w:val="24"/>
                <w:szCs w:val="24"/>
              </w:rPr>
              <w:t>1.</w:t>
            </w:r>
            <w:r>
              <w:rPr>
                <w:rFonts w:hint="eastAsia"/>
                <w:sz w:val="24"/>
                <w:szCs w:val="24"/>
              </w:rPr>
              <w:t>5废气治理设施可行性分析</w:t>
            </w:r>
          </w:p>
          <w:p w14:paraId="78B72537">
            <w:pPr>
              <w:pStyle w:val="36"/>
              <w:pageBreakBefore w:val="0"/>
              <w:kinsoku/>
              <w:wordWrap/>
              <w:overflowPunct/>
              <w:autoSpaceDN/>
              <w:bidi w:val="0"/>
              <w:adjustRightInd/>
              <w:snapToGrid/>
              <w:spacing w:after="0" w:line="360" w:lineRule="auto"/>
              <w:ind w:firstLine="480" w:firstLineChars="200"/>
              <w:jc w:val="both"/>
              <w:rPr>
                <w:snapToGrid w:val="0"/>
                <w:sz w:val="24"/>
                <w:szCs w:val="24"/>
              </w:rPr>
            </w:pPr>
            <w:r>
              <w:rPr>
                <w:rFonts w:hint="eastAsia" w:eastAsia="宋体"/>
                <w:sz w:val="24"/>
                <w:szCs w:val="24"/>
              </w:rPr>
              <w:t>1.5.1</w:t>
            </w:r>
            <w:r>
              <w:rPr>
                <w:rFonts w:hint="eastAsia" w:ascii="宋体" w:hAnsi="宋体" w:eastAsia="宋体" w:cs="宋体"/>
                <w:snapToGrid w:val="0"/>
                <w:sz w:val="24"/>
                <w:szCs w:val="24"/>
              </w:rPr>
              <w:t>废气防治措施</w:t>
            </w:r>
          </w:p>
          <w:p w14:paraId="2EFD91DB">
            <w:pPr>
              <w:pageBreakBefore w:val="0"/>
              <w:kinsoku/>
              <w:wordWrap/>
              <w:overflowPunct/>
              <w:topLinePunct/>
              <w:autoSpaceDN/>
              <w:bidi w:val="0"/>
              <w:adjustRightInd/>
              <w:snapToGrid/>
              <w:spacing w:line="360" w:lineRule="auto"/>
              <w:ind w:firstLine="480" w:firstLineChars="200"/>
              <w:rPr>
                <w:snapToGrid w:val="0"/>
                <w:kern w:val="0"/>
                <w:sz w:val="24"/>
                <w:szCs w:val="24"/>
              </w:rPr>
            </w:pPr>
            <w:r>
              <w:rPr>
                <w:rFonts w:hint="eastAsia"/>
                <w:snapToGrid w:val="0"/>
                <w:kern w:val="0"/>
                <w:sz w:val="24"/>
                <w:szCs w:val="24"/>
              </w:rPr>
              <w:t>（1）有组织粉尘</w:t>
            </w:r>
          </w:p>
          <w:p w14:paraId="788B4FAC">
            <w:pPr>
              <w:pStyle w:val="2"/>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textAlignment w:val="auto"/>
              <w:rPr>
                <w:rFonts w:hint="eastAsia"/>
                <w:kern w:val="0"/>
                <w:sz w:val="24"/>
                <w:szCs w:val="24"/>
              </w:rPr>
            </w:pPr>
            <w:r>
              <w:rPr>
                <w:rFonts w:hint="eastAsia"/>
                <w:kern w:val="0"/>
                <w:sz w:val="24"/>
                <w:szCs w:val="24"/>
              </w:rPr>
              <w:t>本项目</w:t>
            </w:r>
            <w:r>
              <w:rPr>
                <w:rFonts w:hint="eastAsia"/>
                <w:kern w:val="0"/>
                <w:sz w:val="24"/>
                <w:szCs w:val="24"/>
                <w:lang w:val="en-US" w:eastAsia="zh-CN"/>
              </w:rPr>
              <w:t>粉状原料筒仓</w:t>
            </w:r>
            <w:r>
              <w:rPr>
                <w:rFonts w:hint="eastAsia"/>
                <w:kern w:val="0"/>
                <w:sz w:val="24"/>
                <w:szCs w:val="24"/>
              </w:rPr>
              <w:t>产生的有组织粉尘由</w:t>
            </w:r>
            <w:r>
              <w:rPr>
                <w:rFonts w:hint="eastAsia"/>
                <w:kern w:val="0"/>
                <w:sz w:val="24"/>
                <w:szCs w:val="24"/>
                <w:lang w:val="en-US" w:eastAsia="zh-CN"/>
              </w:rPr>
              <w:t>筒仓自带</w:t>
            </w:r>
            <w:r>
              <w:rPr>
                <w:rFonts w:hint="eastAsia"/>
                <w:kern w:val="0"/>
                <w:sz w:val="24"/>
                <w:szCs w:val="24"/>
              </w:rPr>
              <w:t>除尘器处理后</w:t>
            </w:r>
            <w:r>
              <w:rPr>
                <w:rFonts w:hint="eastAsia"/>
                <w:kern w:val="0"/>
                <w:sz w:val="24"/>
                <w:szCs w:val="24"/>
                <w:lang w:val="en-US" w:eastAsia="zh-CN"/>
              </w:rPr>
              <w:t>高空</w:t>
            </w:r>
            <w:r>
              <w:rPr>
                <w:rFonts w:hint="eastAsia"/>
                <w:sz w:val="24"/>
                <w:szCs w:val="24"/>
              </w:rPr>
              <w:t>（DA0</w:t>
            </w:r>
            <w:r>
              <w:rPr>
                <w:rFonts w:hint="eastAsia" w:ascii="Times New Roman" w:hAnsi="Times New Roman" w:eastAsia="宋体" w:cs="Times New Roman"/>
                <w:kern w:val="0"/>
                <w:sz w:val="24"/>
                <w:szCs w:val="24"/>
                <w:lang w:val="en-US" w:eastAsia="zh-CN"/>
              </w:rPr>
              <w:t>01-DA006）</w:t>
            </w:r>
            <w:r>
              <w:rPr>
                <w:rFonts w:hint="eastAsia"/>
                <w:sz w:val="24"/>
                <w:szCs w:val="24"/>
                <w:lang w:val="en-US" w:eastAsia="zh-CN"/>
              </w:rPr>
              <w:t>排放</w:t>
            </w:r>
            <w:r>
              <w:rPr>
                <w:rFonts w:hint="eastAsia"/>
                <w:kern w:val="0"/>
                <w:sz w:val="24"/>
                <w:szCs w:val="24"/>
                <w:lang w:eastAsia="zh-CN"/>
              </w:rPr>
              <w:t>；</w:t>
            </w:r>
            <w:r>
              <w:rPr>
                <w:rFonts w:hint="eastAsia"/>
                <w:sz w:val="24"/>
                <w:szCs w:val="24"/>
                <w:lang w:val="en-US" w:eastAsia="zh-CN"/>
              </w:rPr>
              <w:t>打磨</w:t>
            </w:r>
            <w:r>
              <w:rPr>
                <w:rFonts w:hint="eastAsia"/>
                <w:kern w:val="0"/>
                <w:sz w:val="24"/>
                <w:szCs w:val="24"/>
              </w:rPr>
              <w:t>产生的有组织粉尘由集气罩收集并经过布袋除尘器处理后通过15m排气筒</w:t>
            </w:r>
            <w:r>
              <w:rPr>
                <w:rFonts w:hint="eastAsia"/>
                <w:sz w:val="24"/>
                <w:szCs w:val="24"/>
              </w:rPr>
              <w:t>（DA00</w:t>
            </w:r>
            <w:r>
              <w:rPr>
                <w:rFonts w:hint="eastAsia"/>
                <w:sz w:val="24"/>
                <w:szCs w:val="24"/>
                <w:lang w:val="en-US" w:eastAsia="zh-CN"/>
              </w:rPr>
              <w:t>7</w:t>
            </w:r>
            <w:r>
              <w:rPr>
                <w:rFonts w:hint="eastAsia"/>
                <w:sz w:val="24"/>
                <w:szCs w:val="24"/>
              </w:rPr>
              <w:t>）</w:t>
            </w:r>
            <w:r>
              <w:rPr>
                <w:rFonts w:hint="eastAsia"/>
                <w:kern w:val="0"/>
                <w:sz w:val="24"/>
                <w:szCs w:val="24"/>
              </w:rPr>
              <w:t>达标排放</w:t>
            </w:r>
            <w:r>
              <w:rPr>
                <w:rFonts w:hint="eastAsia"/>
                <w:kern w:val="0"/>
                <w:sz w:val="24"/>
                <w:szCs w:val="24"/>
                <w:lang w:eastAsia="zh-CN"/>
              </w:rPr>
              <w:t>，</w:t>
            </w:r>
            <w:r>
              <w:rPr>
                <w:rFonts w:hint="eastAsia" w:ascii="Times New Roman" w:hAnsi="Times New Roman" w:eastAsia="宋体" w:cs="Times New Roman"/>
                <w:color w:val="auto"/>
                <w:kern w:val="0"/>
                <w:sz w:val="24"/>
                <w:szCs w:val="24"/>
                <w:lang w:val="en-US" w:eastAsia="zh-CN" w:bidi="ar"/>
              </w:rPr>
              <w:t>能够</w:t>
            </w:r>
            <w:r>
              <w:rPr>
                <w:rFonts w:hint="eastAsia"/>
                <w:color w:val="auto"/>
                <w:sz w:val="24"/>
                <w:szCs w:val="24"/>
                <w:lang w:val="en-US" w:eastAsia="zh-CN"/>
              </w:rPr>
              <w:t>满足</w:t>
            </w:r>
            <w:r>
              <w:rPr>
                <w:color w:val="auto"/>
                <w:sz w:val="24"/>
                <w:szCs w:val="24"/>
              </w:rPr>
              <w:t>《</w:t>
            </w:r>
            <w:r>
              <w:rPr>
                <w:rFonts w:hint="eastAsia"/>
                <w:color w:val="auto"/>
                <w:sz w:val="24"/>
                <w:szCs w:val="24"/>
              </w:rPr>
              <w:t>水泥工业</w:t>
            </w:r>
            <w:r>
              <w:rPr>
                <w:rFonts w:hint="eastAsia"/>
                <w:color w:val="auto"/>
                <w:sz w:val="24"/>
                <w:szCs w:val="24"/>
                <w:lang w:val="en-US" w:eastAsia="zh-CN"/>
              </w:rPr>
              <w:t>大气</w:t>
            </w:r>
            <w:r>
              <w:rPr>
                <w:color w:val="auto"/>
                <w:sz w:val="24"/>
                <w:szCs w:val="24"/>
              </w:rPr>
              <w:t>污染物排放标准》</w:t>
            </w:r>
            <w:r>
              <w:rPr>
                <w:rFonts w:ascii="Times New Roman" w:hAnsi="Times New Roman" w:eastAsia="宋体" w:cs="Times New Roman"/>
                <w:color w:val="auto"/>
                <w:kern w:val="0"/>
                <w:sz w:val="24"/>
                <w:szCs w:val="24"/>
              </w:rPr>
              <w:t>（</w:t>
            </w:r>
            <w:r>
              <w:rPr>
                <w:rFonts w:hint="eastAsia"/>
                <w:color w:val="auto"/>
                <w:sz w:val="24"/>
                <w:szCs w:val="24"/>
              </w:rPr>
              <w:t>GB4915</w:t>
            </w:r>
            <w:r>
              <w:rPr>
                <w:color w:val="auto"/>
                <w:sz w:val="24"/>
                <w:szCs w:val="24"/>
              </w:rPr>
              <w:t>-2013</w:t>
            </w:r>
            <w:r>
              <w:rPr>
                <w:rFonts w:ascii="Times New Roman" w:hAnsi="Times New Roman" w:eastAsia="宋体" w:cs="Times New Roman"/>
                <w:color w:val="auto"/>
                <w:kern w:val="0"/>
                <w:sz w:val="24"/>
                <w:szCs w:val="24"/>
              </w:rPr>
              <w:t>）</w:t>
            </w:r>
            <w:r>
              <w:rPr>
                <w:rFonts w:hint="eastAsia" w:cs="Times New Roman"/>
                <w:color w:val="auto"/>
                <w:kern w:val="0"/>
                <w:sz w:val="24"/>
                <w:szCs w:val="24"/>
                <w:lang w:val="en-US" w:eastAsia="zh-CN"/>
              </w:rPr>
              <w:t>表1排放标准</w:t>
            </w:r>
            <w:r>
              <w:rPr>
                <w:rFonts w:hint="eastAsia"/>
                <w:kern w:val="0"/>
                <w:sz w:val="24"/>
                <w:szCs w:val="24"/>
              </w:rPr>
              <w:t>；</w:t>
            </w:r>
          </w:p>
          <w:p w14:paraId="68E9BCF6">
            <w:pPr>
              <w:pStyle w:val="2"/>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textAlignment w:val="auto"/>
              <w:rPr>
                <w:rFonts w:hint="eastAsia" w:ascii="Times New Roman" w:hAnsi="Times New Roman" w:cs="Times New Roman"/>
                <w:b w:val="0"/>
                <w:bCs w:val="0"/>
                <w:color w:val="000000" w:themeColor="text1"/>
                <w:sz w:val="24"/>
                <w:lang w:val="en-US" w:eastAsia="zh-CN"/>
              </w:rPr>
            </w:pPr>
            <w:r>
              <w:rPr>
                <w:rFonts w:hint="eastAsia" w:ascii="Times New Roman" w:hAnsi="Times New Roman" w:cs="Times New Roman"/>
                <w:b w:val="0"/>
                <w:bCs w:val="0"/>
                <w:color w:val="000000" w:themeColor="text1"/>
                <w:sz w:val="24"/>
                <w:lang w:val="en-US" w:eastAsia="zh-CN"/>
              </w:rPr>
              <w:t>项目</w:t>
            </w:r>
            <w:r>
              <w:rPr>
                <w:rFonts w:hint="eastAsia" w:cs="Times New Roman"/>
                <w:b w:val="0"/>
                <w:bCs w:val="0"/>
                <w:color w:val="000000" w:themeColor="text1"/>
                <w:sz w:val="24"/>
                <w:lang w:val="en-US" w:eastAsia="zh-CN"/>
              </w:rPr>
              <w:t>产生的</w:t>
            </w:r>
            <w:r>
              <w:rPr>
                <w:rFonts w:hint="eastAsia" w:ascii="Times New Roman" w:hAnsi="Times New Roman" w:cs="Times New Roman"/>
                <w:b w:val="0"/>
                <w:bCs w:val="0"/>
                <w:color w:val="000000" w:themeColor="text1"/>
                <w:sz w:val="24"/>
                <w:lang w:val="en-US" w:eastAsia="zh-CN"/>
              </w:rPr>
              <w:t>挥发性有机物采用的“</w:t>
            </w:r>
            <w:r>
              <w:rPr>
                <w:rFonts w:hint="eastAsia" w:cs="Times New Roman"/>
                <w:b w:val="0"/>
                <w:bCs w:val="0"/>
                <w:color w:val="000000" w:themeColor="text1"/>
                <w:sz w:val="24"/>
                <w:lang w:val="en-US" w:eastAsia="zh-CN"/>
              </w:rPr>
              <w:t>二级</w:t>
            </w:r>
            <w:r>
              <w:rPr>
                <w:rFonts w:hint="eastAsia" w:ascii="Times New Roman" w:hAnsi="Times New Roman" w:cs="Times New Roman"/>
                <w:b w:val="0"/>
                <w:bCs w:val="0"/>
                <w:color w:val="000000" w:themeColor="text1"/>
                <w:sz w:val="24"/>
                <w:lang w:val="en-US" w:eastAsia="zh-CN"/>
              </w:rPr>
              <w:t>活性炭吸附”装置，其原理为当有机废气污染物质通过装有吸附剂的吸附器时，通过活性炭吸附剂大比表面积和多孔结构对污染物的物理吸附来实现净化废气的目的，可处理含有低浓度的碳氢化合物和低温废气，已广泛应用于医药、化工和食品等工业，技术成熟可靠。</w:t>
            </w:r>
          </w:p>
          <w:p w14:paraId="03D1F36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eastAsiaTheme="minorEastAsia"/>
                <w:color w:val="auto"/>
                <w:kern w:val="0"/>
                <w:sz w:val="24"/>
                <w:szCs w:val="24"/>
                <w:vertAlign w:val="baseline"/>
                <w:lang w:val="en-US" w:eastAsia="zh-CN" w:bidi="ar"/>
              </w:rPr>
            </w:pPr>
            <w:r>
              <w:rPr>
                <w:rFonts w:hint="eastAsia" w:ascii="Times New Roman" w:hAnsi="Times New Roman" w:eastAsia="宋体" w:cs="Times New Roman"/>
                <w:color w:val="auto"/>
                <w:kern w:val="0"/>
                <w:sz w:val="24"/>
                <w:szCs w:val="24"/>
                <w:lang w:val="en-US" w:eastAsia="zh-CN" w:bidi="ar"/>
              </w:rPr>
              <w:t>本项目</w:t>
            </w:r>
            <w:r>
              <w:rPr>
                <w:rFonts w:hint="eastAsia"/>
                <w:sz w:val="24"/>
                <w:szCs w:val="24"/>
                <w:lang w:val="en-US" w:eastAsia="zh-CN"/>
              </w:rPr>
              <w:t>钢钎防腐处理工序使用的羧基丁苯胶乳在浸渍过程中产生的有机废气集气罩收集经二级活性炭装置处理</w:t>
            </w:r>
            <w:r>
              <w:rPr>
                <w:rFonts w:hint="eastAsia" w:cs="Times New Roman"/>
                <w:color w:val="auto"/>
                <w:kern w:val="0"/>
                <w:sz w:val="24"/>
                <w:szCs w:val="24"/>
                <w:lang w:val="en-US" w:eastAsia="zh-CN" w:bidi="ar"/>
              </w:rPr>
              <w:t>后</w:t>
            </w:r>
            <w:r>
              <w:rPr>
                <w:rFonts w:hint="eastAsia" w:ascii="Times New Roman" w:hAnsi="Times New Roman"/>
                <w:color w:val="auto"/>
                <w:sz w:val="24"/>
                <w:szCs w:val="24"/>
              </w:rPr>
              <w:t>通过</w:t>
            </w:r>
            <w:r>
              <w:rPr>
                <w:rFonts w:hint="eastAsia"/>
                <w:color w:val="auto"/>
                <w:sz w:val="24"/>
                <w:szCs w:val="24"/>
                <w:lang w:val="en-US" w:eastAsia="zh-CN"/>
              </w:rPr>
              <w:t>15</w:t>
            </w:r>
            <w:r>
              <w:rPr>
                <w:rFonts w:hint="eastAsia" w:ascii="Times New Roman" w:hAnsi="Times New Roman"/>
                <w:color w:val="auto"/>
                <w:sz w:val="24"/>
                <w:szCs w:val="24"/>
              </w:rPr>
              <w:t>m高的</w:t>
            </w:r>
            <w:r>
              <w:rPr>
                <w:rFonts w:hint="eastAsia" w:ascii="Times New Roman" w:hAnsi="Times New Roman"/>
                <w:color w:val="auto"/>
                <w:sz w:val="24"/>
                <w:szCs w:val="24"/>
                <w:lang w:val="en-US" w:eastAsia="zh-CN"/>
              </w:rPr>
              <w:t>排气筒</w:t>
            </w:r>
            <w:r>
              <w:rPr>
                <w:rFonts w:hint="eastAsia" w:cs="Times New Roman"/>
                <w:color w:val="auto"/>
                <w:sz w:val="24"/>
                <w:szCs w:val="24"/>
                <w:vertAlign w:val="baseline"/>
                <w:lang w:val="en-US" w:eastAsia="zh-CN"/>
              </w:rPr>
              <w:t>（DA008）</w:t>
            </w:r>
            <w:r>
              <w:rPr>
                <w:rFonts w:hint="eastAsia" w:ascii="Times New Roman" w:hAnsi="Times New Roman" w:eastAsia="宋体" w:cs="Times New Roman"/>
                <w:color w:val="auto"/>
                <w:kern w:val="0"/>
                <w:sz w:val="24"/>
                <w:szCs w:val="24"/>
                <w:lang w:val="en-US" w:eastAsia="zh-CN" w:bidi="ar"/>
              </w:rPr>
              <w:t>达标排放</w:t>
            </w:r>
            <w:r>
              <w:rPr>
                <w:rFonts w:hint="eastAsia" w:cs="Times New Roman"/>
                <w:color w:val="auto"/>
                <w:kern w:val="0"/>
                <w:sz w:val="24"/>
                <w:szCs w:val="24"/>
                <w:lang w:val="en-US" w:eastAsia="zh-CN" w:bidi="ar"/>
              </w:rPr>
              <w:t>，</w:t>
            </w:r>
            <w:r>
              <w:rPr>
                <w:rFonts w:hint="eastAsia" w:ascii="Times New Roman" w:hAnsi="Times New Roman" w:eastAsia="宋体" w:cs="Times New Roman"/>
                <w:color w:val="auto"/>
                <w:kern w:val="0"/>
                <w:sz w:val="24"/>
                <w:szCs w:val="24"/>
                <w:lang w:val="en-US" w:eastAsia="zh-CN" w:bidi="ar"/>
              </w:rPr>
              <w:t>能够</w:t>
            </w:r>
            <w:r>
              <w:rPr>
                <w:rFonts w:hint="eastAsia"/>
                <w:color w:val="auto"/>
                <w:sz w:val="24"/>
                <w:szCs w:val="24"/>
                <w:lang w:val="en-US" w:eastAsia="zh-CN"/>
              </w:rPr>
              <w:t>满足</w:t>
            </w:r>
            <w:r>
              <w:rPr>
                <w:rFonts w:hint="default" w:ascii="Times New Roman" w:hAnsi="Times New Roman" w:eastAsia="宋体" w:cs="Times New Roman"/>
                <w:color w:val="auto"/>
                <w:spacing w:val="0"/>
                <w:kern w:val="0"/>
                <w:position w:val="0"/>
                <w:sz w:val="24"/>
                <w:szCs w:val="24"/>
                <w:highlight w:val="none"/>
                <w:lang w:val="en-US" w:eastAsia="zh-CN"/>
              </w:rPr>
              <w:t>《合成树脂工业污染物排放标准》</w:t>
            </w:r>
            <w:r>
              <w:rPr>
                <w:rFonts w:hint="eastAsia" w:cs="Times New Roman"/>
                <w:b w:val="0"/>
                <w:bCs w:val="0"/>
                <w:color w:val="000000" w:themeColor="text1"/>
                <w:sz w:val="24"/>
                <w:lang w:val="en-US" w:eastAsia="zh-CN"/>
              </w:rPr>
              <w:t>（含2024年修改单）</w:t>
            </w:r>
            <w:r>
              <w:rPr>
                <w:rFonts w:hint="default" w:ascii="Times New Roman" w:hAnsi="Times New Roman" w:eastAsia="宋体" w:cs="Times New Roman"/>
                <w:color w:val="auto"/>
                <w:spacing w:val="0"/>
                <w:kern w:val="0"/>
                <w:position w:val="0"/>
                <w:sz w:val="24"/>
                <w:szCs w:val="24"/>
                <w:highlight w:val="none"/>
                <w:lang w:val="en-US" w:eastAsia="zh-CN"/>
              </w:rPr>
              <w:t>（GB31572-2015）中表</w:t>
            </w:r>
            <w:r>
              <w:rPr>
                <w:rFonts w:hint="eastAsia" w:cs="Times New Roman"/>
                <w:color w:val="auto"/>
                <w:spacing w:val="0"/>
                <w:kern w:val="0"/>
                <w:position w:val="0"/>
                <w:sz w:val="24"/>
                <w:szCs w:val="24"/>
                <w:highlight w:val="none"/>
                <w:lang w:val="en-US" w:eastAsia="zh-CN"/>
              </w:rPr>
              <w:t>4</w:t>
            </w:r>
            <w:r>
              <w:rPr>
                <w:rFonts w:hint="default" w:ascii="Times New Roman" w:hAnsi="Times New Roman" w:eastAsia="宋体" w:cs="Times New Roman"/>
                <w:color w:val="auto"/>
                <w:spacing w:val="0"/>
                <w:kern w:val="0"/>
                <w:position w:val="0"/>
                <w:sz w:val="24"/>
                <w:szCs w:val="24"/>
                <w:highlight w:val="none"/>
                <w:lang w:val="en-US" w:eastAsia="zh-CN"/>
              </w:rPr>
              <w:t>大气污染物排放限值</w:t>
            </w:r>
            <w:r>
              <w:rPr>
                <w:rFonts w:hint="eastAsia" w:ascii="宋体" w:hAnsi="宋体" w:eastAsia="宋体" w:cs="宋体"/>
                <w:color w:val="auto"/>
                <w:kern w:val="0"/>
                <w:sz w:val="24"/>
                <w:szCs w:val="24"/>
                <w:vertAlign w:val="baseline"/>
                <w:lang w:val="en-US" w:eastAsia="zh-CN" w:bidi="ar"/>
              </w:rPr>
              <w:t>。</w:t>
            </w:r>
          </w:p>
          <w:p w14:paraId="15E1F87C">
            <w:pPr>
              <w:pStyle w:val="36"/>
              <w:keepNext w:val="0"/>
              <w:keepLines w:val="0"/>
              <w:pageBreakBefore w:val="0"/>
              <w:kinsoku/>
              <w:wordWrap/>
              <w:overflowPunct/>
              <w:autoSpaceDE/>
              <w:autoSpaceDN/>
              <w:bidi w:val="0"/>
              <w:adjustRightInd/>
              <w:snapToGrid/>
              <w:spacing w:after="0" w:line="360" w:lineRule="auto"/>
              <w:ind w:firstLine="480" w:firstLineChars="200"/>
              <w:jc w:val="both"/>
              <w:textAlignment w:val="auto"/>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w:t>
            </w:r>
            <w:r>
              <w:rPr>
                <w:rFonts w:eastAsia="宋体"/>
                <w:snapToGrid w:val="0"/>
                <w:color w:val="auto"/>
                <w:sz w:val="24"/>
                <w:szCs w:val="24"/>
              </w:rPr>
              <w:t>2</w:t>
            </w:r>
            <w:r>
              <w:rPr>
                <w:rFonts w:hint="eastAsia" w:ascii="宋体" w:hAnsi="宋体" w:eastAsia="宋体" w:cs="宋体"/>
                <w:snapToGrid w:val="0"/>
                <w:color w:val="auto"/>
                <w:sz w:val="24"/>
                <w:szCs w:val="24"/>
              </w:rPr>
              <w:t>）无组织粉尘</w:t>
            </w:r>
          </w:p>
          <w:p w14:paraId="1679715D">
            <w:pPr>
              <w:keepNext w:val="0"/>
              <w:keepLines w:val="0"/>
              <w:pageBreakBefore w:val="0"/>
              <w:kinsoku/>
              <w:wordWrap/>
              <w:overflowPunct/>
              <w:topLinePunct/>
              <w:autoSpaceDE/>
              <w:autoSpaceDN/>
              <w:bidi w:val="0"/>
              <w:adjustRightInd/>
              <w:snapToGrid/>
              <w:spacing w:line="360" w:lineRule="auto"/>
              <w:ind w:firstLine="480" w:firstLineChars="200"/>
              <w:textAlignment w:val="auto"/>
              <w:rPr>
                <w:snapToGrid w:val="0"/>
                <w:color w:val="auto"/>
                <w:kern w:val="0"/>
                <w:sz w:val="24"/>
                <w:szCs w:val="24"/>
              </w:rPr>
            </w:pPr>
            <w:r>
              <w:rPr>
                <w:rFonts w:hint="eastAsia"/>
                <w:color w:val="auto"/>
                <w:sz w:val="24"/>
                <w:szCs w:val="24"/>
              </w:rPr>
              <w:t>①</w:t>
            </w:r>
            <w:r>
              <w:rPr>
                <w:rFonts w:hint="eastAsia"/>
                <w:snapToGrid w:val="0"/>
                <w:color w:val="auto"/>
                <w:kern w:val="0"/>
                <w:sz w:val="24"/>
                <w:szCs w:val="24"/>
              </w:rPr>
              <w:t>传输过程中产尘节点密闭。</w:t>
            </w:r>
          </w:p>
          <w:p w14:paraId="55FE8479">
            <w:pPr>
              <w:keepNext w:val="0"/>
              <w:keepLines w:val="0"/>
              <w:pageBreakBefore w:val="0"/>
              <w:kinsoku/>
              <w:wordWrap/>
              <w:overflowPunct/>
              <w:topLinePunct/>
              <w:autoSpaceDE/>
              <w:autoSpaceDN/>
              <w:bidi w:val="0"/>
              <w:adjustRightInd/>
              <w:snapToGrid/>
              <w:spacing w:line="360" w:lineRule="auto"/>
              <w:ind w:firstLine="480" w:firstLineChars="200"/>
              <w:textAlignment w:val="auto"/>
              <w:rPr>
                <w:snapToGrid w:val="0"/>
                <w:color w:val="auto"/>
                <w:kern w:val="0"/>
                <w:sz w:val="24"/>
                <w:szCs w:val="24"/>
              </w:rPr>
            </w:pPr>
            <w:r>
              <w:rPr>
                <w:rFonts w:hint="eastAsia"/>
                <w:color w:val="auto"/>
                <w:sz w:val="24"/>
                <w:szCs w:val="24"/>
              </w:rPr>
              <w:t>②</w:t>
            </w:r>
            <w:r>
              <w:rPr>
                <w:rFonts w:hint="eastAsia"/>
                <w:snapToGrid w:val="0"/>
                <w:color w:val="auto"/>
                <w:kern w:val="0"/>
                <w:sz w:val="24"/>
                <w:szCs w:val="24"/>
              </w:rPr>
              <w:t>生产车间厂房建设为全封闭结构。</w:t>
            </w:r>
          </w:p>
          <w:p w14:paraId="249FC3A7">
            <w:pPr>
              <w:keepNext w:val="0"/>
              <w:keepLines w:val="0"/>
              <w:pageBreakBefore w:val="0"/>
              <w:kinsoku/>
              <w:wordWrap/>
              <w:overflowPunct/>
              <w:topLinePunct/>
              <w:autoSpaceDE/>
              <w:autoSpaceDN/>
              <w:bidi w:val="0"/>
              <w:adjustRightInd/>
              <w:snapToGrid/>
              <w:spacing w:line="360" w:lineRule="auto"/>
              <w:ind w:firstLine="480" w:firstLineChars="200"/>
              <w:textAlignment w:val="auto"/>
              <w:rPr>
                <w:snapToGrid w:val="0"/>
                <w:color w:val="auto"/>
                <w:kern w:val="0"/>
                <w:sz w:val="24"/>
                <w:szCs w:val="24"/>
              </w:rPr>
            </w:pPr>
            <w:r>
              <w:rPr>
                <w:rFonts w:hint="eastAsia"/>
                <w:color w:val="auto"/>
                <w:sz w:val="24"/>
                <w:szCs w:val="24"/>
              </w:rPr>
              <w:t>③</w:t>
            </w:r>
            <w:r>
              <w:rPr>
                <w:rFonts w:hint="eastAsia"/>
                <w:snapToGrid w:val="0"/>
                <w:color w:val="auto"/>
                <w:kern w:val="0"/>
                <w:sz w:val="24"/>
                <w:szCs w:val="24"/>
              </w:rPr>
              <w:t>厂区道路通过硬化、洒水等方式降低粉尘排放。</w:t>
            </w:r>
          </w:p>
          <w:p w14:paraId="2CD046B6">
            <w:pPr>
              <w:keepNext w:val="0"/>
              <w:keepLines w:val="0"/>
              <w:pageBreakBefore w:val="0"/>
              <w:kinsoku/>
              <w:wordWrap/>
              <w:overflowPunct/>
              <w:topLinePunct/>
              <w:autoSpaceDE/>
              <w:autoSpaceDN/>
              <w:bidi w:val="0"/>
              <w:adjustRightInd/>
              <w:snapToGrid/>
              <w:spacing w:line="360" w:lineRule="auto"/>
              <w:ind w:firstLine="480" w:firstLineChars="200"/>
              <w:textAlignment w:val="auto"/>
              <w:rPr>
                <w:snapToGrid w:val="0"/>
                <w:color w:val="auto"/>
                <w:kern w:val="0"/>
                <w:sz w:val="24"/>
                <w:szCs w:val="24"/>
              </w:rPr>
            </w:pPr>
            <w:r>
              <w:rPr>
                <w:rFonts w:hint="eastAsia" w:ascii="宋体" w:hAnsi="宋体" w:cs="宋体"/>
                <w:snapToGrid w:val="0"/>
                <w:color w:val="auto"/>
                <w:kern w:val="0"/>
                <w:sz w:val="24"/>
                <w:szCs w:val="24"/>
              </w:rPr>
              <w:t>④</w:t>
            </w:r>
            <w:r>
              <w:rPr>
                <w:rFonts w:hint="eastAsia"/>
                <w:snapToGrid w:val="0"/>
                <w:color w:val="auto"/>
                <w:kern w:val="0"/>
                <w:sz w:val="24"/>
                <w:szCs w:val="24"/>
              </w:rPr>
              <w:t>全封闭式原料库，作业工人须按要求操作。</w:t>
            </w:r>
          </w:p>
          <w:p w14:paraId="73A5B9F8">
            <w:pPr>
              <w:keepNext w:val="0"/>
              <w:keepLines w:val="0"/>
              <w:pageBreakBefore w:val="0"/>
              <w:kinsoku/>
              <w:wordWrap/>
              <w:overflowPunct/>
              <w:topLinePunct/>
              <w:autoSpaceDE/>
              <w:autoSpaceDN/>
              <w:bidi w:val="0"/>
              <w:adjustRightInd/>
              <w:snapToGrid/>
              <w:spacing w:line="360" w:lineRule="auto"/>
              <w:ind w:firstLine="480" w:firstLineChars="200"/>
              <w:textAlignment w:val="auto"/>
              <w:rPr>
                <w:rFonts w:hint="eastAsia"/>
                <w:snapToGrid w:val="0"/>
                <w:color w:val="auto"/>
                <w:kern w:val="0"/>
                <w:sz w:val="24"/>
                <w:szCs w:val="24"/>
              </w:rPr>
            </w:pPr>
            <w:r>
              <w:rPr>
                <w:rFonts w:hint="eastAsia" w:ascii="宋体" w:hAnsi="宋体" w:cs="宋体"/>
                <w:snapToGrid w:val="0"/>
                <w:color w:val="auto"/>
                <w:kern w:val="0"/>
                <w:sz w:val="24"/>
                <w:szCs w:val="24"/>
              </w:rPr>
              <w:t>⑤</w:t>
            </w:r>
            <w:r>
              <w:rPr>
                <w:snapToGrid w:val="0"/>
                <w:color w:val="auto"/>
                <w:kern w:val="0"/>
                <w:sz w:val="24"/>
                <w:szCs w:val="24"/>
              </w:rPr>
              <w:t>建设单位应做好布袋除尘器粉尘的收集工作，禁止随处堆放，在风天气下造成二次污染。</w:t>
            </w:r>
          </w:p>
          <w:p w14:paraId="694676B3">
            <w:pPr>
              <w:pStyle w:val="36"/>
              <w:pageBreakBefore w:val="0"/>
              <w:kinsoku/>
              <w:wordWrap/>
              <w:overflowPunct/>
              <w:autoSpaceDN/>
              <w:bidi w:val="0"/>
              <w:adjustRightInd/>
              <w:snapToGrid/>
              <w:spacing w:after="0" w:line="360" w:lineRule="auto"/>
              <w:ind w:firstLine="480" w:firstLineChars="200"/>
              <w:contextualSpacing/>
              <w:jc w:val="both"/>
              <w:rPr>
                <w:color w:val="auto"/>
                <w:sz w:val="24"/>
                <w:szCs w:val="24"/>
              </w:rPr>
            </w:pPr>
            <w:r>
              <w:rPr>
                <w:rFonts w:hAnsi="宋体" w:eastAsia="宋体"/>
                <w:color w:val="auto"/>
                <w:sz w:val="24"/>
                <w:szCs w:val="24"/>
              </w:rPr>
              <w:t>⑥</w:t>
            </w:r>
            <w:r>
              <w:rPr>
                <w:rFonts w:hint="eastAsia" w:asciiTheme="minorEastAsia" w:hAnsiTheme="minorEastAsia" w:eastAsiaTheme="minorEastAsia"/>
                <w:color w:val="auto"/>
                <w:kern w:val="2"/>
                <w:sz w:val="24"/>
                <w:szCs w:val="24"/>
              </w:rPr>
              <w:t>操作工</w:t>
            </w:r>
            <w:r>
              <w:rPr>
                <w:rFonts w:hint="eastAsia" w:asciiTheme="minorEastAsia" w:hAnsiTheme="minorEastAsia" w:eastAsiaTheme="minorEastAsia"/>
                <w:color w:val="auto"/>
                <w:sz w:val="24"/>
                <w:szCs w:val="24"/>
              </w:rPr>
              <w:t>人佩戴防尘面罩，并定期打扫车间，减轻粉尘</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非甲烷总烃</w:t>
            </w:r>
            <w:r>
              <w:rPr>
                <w:rFonts w:hint="eastAsia" w:asciiTheme="minorEastAsia" w:hAnsiTheme="minorEastAsia" w:eastAsiaTheme="minorEastAsia"/>
                <w:color w:val="auto"/>
                <w:sz w:val="24"/>
                <w:szCs w:val="24"/>
              </w:rPr>
              <w:t>的影响。</w:t>
            </w:r>
          </w:p>
          <w:p w14:paraId="2DB79EC6">
            <w:pPr>
              <w:pStyle w:val="36"/>
              <w:pageBreakBefore w:val="0"/>
              <w:kinsoku/>
              <w:wordWrap/>
              <w:overflowPunct/>
              <w:autoSpaceDN/>
              <w:bidi w:val="0"/>
              <w:adjustRightInd/>
              <w:snapToGrid/>
              <w:spacing w:after="0" w:line="360" w:lineRule="auto"/>
              <w:ind w:firstLine="480" w:firstLineChars="200"/>
              <w:jc w:val="both"/>
              <w:rPr>
                <w:rFonts w:eastAsia="宋体"/>
                <w:sz w:val="24"/>
                <w:szCs w:val="24"/>
              </w:rPr>
            </w:pPr>
            <w:r>
              <w:rPr>
                <w:rFonts w:hint="eastAsia" w:eastAsia="宋体"/>
                <w:sz w:val="24"/>
                <w:szCs w:val="24"/>
              </w:rPr>
              <w:t>布袋</w:t>
            </w:r>
            <w:r>
              <w:rPr>
                <w:rFonts w:eastAsia="宋体"/>
                <w:sz w:val="24"/>
                <w:szCs w:val="24"/>
              </w:rPr>
              <w:t>除尘器是一种干式滤尘装置</w:t>
            </w:r>
            <w:r>
              <w:rPr>
                <w:rFonts w:hint="eastAsia" w:eastAsia="宋体"/>
                <w:sz w:val="24"/>
                <w:szCs w:val="24"/>
              </w:rPr>
              <w:t>，</w:t>
            </w:r>
            <w:r>
              <w:rPr>
                <w:rFonts w:eastAsia="宋体"/>
                <w:sz w:val="24"/>
                <w:szCs w:val="24"/>
              </w:rPr>
              <w:t>它适用于捕集细小、干燥、非纤维性粉尘。滤袋采用纺织的滤布或非纺织的毡制成，利用纤维织物的过滤作用对含尘气体进行过滤，当含尘气体进入袋式除尘器后，颗粒大、比重大的粉尘，由于重力的作用沉降下来，落入灰斗，含有较细小粉尘的气体在通过滤料时，粉尘被阻留，使气体得到净化。</w:t>
            </w:r>
          </w:p>
          <w:p w14:paraId="1D11732F">
            <w:pPr>
              <w:pStyle w:val="36"/>
              <w:pageBreakBefore w:val="0"/>
              <w:kinsoku/>
              <w:wordWrap/>
              <w:overflowPunct/>
              <w:autoSpaceDN/>
              <w:bidi w:val="0"/>
              <w:adjustRightInd/>
              <w:snapToGrid/>
              <w:spacing w:after="0" w:line="360" w:lineRule="auto"/>
              <w:ind w:firstLine="480" w:firstLineChars="200"/>
              <w:jc w:val="both"/>
              <w:rPr>
                <w:rFonts w:eastAsia="宋体"/>
                <w:sz w:val="24"/>
                <w:szCs w:val="24"/>
              </w:rPr>
            </w:pPr>
            <w:r>
              <w:rPr>
                <w:rFonts w:hint="eastAsia" w:eastAsia="宋体"/>
                <w:sz w:val="24"/>
                <w:szCs w:val="24"/>
              </w:rPr>
              <w:t>布袋除尘器特点：</w:t>
            </w:r>
          </w:p>
          <w:p w14:paraId="64C1FE67">
            <w:pPr>
              <w:pStyle w:val="36"/>
              <w:pageBreakBefore w:val="0"/>
              <w:kinsoku/>
              <w:wordWrap/>
              <w:overflowPunct/>
              <w:autoSpaceDN/>
              <w:bidi w:val="0"/>
              <w:adjustRightInd/>
              <w:snapToGrid/>
              <w:spacing w:after="0" w:line="360" w:lineRule="auto"/>
              <w:ind w:firstLine="480" w:firstLineChars="200"/>
              <w:jc w:val="both"/>
              <w:rPr>
                <w:rFonts w:eastAsia="宋体"/>
                <w:sz w:val="24"/>
                <w:szCs w:val="24"/>
              </w:rPr>
            </w:pPr>
            <w:r>
              <w:rPr>
                <w:rFonts w:eastAsia="宋体"/>
                <w:sz w:val="24"/>
                <w:szCs w:val="24"/>
              </w:rPr>
              <w:t>除尘效率高，对亚微米粒径的细尘有较高的分级效率</w:t>
            </w:r>
            <w:r>
              <w:rPr>
                <w:rFonts w:hint="eastAsia" w:eastAsia="宋体"/>
                <w:sz w:val="24"/>
                <w:szCs w:val="24"/>
              </w:rPr>
              <w:t>；</w:t>
            </w:r>
            <w:r>
              <w:rPr>
                <w:rFonts w:eastAsia="宋体"/>
                <w:sz w:val="24"/>
                <w:szCs w:val="24"/>
              </w:rPr>
              <w:t>处理风量的范围广，用于工业炉窑的烟气除尘，减少大气污染物的排放</w:t>
            </w:r>
            <w:r>
              <w:rPr>
                <w:rFonts w:hint="eastAsia" w:eastAsia="宋体"/>
                <w:sz w:val="24"/>
                <w:szCs w:val="24"/>
              </w:rPr>
              <w:t>；</w:t>
            </w:r>
            <w:r>
              <w:rPr>
                <w:rFonts w:eastAsia="宋体"/>
                <w:sz w:val="24"/>
                <w:szCs w:val="24"/>
              </w:rPr>
              <w:t>结构简单，维护操作方便</w:t>
            </w:r>
            <w:r>
              <w:rPr>
                <w:rFonts w:hint="eastAsia" w:eastAsia="宋体"/>
                <w:sz w:val="24"/>
                <w:szCs w:val="24"/>
              </w:rPr>
              <w:t>；</w:t>
            </w:r>
            <w:r>
              <w:rPr>
                <w:rFonts w:eastAsia="宋体"/>
                <w:sz w:val="24"/>
                <w:szCs w:val="24"/>
              </w:rPr>
              <w:t>在保证同样高除尘效率的前提下，造价低于电除尘器</w:t>
            </w:r>
            <w:r>
              <w:rPr>
                <w:rFonts w:hint="eastAsia" w:eastAsia="宋体"/>
                <w:sz w:val="24"/>
                <w:szCs w:val="24"/>
              </w:rPr>
              <w:t>；</w:t>
            </w:r>
            <w:r>
              <w:rPr>
                <w:rFonts w:eastAsia="宋体"/>
                <w:sz w:val="24"/>
                <w:szCs w:val="24"/>
              </w:rPr>
              <w:t>对粉尘的特性不敏感，不受粉尘及电阻的影响。</w:t>
            </w:r>
          </w:p>
          <w:p w14:paraId="3BCBBBFC">
            <w:pPr>
              <w:pStyle w:val="36"/>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综上，本项目</w:t>
            </w:r>
            <w:r>
              <w:rPr>
                <w:rFonts w:hint="default" w:ascii="Times New Roman" w:hAnsi="Times New Roman" w:eastAsia="宋体" w:cs="Times New Roman"/>
                <w:snapToGrid w:val="0"/>
                <w:sz w:val="24"/>
                <w:szCs w:val="24"/>
              </w:rPr>
              <w:t>采取措施后厂界无组织</w:t>
            </w:r>
            <w:r>
              <w:rPr>
                <w:rFonts w:hint="default" w:ascii="Times New Roman" w:hAnsi="Times New Roman" w:eastAsia="宋体" w:cs="Times New Roman"/>
                <w:snapToGrid w:val="0"/>
                <w:sz w:val="24"/>
                <w:szCs w:val="24"/>
                <w:lang w:val="en-US" w:eastAsia="zh-CN"/>
              </w:rPr>
              <w:t>粉尘</w:t>
            </w:r>
            <w:r>
              <w:rPr>
                <w:rFonts w:hint="default" w:ascii="Times New Roman" w:hAnsi="Times New Roman" w:eastAsia="宋体" w:cs="Times New Roman"/>
                <w:snapToGrid w:val="0"/>
                <w:sz w:val="24"/>
                <w:szCs w:val="24"/>
              </w:rPr>
              <w:t>排放可满足</w:t>
            </w:r>
            <w:r>
              <w:rPr>
                <w:rFonts w:hint="default" w:ascii="Times New Roman" w:hAnsi="Times New Roman" w:eastAsia="宋体" w:cs="Times New Roman"/>
                <w:color w:val="auto"/>
                <w:sz w:val="24"/>
                <w:szCs w:val="24"/>
              </w:rPr>
              <w:t>《水泥工业</w:t>
            </w:r>
            <w:r>
              <w:rPr>
                <w:rFonts w:hint="default" w:ascii="Times New Roman" w:hAnsi="Times New Roman" w:eastAsia="宋体" w:cs="Times New Roman"/>
                <w:color w:val="auto"/>
                <w:sz w:val="24"/>
                <w:szCs w:val="24"/>
                <w:lang w:val="en-US" w:eastAsia="zh-CN"/>
              </w:rPr>
              <w:t>大气</w:t>
            </w:r>
            <w:r>
              <w:rPr>
                <w:rFonts w:hint="default" w:ascii="Times New Roman" w:hAnsi="Times New Roman" w:eastAsia="宋体" w:cs="Times New Roman"/>
                <w:color w:val="auto"/>
                <w:sz w:val="24"/>
                <w:szCs w:val="24"/>
              </w:rPr>
              <w:t>污染物排放标准》</w:t>
            </w: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color w:val="auto"/>
                <w:sz w:val="24"/>
                <w:szCs w:val="24"/>
              </w:rPr>
              <w:t>GB4915-2013</w:t>
            </w: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color w:val="auto"/>
                <w:kern w:val="2"/>
                <w:sz w:val="24"/>
                <w:szCs w:val="24"/>
                <w:lang w:val="en-US" w:eastAsia="zh-CN" w:bidi="ar"/>
              </w:rPr>
              <w:t>中无组织排放浓度限值</w:t>
            </w:r>
            <w:r>
              <w:rPr>
                <w:rFonts w:hint="default" w:ascii="Times New Roman" w:hAnsi="Times New Roman" w:eastAsia="宋体" w:cs="Times New Roman"/>
                <w:kern w:val="2"/>
                <w:sz w:val="24"/>
                <w:szCs w:val="24"/>
              </w:rPr>
              <w:t>的要求</w:t>
            </w:r>
            <w:r>
              <w:rPr>
                <w:rFonts w:hint="default" w:ascii="Times New Roman" w:hAnsi="Times New Roman" w:eastAsia="宋体" w:cs="Times New Roman"/>
                <w:sz w:val="24"/>
                <w:szCs w:val="24"/>
              </w:rPr>
              <w:t>。</w:t>
            </w:r>
          </w:p>
          <w:p w14:paraId="53CF67EF">
            <w:pPr>
              <w:pStyle w:val="4"/>
              <w:rPr>
                <w:sz w:val="24"/>
                <w:szCs w:val="24"/>
              </w:rPr>
            </w:pPr>
            <w:r>
              <w:rPr>
                <w:sz w:val="24"/>
                <w:szCs w:val="24"/>
              </w:rPr>
              <w:t>2</w:t>
            </w:r>
            <w:r>
              <w:rPr>
                <w:rFonts w:hint="eastAsia"/>
                <w:sz w:val="24"/>
                <w:szCs w:val="24"/>
              </w:rPr>
              <w:t>.</w:t>
            </w:r>
            <w:r>
              <w:rPr>
                <w:sz w:val="24"/>
                <w:szCs w:val="24"/>
              </w:rPr>
              <w:t>水环境影响分析</w:t>
            </w:r>
          </w:p>
          <w:p w14:paraId="4635F607">
            <w:pPr>
              <w:pStyle w:val="5"/>
              <w:ind w:firstLine="422"/>
              <w:rPr>
                <w:sz w:val="24"/>
                <w:szCs w:val="24"/>
              </w:rPr>
            </w:pPr>
            <w:r>
              <w:rPr>
                <w:sz w:val="24"/>
                <w:szCs w:val="24"/>
              </w:rPr>
              <w:t>2.1废水污染物排放情况</w:t>
            </w:r>
          </w:p>
          <w:p w14:paraId="7C78E9CD">
            <w:pPr>
              <w:topLinePunct/>
              <w:spacing w:line="360" w:lineRule="auto"/>
              <w:ind w:firstLine="480" w:firstLineChars="200"/>
              <w:textAlignment w:val="baseline"/>
              <w:rPr>
                <w:sz w:val="24"/>
                <w:szCs w:val="24"/>
              </w:rPr>
            </w:pPr>
            <w:r>
              <w:rPr>
                <w:sz w:val="24"/>
                <w:szCs w:val="24"/>
              </w:rPr>
              <w:t>本项目用水主要</w:t>
            </w:r>
            <w:r>
              <w:rPr>
                <w:rFonts w:hint="eastAsia"/>
                <w:sz w:val="24"/>
                <w:szCs w:val="24"/>
              </w:rPr>
              <w:t>为</w:t>
            </w:r>
            <w:r>
              <w:rPr>
                <w:rFonts w:hint="eastAsia"/>
                <w:sz w:val="24"/>
                <w:szCs w:val="24"/>
                <w:lang w:val="en-US" w:eastAsia="zh-CN"/>
              </w:rPr>
              <w:t>生产用水和</w:t>
            </w:r>
            <w:r>
              <w:rPr>
                <w:sz w:val="24"/>
                <w:szCs w:val="24"/>
              </w:rPr>
              <w:t>少量生活用水。</w:t>
            </w:r>
          </w:p>
          <w:p w14:paraId="1A28FD72">
            <w:pPr>
              <w:topLinePunct/>
              <w:spacing w:line="360" w:lineRule="auto"/>
              <w:ind w:firstLine="480" w:firstLineChars="200"/>
              <w:textAlignment w:val="baseline"/>
              <w:rPr>
                <w:sz w:val="24"/>
                <w:szCs w:val="24"/>
              </w:rPr>
            </w:pPr>
            <w:r>
              <w:rPr>
                <w:sz w:val="24"/>
                <w:szCs w:val="24"/>
              </w:rPr>
              <w:t>（1）生产废水影响分析</w:t>
            </w:r>
          </w:p>
          <w:p w14:paraId="79A48195">
            <w:pPr>
              <w:autoSpaceDE w:val="0"/>
              <w:autoSpaceDN w:val="0"/>
              <w:spacing w:line="360" w:lineRule="auto"/>
              <w:ind w:firstLine="480" w:firstLineChars="200"/>
              <w:textAlignment w:val="baseline"/>
              <w:rPr>
                <w:sz w:val="24"/>
                <w:szCs w:val="24"/>
              </w:rPr>
            </w:pPr>
            <w:r>
              <w:rPr>
                <w:rFonts w:hint="eastAsia"/>
                <w:sz w:val="24"/>
                <w:szCs w:val="24"/>
              </w:rPr>
              <w:t>本项目生产</w:t>
            </w:r>
            <w:r>
              <w:rPr>
                <w:rFonts w:hint="eastAsia"/>
                <w:sz w:val="24"/>
                <w:szCs w:val="24"/>
                <w:lang w:val="en-US" w:eastAsia="zh-CN"/>
              </w:rPr>
              <w:t>用水全部进入产品，无生产废水产生</w:t>
            </w:r>
            <w:r>
              <w:rPr>
                <w:sz w:val="24"/>
                <w:szCs w:val="24"/>
              </w:rPr>
              <w:t>。</w:t>
            </w:r>
          </w:p>
          <w:p w14:paraId="6947376D">
            <w:pPr>
              <w:autoSpaceDE w:val="0"/>
              <w:autoSpaceDN w:val="0"/>
              <w:spacing w:line="360" w:lineRule="auto"/>
              <w:ind w:firstLine="480" w:firstLineChars="200"/>
              <w:textAlignment w:val="baseline"/>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sz w:val="24"/>
                <w:szCs w:val="24"/>
              </w:rPr>
              <w:t>生活污水影响分析</w:t>
            </w:r>
          </w:p>
          <w:p w14:paraId="7BB316DD">
            <w:pPr>
              <w:topLinePunct/>
              <w:spacing w:line="360" w:lineRule="auto"/>
              <w:ind w:firstLine="480" w:firstLineChars="200"/>
              <w:textAlignment w:val="baseline"/>
              <w:rPr>
                <w:bCs/>
                <w:sz w:val="24"/>
                <w:szCs w:val="24"/>
              </w:rPr>
            </w:pPr>
            <w:r>
              <w:rPr>
                <w:snapToGrid w:val="0"/>
                <w:kern w:val="0"/>
                <w:sz w:val="24"/>
                <w:szCs w:val="24"/>
              </w:rPr>
              <w:t>项目生活污水主要为厂区职工日常生活产生的污水，</w:t>
            </w:r>
            <w:r>
              <w:rPr>
                <w:sz w:val="24"/>
                <w:szCs w:val="24"/>
              </w:rPr>
              <w:t>主要污染物为COD</w:t>
            </w:r>
            <w:r>
              <w:rPr>
                <w:sz w:val="24"/>
                <w:szCs w:val="24"/>
                <w:vertAlign w:val="subscript"/>
              </w:rPr>
              <w:t>Cr</w:t>
            </w:r>
            <w:r>
              <w:rPr>
                <w:sz w:val="24"/>
                <w:szCs w:val="24"/>
              </w:rPr>
              <w:t>、BOD</w:t>
            </w:r>
            <w:r>
              <w:rPr>
                <w:sz w:val="24"/>
                <w:szCs w:val="24"/>
                <w:vertAlign w:val="subscript"/>
              </w:rPr>
              <w:t>5</w:t>
            </w:r>
            <w:r>
              <w:rPr>
                <w:sz w:val="24"/>
                <w:szCs w:val="24"/>
              </w:rPr>
              <w:t>、SS、氨氮等，水质较为简单，不含有毒害物质</w:t>
            </w:r>
            <w:r>
              <w:rPr>
                <w:rFonts w:hint="eastAsia"/>
                <w:sz w:val="24"/>
                <w:szCs w:val="24"/>
              </w:rPr>
              <w:t>，</w:t>
            </w:r>
            <w:r>
              <w:rPr>
                <w:sz w:val="24"/>
                <w:szCs w:val="24"/>
              </w:rPr>
              <w:t>污染物易于降解。</w:t>
            </w:r>
          </w:p>
          <w:p w14:paraId="7B8FFEB5">
            <w:pPr>
              <w:spacing w:line="360" w:lineRule="auto"/>
              <w:ind w:firstLine="480" w:firstLineChars="200"/>
              <w:rPr>
                <w:rFonts w:hint="eastAsia" w:eastAsia="宋体"/>
                <w:sz w:val="24"/>
                <w:szCs w:val="24"/>
                <w:lang w:eastAsia="zh-CN"/>
              </w:rPr>
            </w:pPr>
            <w:r>
              <w:rPr>
                <w:rFonts w:hint="eastAsia"/>
                <w:sz w:val="24"/>
                <w:szCs w:val="24"/>
              </w:rPr>
              <w:t>由前文分析可知，本项目生活用水量为1</w:t>
            </w:r>
            <w:r>
              <w:rPr>
                <w:rFonts w:hint="eastAsia"/>
                <w:sz w:val="24"/>
                <w:szCs w:val="24"/>
                <w:lang w:val="en-US" w:eastAsia="zh-CN"/>
              </w:rPr>
              <w:t>272</w:t>
            </w:r>
            <w:r>
              <w:rPr>
                <w:rFonts w:hint="eastAsia"/>
                <w:sz w:val="24"/>
                <w:szCs w:val="24"/>
              </w:rPr>
              <w:t>m</w:t>
            </w:r>
            <w:r>
              <w:rPr>
                <w:rFonts w:hint="eastAsia"/>
                <w:sz w:val="24"/>
                <w:szCs w:val="24"/>
                <w:vertAlign w:val="superscript"/>
              </w:rPr>
              <w:t>3</w:t>
            </w:r>
            <w:r>
              <w:rPr>
                <w:rFonts w:hint="eastAsia"/>
                <w:sz w:val="24"/>
                <w:szCs w:val="24"/>
              </w:rPr>
              <w:t>/a</w:t>
            </w:r>
            <w:r>
              <w:rPr>
                <w:sz w:val="24"/>
                <w:szCs w:val="24"/>
              </w:rPr>
              <w:t>。</w:t>
            </w:r>
            <w:r>
              <w:rPr>
                <w:rFonts w:hint="eastAsia"/>
                <w:sz w:val="24"/>
                <w:szCs w:val="24"/>
              </w:rPr>
              <w:t>生活污水的排放量按用水量</w:t>
            </w:r>
            <w:r>
              <w:rPr>
                <w:sz w:val="24"/>
                <w:szCs w:val="24"/>
              </w:rPr>
              <w:t>80%</w:t>
            </w:r>
            <w:r>
              <w:rPr>
                <w:rFonts w:hint="eastAsia"/>
                <w:sz w:val="24"/>
                <w:szCs w:val="24"/>
              </w:rPr>
              <w:t>计算，项目建成运营后生活污水排放量为</w:t>
            </w:r>
            <w:r>
              <w:rPr>
                <w:rFonts w:hint="eastAsia"/>
                <w:sz w:val="24"/>
                <w:szCs w:val="24"/>
                <w:lang w:val="en-US" w:eastAsia="zh-CN"/>
              </w:rPr>
              <w:t>1017.6</w:t>
            </w:r>
            <w:r>
              <w:rPr>
                <w:sz w:val="24"/>
                <w:szCs w:val="24"/>
              </w:rPr>
              <w:t>m</w:t>
            </w:r>
            <w:r>
              <w:rPr>
                <w:sz w:val="24"/>
                <w:szCs w:val="24"/>
                <w:vertAlign w:val="superscript"/>
              </w:rPr>
              <w:t>3</w:t>
            </w:r>
            <w:r>
              <w:rPr>
                <w:sz w:val="24"/>
                <w:szCs w:val="24"/>
              </w:rPr>
              <w:t>/a</w:t>
            </w:r>
            <w:r>
              <w:rPr>
                <w:bCs/>
                <w:sz w:val="24"/>
                <w:szCs w:val="24"/>
              </w:rPr>
              <w:t>。</w:t>
            </w:r>
            <w:r>
              <w:rPr>
                <w:color w:val="000000"/>
                <w:sz w:val="24"/>
                <w:szCs w:val="24"/>
              </w:rPr>
              <w:t>生活污水</w:t>
            </w:r>
            <w:r>
              <w:rPr>
                <w:rFonts w:hint="eastAsia"/>
                <w:color w:val="000000"/>
                <w:sz w:val="24"/>
                <w:szCs w:val="24"/>
              </w:rPr>
              <w:t>经</w:t>
            </w:r>
            <w:r>
              <w:rPr>
                <w:rFonts w:hint="eastAsia"/>
                <w:color w:val="000000"/>
                <w:sz w:val="24"/>
                <w:szCs w:val="24"/>
                <w:lang w:val="en-US" w:eastAsia="zh-CN"/>
              </w:rPr>
              <w:t>园区污水管网排放至</w:t>
            </w:r>
            <w:r>
              <w:rPr>
                <w:rFonts w:hint="eastAsia" w:ascii="Times New Roman" w:eastAsia="宋体"/>
                <w:snapToGrid w:val="0"/>
                <w:color w:val="auto"/>
                <w:spacing w:val="0"/>
                <w:kern w:val="0"/>
                <w:position w:val="0"/>
                <w:sz w:val="24"/>
                <w:highlight w:val="none"/>
                <w:lang w:val="en-US" w:eastAsia="zh-CN"/>
              </w:rPr>
              <w:t>第七师五五工业园区南园区污水处理厂</w:t>
            </w:r>
            <w:r>
              <w:rPr>
                <w:rFonts w:hint="eastAsia" w:ascii="宋体" w:hAnsi="宋体" w:eastAsia="宋体" w:cs="宋体"/>
                <w:sz w:val="24"/>
                <w:szCs w:val="24"/>
                <w:lang w:val="en-US" w:eastAsia="zh-CN"/>
              </w:rPr>
              <w:t>处理</w:t>
            </w:r>
            <w:r>
              <w:rPr>
                <w:rFonts w:hint="eastAsia" w:eastAsia="宋体"/>
                <w:snapToGrid w:val="0"/>
                <w:kern w:val="0"/>
                <w:sz w:val="24"/>
                <w:szCs w:val="24"/>
                <w:lang w:eastAsia="zh-CN"/>
              </w:rPr>
              <w:t>。</w:t>
            </w:r>
          </w:p>
          <w:p w14:paraId="5AD2B83C">
            <w:pPr>
              <w:spacing w:line="360" w:lineRule="auto"/>
              <w:ind w:firstLine="480" w:firstLineChars="200"/>
              <w:rPr>
                <w:rFonts w:hint="eastAsia"/>
                <w:sz w:val="24"/>
                <w:szCs w:val="24"/>
              </w:rPr>
            </w:pPr>
            <w:r>
              <w:rPr>
                <w:sz w:val="24"/>
                <w:szCs w:val="24"/>
              </w:rPr>
              <w:t>综上所述，</w:t>
            </w:r>
            <w:r>
              <w:rPr>
                <w:bCs/>
                <w:sz w:val="24"/>
                <w:szCs w:val="24"/>
              </w:rPr>
              <w:t>职工生活污水</w:t>
            </w:r>
            <w:r>
              <w:rPr>
                <w:color w:val="000000"/>
                <w:sz w:val="24"/>
                <w:szCs w:val="24"/>
              </w:rPr>
              <w:t>生活污水</w:t>
            </w:r>
            <w:r>
              <w:rPr>
                <w:rFonts w:hint="eastAsia"/>
                <w:color w:val="000000"/>
                <w:sz w:val="24"/>
                <w:szCs w:val="24"/>
              </w:rPr>
              <w:t>经</w:t>
            </w:r>
            <w:r>
              <w:rPr>
                <w:rFonts w:hint="eastAsia"/>
                <w:color w:val="000000"/>
                <w:sz w:val="24"/>
                <w:szCs w:val="24"/>
                <w:lang w:val="en-US" w:eastAsia="zh-CN"/>
              </w:rPr>
              <w:t>园区污水管网排放至</w:t>
            </w:r>
            <w:r>
              <w:rPr>
                <w:rFonts w:hint="eastAsia" w:ascii="Times New Roman" w:eastAsia="宋体"/>
                <w:snapToGrid w:val="0"/>
                <w:color w:val="auto"/>
                <w:spacing w:val="0"/>
                <w:kern w:val="0"/>
                <w:position w:val="0"/>
                <w:sz w:val="24"/>
                <w:highlight w:val="none"/>
                <w:lang w:val="en-US" w:eastAsia="zh-CN"/>
              </w:rPr>
              <w:t>第七师五五工业园区南园区污水处理厂</w:t>
            </w:r>
            <w:r>
              <w:rPr>
                <w:snapToGrid w:val="0"/>
                <w:kern w:val="0"/>
                <w:sz w:val="24"/>
                <w:szCs w:val="24"/>
              </w:rPr>
              <w:t>，不外排</w:t>
            </w:r>
            <w:r>
              <w:rPr>
                <w:rFonts w:hint="eastAsia"/>
                <w:snapToGrid w:val="0"/>
                <w:kern w:val="0"/>
                <w:sz w:val="24"/>
                <w:szCs w:val="24"/>
                <w:lang w:eastAsia="zh-CN"/>
              </w:rPr>
              <w:t>，</w:t>
            </w:r>
            <w:r>
              <w:rPr>
                <w:rFonts w:hint="eastAsia"/>
                <w:snapToGrid w:val="0"/>
                <w:kern w:val="0"/>
                <w:sz w:val="24"/>
                <w:szCs w:val="24"/>
                <w:lang w:val="en-US" w:eastAsia="zh-CN"/>
              </w:rPr>
              <w:t>对周围环境影响较小</w:t>
            </w:r>
            <w:r>
              <w:rPr>
                <w:rFonts w:hint="eastAsia"/>
                <w:sz w:val="24"/>
                <w:szCs w:val="24"/>
              </w:rPr>
              <w:t>。</w:t>
            </w:r>
          </w:p>
          <w:p w14:paraId="53234FF0">
            <w:pPr>
              <w:pStyle w:val="5"/>
              <w:ind w:firstLine="422"/>
              <w:rPr>
                <w:sz w:val="24"/>
                <w:szCs w:val="24"/>
              </w:rPr>
            </w:pPr>
            <w:r>
              <w:rPr>
                <w:rFonts w:hint="eastAsia"/>
                <w:sz w:val="24"/>
                <w:szCs w:val="24"/>
                <w:lang w:val="en-US" w:eastAsia="zh-CN"/>
              </w:rPr>
              <w:t>2.2</w:t>
            </w:r>
            <w:r>
              <w:rPr>
                <w:rFonts w:hint="eastAsia"/>
                <w:sz w:val="24"/>
                <w:szCs w:val="24"/>
              </w:rPr>
              <w:t>废水治理可行性分析</w:t>
            </w:r>
          </w:p>
          <w:p w14:paraId="6928BB2D">
            <w:pPr>
              <w:spacing w:line="360" w:lineRule="auto"/>
              <w:ind w:firstLine="480" w:firstLineChars="200"/>
              <w:rPr>
                <w:rFonts w:hint="eastAsia"/>
                <w:color w:val="auto"/>
                <w:sz w:val="24"/>
                <w:szCs w:val="24"/>
              </w:rPr>
            </w:pPr>
            <w:r>
              <w:rPr>
                <w:kern w:val="0"/>
                <w:sz w:val="24"/>
                <w:szCs w:val="24"/>
              </w:rPr>
              <w:t>本项目生活污水排放量较少，可生</w:t>
            </w:r>
            <w:r>
              <w:rPr>
                <w:color w:val="auto"/>
                <w:kern w:val="0"/>
                <w:sz w:val="24"/>
                <w:szCs w:val="24"/>
              </w:rPr>
              <w:t>化性高，污染物成分简单，</w:t>
            </w:r>
            <w:r>
              <w:rPr>
                <w:color w:val="auto"/>
                <w:sz w:val="24"/>
                <w:szCs w:val="24"/>
              </w:rPr>
              <w:t>主要污染物为COD</w:t>
            </w:r>
            <w:r>
              <w:rPr>
                <w:color w:val="auto"/>
                <w:sz w:val="24"/>
                <w:szCs w:val="24"/>
                <w:vertAlign w:val="subscript"/>
              </w:rPr>
              <w:t>Cr</w:t>
            </w:r>
            <w:r>
              <w:rPr>
                <w:color w:val="auto"/>
                <w:sz w:val="24"/>
                <w:szCs w:val="24"/>
              </w:rPr>
              <w:t>、BOD</w:t>
            </w:r>
            <w:r>
              <w:rPr>
                <w:color w:val="auto"/>
                <w:sz w:val="24"/>
                <w:szCs w:val="24"/>
                <w:vertAlign w:val="subscript"/>
              </w:rPr>
              <w:t>5</w:t>
            </w:r>
            <w:r>
              <w:rPr>
                <w:color w:val="auto"/>
                <w:sz w:val="24"/>
                <w:szCs w:val="24"/>
              </w:rPr>
              <w:t>、SS、氨氮等</w:t>
            </w:r>
            <w:r>
              <w:rPr>
                <w:rFonts w:hint="eastAsia"/>
                <w:color w:val="auto"/>
                <w:sz w:val="24"/>
                <w:szCs w:val="24"/>
              </w:rPr>
              <w:t>，</w:t>
            </w:r>
            <w:r>
              <w:rPr>
                <w:rFonts w:hint="eastAsia" w:ascii="Times New Roman" w:eastAsia="宋体"/>
                <w:snapToGrid w:val="0"/>
                <w:color w:val="auto"/>
                <w:spacing w:val="0"/>
                <w:kern w:val="0"/>
                <w:position w:val="0"/>
                <w:sz w:val="24"/>
                <w:highlight w:val="none"/>
                <w:lang w:val="en-US" w:eastAsia="zh-CN"/>
              </w:rPr>
              <w:t>第七师五五工业园区南园区污水处理厂</w:t>
            </w:r>
            <w:r>
              <w:rPr>
                <w:color w:val="auto"/>
                <w:sz w:val="24"/>
                <w:szCs w:val="24"/>
              </w:rPr>
              <w:t>采用</w:t>
            </w:r>
            <w:r>
              <w:rPr>
                <w:rFonts w:hint="eastAsia" w:ascii="Times New Roman" w:hAnsi="Times New Roman" w:eastAsia="宋体" w:cs="Times New Roman"/>
                <w:color w:val="auto"/>
                <w:spacing w:val="0"/>
                <w:kern w:val="0"/>
                <w:position w:val="0"/>
                <w:sz w:val="24"/>
                <w:highlight w:val="none"/>
                <w:lang w:eastAsia="zh-CN"/>
              </w:rPr>
              <w:t>“</w:t>
            </w:r>
            <w:r>
              <w:rPr>
                <w:rFonts w:ascii="Times New Roman" w:hAnsi="Times New Roman" w:eastAsia="宋体" w:cs="Times New Roman"/>
                <w:color w:val="auto"/>
                <w:spacing w:val="0"/>
                <w:kern w:val="0"/>
                <w:position w:val="0"/>
                <w:sz w:val="24"/>
                <w:highlight w:val="none"/>
              </w:rPr>
              <w:t>预处理</w:t>
            </w:r>
            <w:r>
              <w:rPr>
                <w:rFonts w:hint="eastAsia" w:ascii="Times New Roman" w:hAnsi="Times New Roman" w:eastAsia="宋体" w:cs="Times New Roman"/>
                <w:color w:val="auto"/>
                <w:spacing w:val="0"/>
                <w:kern w:val="0"/>
                <w:position w:val="0"/>
                <w:sz w:val="24"/>
                <w:highlight w:val="none"/>
                <w:lang w:eastAsia="zh-CN"/>
              </w:rPr>
              <w:t>－</w:t>
            </w:r>
            <w:r>
              <w:rPr>
                <w:rFonts w:ascii="Times New Roman" w:hAnsi="Times New Roman" w:eastAsia="宋体" w:cs="Times New Roman"/>
                <w:color w:val="auto"/>
                <w:spacing w:val="0"/>
                <w:kern w:val="0"/>
                <w:position w:val="0"/>
                <w:sz w:val="24"/>
                <w:highlight w:val="none"/>
              </w:rPr>
              <w:t>生化处理</w:t>
            </w:r>
            <w:r>
              <w:rPr>
                <w:rFonts w:hint="eastAsia" w:ascii="Times New Roman" w:hAnsi="Times New Roman" w:eastAsia="宋体" w:cs="Times New Roman"/>
                <w:color w:val="auto"/>
                <w:spacing w:val="0"/>
                <w:kern w:val="0"/>
                <w:position w:val="0"/>
                <w:sz w:val="24"/>
                <w:highlight w:val="none"/>
                <w:lang w:eastAsia="zh-CN"/>
              </w:rPr>
              <w:t>－</w:t>
            </w:r>
            <w:r>
              <w:rPr>
                <w:rFonts w:ascii="Times New Roman" w:hAnsi="Times New Roman" w:eastAsia="宋体" w:cs="Times New Roman"/>
                <w:color w:val="auto"/>
                <w:spacing w:val="0"/>
                <w:kern w:val="0"/>
                <w:position w:val="0"/>
                <w:sz w:val="24"/>
                <w:highlight w:val="none"/>
              </w:rPr>
              <w:t>深度处理</w:t>
            </w:r>
            <w:r>
              <w:rPr>
                <w:rFonts w:hint="eastAsia" w:ascii="Times New Roman" w:hAnsi="Times New Roman" w:eastAsia="宋体" w:cs="Times New Roman"/>
                <w:color w:val="auto"/>
                <w:spacing w:val="0"/>
                <w:kern w:val="0"/>
                <w:position w:val="0"/>
                <w:sz w:val="24"/>
                <w:highlight w:val="none"/>
                <w:lang w:eastAsia="zh-CN"/>
              </w:rPr>
              <w:t>”</w:t>
            </w:r>
            <w:r>
              <w:rPr>
                <w:rFonts w:ascii="Times New Roman" w:hAnsi="Times New Roman" w:eastAsia="宋体" w:cs="Times New Roman"/>
                <w:color w:val="auto"/>
                <w:spacing w:val="0"/>
                <w:kern w:val="0"/>
                <w:position w:val="0"/>
                <w:sz w:val="24"/>
                <w:highlight w:val="none"/>
              </w:rPr>
              <w:t>工艺，其中预处理单元采用</w:t>
            </w:r>
            <w:r>
              <w:rPr>
                <w:rFonts w:hint="eastAsia" w:ascii="Times New Roman" w:hAnsi="Times New Roman" w:eastAsia="宋体" w:cs="Times New Roman"/>
                <w:color w:val="auto"/>
                <w:spacing w:val="0"/>
                <w:kern w:val="0"/>
                <w:position w:val="0"/>
                <w:sz w:val="24"/>
                <w:highlight w:val="none"/>
                <w:lang w:eastAsia="zh-CN"/>
              </w:rPr>
              <w:t>“</w:t>
            </w:r>
            <w:r>
              <w:rPr>
                <w:rFonts w:ascii="Times New Roman" w:hAnsi="Times New Roman" w:eastAsia="宋体" w:cs="Times New Roman"/>
                <w:color w:val="auto"/>
                <w:spacing w:val="0"/>
                <w:kern w:val="0"/>
                <w:position w:val="0"/>
                <w:sz w:val="24"/>
                <w:highlight w:val="none"/>
              </w:rPr>
              <w:t>混凝沉淀+气浮</w:t>
            </w:r>
            <w:r>
              <w:rPr>
                <w:rFonts w:hint="eastAsia" w:ascii="Times New Roman" w:hAnsi="Times New Roman" w:eastAsia="宋体" w:cs="Times New Roman"/>
                <w:color w:val="auto"/>
                <w:spacing w:val="0"/>
                <w:kern w:val="0"/>
                <w:position w:val="0"/>
                <w:sz w:val="24"/>
                <w:highlight w:val="none"/>
                <w:lang w:eastAsia="zh-CN"/>
              </w:rPr>
              <w:t>”</w:t>
            </w:r>
            <w:r>
              <w:rPr>
                <w:rFonts w:ascii="Times New Roman" w:hAnsi="Times New Roman" w:eastAsia="宋体" w:cs="Times New Roman"/>
                <w:color w:val="auto"/>
                <w:spacing w:val="0"/>
                <w:kern w:val="0"/>
                <w:position w:val="0"/>
                <w:sz w:val="24"/>
                <w:highlight w:val="none"/>
              </w:rPr>
              <w:t>工艺，生化单元采用</w:t>
            </w:r>
            <w:r>
              <w:rPr>
                <w:rFonts w:hint="eastAsia" w:ascii="Times New Roman" w:hAnsi="Times New Roman" w:eastAsia="宋体" w:cs="Times New Roman"/>
                <w:color w:val="auto"/>
                <w:spacing w:val="0"/>
                <w:kern w:val="0"/>
                <w:position w:val="0"/>
                <w:sz w:val="24"/>
                <w:highlight w:val="none"/>
                <w:lang w:eastAsia="zh-CN"/>
              </w:rPr>
              <w:t>“</w:t>
            </w:r>
            <w:r>
              <w:rPr>
                <w:rFonts w:ascii="Times New Roman" w:hAnsi="Times New Roman" w:eastAsia="宋体" w:cs="Times New Roman"/>
                <w:color w:val="auto"/>
                <w:spacing w:val="0"/>
                <w:kern w:val="0"/>
                <w:position w:val="0"/>
                <w:sz w:val="24"/>
                <w:highlight w:val="none"/>
              </w:rPr>
              <w:t>水解酸化+A</w:t>
            </w:r>
            <w:r>
              <w:rPr>
                <w:rFonts w:ascii="Times New Roman" w:hAnsi="Times New Roman" w:eastAsia="宋体" w:cs="Times New Roman"/>
                <w:color w:val="auto"/>
                <w:spacing w:val="0"/>
                <w:kern w:val="0"/>
                <w:position w:val="0"/>
                <w:sz w:val="24"/>
                <w:highlight w:val="none"/>
                <w:vertAlign w:val="superscript"/>
              </w:rPr>
              <w:t>2</w:t>
            </w:r>
            <w:r>
              <w:rPr>
                <w:rFonts w:ascii="Times New Roman" w:hAnsi="Times New Roman" w:eastAsia="宋体" w:cs="Times New Roman"/>
                <w:color w:val="auto"/>
                <w:spacing w:val="0"/>
                <w:kern w:val="0"/>
                <w:position w:val="0"/>
                <w:sz w:val="24"/>
                <w:highlight w:val="none"/>
              </w:rPr>
              <w:t>/O</w:t>
            </w:r>
            <w:r>
              <w:rPr>
                <w:rFonts w:hint="eastAsia" w:ascii="Times New Roman" w:hAnsi="Times New Roman" w:eastAsia="宋体" w:cs="Times New Roman"/>
                <w:color w:val="auto"/>
                <w:spacing w:val="0"/>
                <w:kern w:val="0"/>
                <w:position w:val="0"/>
                <w:sz w:val="24"/>
                <w:highlight w:val="none"/>
                <w:lang w:eastAsia="zh-CN"/>
              </w:rPr>
              <w:t>”</w:t>
            </w:r>
            <w:r>
              <w:rPr>
                <w:rFonts w:ascii="Times New Roman" w:hAnsi="Times New Roman" w:eastAsia="宋体" w:cs="Times New Roman"/>
                <w:color w:val="auto"/>
                <w:spacing w:val="0"/>
                <w:kern w:val="0"/>
                <w:position w:val="0"/>
                <w:sz w:val="24"/>
                <w:highlight w:val="none"/>
              </w:rPr>
              <w:t>工艺，深度处理单元采用</w:t>
            </w:r>
            <w:r>
              <w:rPr>
                <w:rFonts w:hint="eastAsia" w:ascii="Times New Roman" w:hAnsi="Times New Roman" w:eastAsia="宋体" w:cs="Times New Roman"/>
                <w:color w:val="auto"/>
                <w:spacing w:val="0"/>
                <w:kern w:val="0"/>
                <w:position w:val="0"/>
                <w:sz w:val="24"/>
                <w:highlight w:val="none"/>
                <w:lang w:eastAsia="zh-CN"/>
              </w:rPr>
              <w:t>“</w:t>
            </w:r>
            <w:r>
              <w:rPr>
                <w:rFonts w:ascii="Times New Roman" w:hAnsi="Times New Roman" w:eastAsia="宋体" w:cs="Times New Roman"/>
                <w:color w:val="auto"/>
                <w:spacing w:val="0"/>
                <w:kern w:val="0"/>
                <w:position w:val="0"/>
                <w:sz w:val="24"/>
                <w:highlight w:val="none"/>
              </w:rPr>
              <w:t>臭氧</w:t>
            </w:r>
            <w:r>
              <w:rPr>
                <w:rFonts w:hint="eastAsia" w:ascii="Times New Roman" w:hAnsi="Times New Roman" w:eastAsia="宋体" w:cs="Times New Roman"/>
                <w:color w:val="auto"/>
                <w:spacing w:val="0"/>
                <w:kern w:val="0"/>
                <w:position w:val="0"/>
                <w:sz w:val="24"/>
                <w:highlight w:val="none"/>
                <w:lang w:eastAsia="zh-CN"/>
              </w:rPr>
              <w:t>－</w:t>
            </w:r>
            <w:r>
              <w:rPr>
                <w:rFonts w:ascii="Times New Roman" w:hAnsi="Times New Roman" w:eastAsia="宋体" w:cs="Times New Roman"/>
                <w:color w:val="auto"/>
                <w:spacing w:val="0"/>
                <w:kern w:val="0"/>
                <w:position w:val="0"/>
                <w:sz w:val="24"/>
                <w:highlight w:val="none"/>
              </w:rPr>
              <w:t>曝气生物滤池</w:t>
            </w:r>
            <w:r>
              <w:rPr>
                <w:rFonts w:hint="eastAsia" w:ascii="Times New Roman" w:hAnsi="Times New Roman" w:eastAsia="宋体" w:cs="Times New Roman"/>
                <w:color w:val="auto"/>
                <w:spacing w:val="0"/>
                <w:kern w:val="0"/>
                <w:position w:val="0"/>
                <w:sz w:val="24"/>
                <w:highlight w:val="none"/>
                <w:lang w:eastAsia="zh-CN"/>
              </w:rPr>
              <w:t>”</w:t>
            </w:r>
            <w:r>
              <w:rPr>
                <w:rFonts w:ascii="Times New Roman" w:hAnsi="Times New Roman" w:eastAsia="宋体" w:cs="Times New Roman"/>
                <w:color w:val="auto"/>
                <w:spacing w:val="0"/>
                <w:kern w:val="0"/>
                <w:position w:val="0"/>
                <w:sz w:val="24"/>
                <w:highlight w:val="none"/>
              </w:rPr>
              <w:t>，工艺处理后的出水执行《城镇污水处理厂污染物排放标准》（GB18918-2002）中的一级A标准。根据园区的建设进度，园区污水处理厂统一规划、分期建设，远期（2025年）设计规模60000m</w:t>
            </w:r>
            <w:r>
              <w:rPr>
                <w:rFonts w:ascii="Times New Roman" w:hAnsi="Times New Roman" w:eastAsia="宋体" w:cs="Times New Roman"/>
                <w:color w:val="auto"/>
                <w:spacing w:val="0"/>
                <w:kern w:val="0"/>
                <w:position w:val="0"/>
                <w:sz w:val="24"/>
                <w:highlight w:val="none"/>
                <w:vertAlign w:val="superscript"/>
              </w:rPr>
              <w:t>3</w:t>
            </w:r>
            <w:r>
              <w:rPr>
                <w:rFonts w:ascii="Times New Roman" w:hAnsi="Times New Roman" w:eastAsia="宋体" w:cs="Times New Roman"/>
                <w:color w:val="auto"/>
                <w:spacing w:val="0"/>
                <w:kern w:val="0"/>
                <w:position w:val="0"/>
                <w:sz w:val="24"/>
                <w:highlight w:val="none"/>
              </w:rPr>
              <w:t>/d，其中一期工程设计规模30000m</w:t>
            </w:r>
            <w:r>
              <w:rPr>
                <w:rFonts w:ascii="Times New Roman" w:hAnsi="Times New Roman" w:eastAsia="宋体" w:cs="Times New Roman"/>
                <w:color w:val="auto"/>
                <w:spacing w:val="0"/>
                <w:kern w:val="0"/>
                <w:position w:val="0"/>
                <w:sz w:val="24"/>
                <w:highlight w:val="none"/>
                <w:vertAlign w:val="superscript"/>
              </w:rPr>
              <w:t>3</w:t>
            </w:r>
            <w:r>
              <w:rPr>
                <w:rFonts w:ascii="Times New Roman" w:hAnsi="Times New Roman" w:eastAsia="宋体" w:cs="Times New Roman"/>
                <w:color w:val="auto"/>
                <w:spacing w:val="0"/>
                <w:kern w:val="0"/>
                <w:position w:val="0"/>
                <w:sz w:val="24"/>
                <w:highlight w:val="none"/>
              </w:rPr>
              <w:t>/d（2015年）。目前，园区已建成一座处理能力为30000m</w:t>
            </w:r>
            <w:r>
              <w:rPr>
                <w:rFonts w:ascii="Times New Roman" w:hAnsi="Times New Roman" w:eastAsia="宋体" w:cs="Times New Roman"/>
                <w:color w:val="auto"/>
                <w:spacing w:val="0"/>
                <w:kern w:val="0"/>
                <w:position w:val="0"/>
                <w:sz w:val="24"/>
                <w:highlight w:val="none"/>
                <w:vertAlign w:val="superscript"/>
              </w:rPr>
              <w:t>3</w:t>
            </w:r>
            <w:r>
              <w:rPr>
                <w:rFonts w:ascii="Times New Roman" w:hAnsi="Times New Roman" w:eastAsia="宋体" w:cs="Times New Roman"/>
                <w:color w:val="auto"/>
                <w:spacing w:val="0"/>
                <w:kern w:val="0"/>
                <w:position w:val="0"/>
                <w:sz w:val="24"/>
                <w:highlight w:val="none"/>
              </w:rPr>
              <w:t>/d的污水处理厂及配套设施，于2016年11月投入运行，目前污水处理厂运行基本正常。现状园区污水处理厂的进水量约7000m</w:t>
            </w:r>
            <w:r>
              <w:rPr>
                <w:rFonts w:ascii="Times New Roman" w:hAnsi="Times New Roman" w:eastAsia="宋体" w:cs="Times New Roman"/>
                <w:color w:val="auto"/>
                <w:spacing w:val="0"/>
                <w:kern w:val="0"/>
                <w:position w:val="0"/>
                <w:sz w:val="24"/>
                <w:highlight w:val="none"/>
                <w:vertAlign w:val="superscript"/>
              </w:rPr>
              <w:t>3</w:t>
            </w:r>
            <w:r>
              <w:rPr>
                <w:rFonts w:ascii="Times New Roman" w:hAnsi="Times New Roman" w:eastAsia="宋体" w:cs="Times New Roman"/>
                <w:color w:val="auto"/>
                <w:spacing w:val="0"/>
                <w:kern w:val="0"/>
                <w:position w:val="0"/>
                <w:sz w:val="24"/>
                <w:highlight w:val="none"/>
              </w:rPr>
              <w:t>/d，进水主要以工业废水为主，各企业生活污水为辅。</w:t>
            </w:r>
            <w:r>
              <w:rPr>
                <w:rFonts w:hint="eastAsia"/>
                <w:color w:val="auto"/>
                <w:sz w:val="24"/>
                <w:szCs w:val="24"/>
              </w:rPr>
              <w:t>本项目</w:t>
            </w:r>
            <w:r>
              <w:rPr>
                <w:rFonts w:hint="eastAsia"/>
                <w:color w:val="auto"/>
                <w:sz w:val="24"/>
                <w:szCs w:val="24"/>
                <w:lang w:val="en-US" w:eastAsia="zh-CN"/>
              </w:rPr>
              <w:t>排入园区</w:t>
            </w:r>
            <w:r>
              <w:rPr>
                <w:rFonts w:hint="eastAsia"/>
                <w:color w:val="auto"/>
                <w:sz w:val="24"/>
                <w:szCs w:val="24"/>
              </w:rPr>
              <w:t>污水量为1</w:t>
            </w:r>
            <w:r>
              <w:rPr>
                <w:rFonts w:hint="eastAsia"/>
                <w:color w:val="auto"/>
                <w:sz w:val="24"/>
                <w:szCs w:val="24"/>
                <w:lang w:val="en-US" w:eastAsia="zh-CN"/>
              </w:rPr>
              <w:t>017.6</w:t>
            </w:r>
            <w:r>
              <w:rPr>
                <w:rFonts w:hint="eastAsia"/>
                <w:color w:val="auto"/>
                <w:sz w:val="24"/>
                <w:szCs w:val="24"/>
              </w:rPr>
              <w:t>m</w:t>
            </w:r>
            <w:r>
              <w:rPr>
                <w:rFonts w:hint="eastAsia"/>
                <w:color w:val="auto"/>
                <w:sz w:val="24"/>
                <w:szCs w:val="24"/>
                <w:vertAlign w:val="superscript"/>
              </w:rPr>
              <w:t>3</w:t>
            </w:r>
            <w:r>
              <w:rPr>
                <w:rFonts w:hint="eastAsia"/>
                <w:color w:val="auto"/>
                <w:sz w:val="24"/>
                <w:szCs w:val="24"/>
              </w:rPr>
              <w:t>/a，仅占</w:t>
            </w:r>
            <w:r>
              <w:rPr>
                <w:rFonts w:hint="eastAsia"/>
                <w:color w:val="auto"/>
                <w:sz w:val="24"/>
                <w:szCs w:val="24"/>
                <w:lang w:val="en-US" w:eastAsia="zh-CN"/>
              </w:rPr>
              <w:t>甘泉堡</w:t>
            </w:r>
            <w:r>
              <w:rPr>
                <w:rFonts w:hint="eastAsia"/>
                <w:color w:val="auto"/>
                <w:sz w:val="24"/>
                <w:szCs w:val="24"/>
              </w:rPr>
              <w:t>工业园污水处理厂处理量的0.0</w:t>
            </w:r>
            <w:r>
              <w:rPr>
                <w:rFonts w:hint="eastAsia"/>
                <w:color w:val="auto"/>
                <w:sz w:val="24"/>
                <w:szCs w:val="24"/>
                <w:lang w:val="en-US" w:eastAsia="zh-CN"/>
              </w:rPr>
              <w:t>14</w:t>
            </w:r>
            <w:r>
              <w:rPr>
                <w:rFonts w:hint="eastAsia"/>
                <w:color w:val="auto"/>
                <w:sz w:val="24"/>
                <w:szCs w:val="24"/>
              </w:rPr>
              <w:t>%，</w:t>
            </w:r>
            <w:r>
              <w:rPr>
                <w:rFonts w:hint="eastAsia"/>
                <w:color w:val="auto"/>
                <w:sz w:val="24"/>
                <w:szCs w:val="24"/>
                <w:lang w:val="en-US" w:eastAsia="zh-CN"/>
              </w:rPr>
              <w:t>该污水处理厂</w:t>
            </w:r>
            <w:r>
              <w:rPr>
                <w:rFonts w:hint="eastAsia"/>
                <w:color w:val="auto"/>
                <w:sz w:val="24"/>
                <w:szCs w:val="24"/>
              </w:rPr>
              <w:t>已通过环保验收</w:t>
            </w:r>
            <w:r>
              <w:rPr>
                <w:rFonts w:hint="eastAsia"/>
                <w:color w:val="auto"/>
                <w:sz w:val="24"/>
                <w:szCs w:val="24"/>
                <w:lang w:eastAsia="zh-CN"/>
              </w:rPr>
              <w:t>，</w:t>
            </w:r>
            <w:r>
              <w:rPr>
                <w:rFonts w:hint="eastAsia"/>
                <w:color w:val="auto"/>
                <w:sz w:val="24"/>
                <w:szCs w:val="24"/>
                <w:lang w:val="en-US" w:eastAsia="zh-CN"/>
              </w:rPr>
              <w:t>现正常运行</w:t>
            </w:r>
            <w:r>
              <w:rPr>
                <w:rFonts w:hint="eastAsia"/>
                <w:color w:val="auto"/>
                <w:sz w:val="24"/>
                <w:szCs w:val="24"/>
              </w:rPr>
              <w:t>。</w:t>
            </w:r>
            <w:r>
              <w:rPr>
                <w:rFonts w:hint="eastAsia" w:ascii="Times New Roman" w:eastAsia="宋体"/>
                <w:snapToGrid w:val="0"/>
                <w:color w:val="auto"/>
                <w:spacing w:val="0"/>
                <w:kern w:val="0"/>
                <w:position w:val="0"/>
                <w:sz w:val="24"/>
                <w:highlight w:val="none"/>
                <w:lang w:val="en-US" w:eastAsia="zh-CN"/>
              </w:rPr>
              <w:t>第七师五五工业园区南园区污水处理厂</w:t>
            </w:r>
            <w:r>
              <w:rPr>
                <w:rFonts w:hint="eastAsia"/>
                <w:color w:val="auto"/>
                <w:sz w:val="24"/>
                <w:szCs w:val="24"/>
              </w:rPr>
              <w:t>有能力接纳本项目产生的污水。</w:t>
            </w:r>
          </w:p>
          <w:p w14:paraId="773614AA">
            <w:pPr>
              <w:spacing w:line="360" w:lineRule="auto"/>
              <w:ind w:firstLine="480" w:firstLineChars="200"/>
              <w:rPr>
                <w:rFonts w:hint="default" w:eastAsia="宋体"/>
                <w:sz w:val="24"/>
                <w:szCs w:val="24"/>
                <w:lang w:val="en-US" w:eastAsia="zh-CN"/>
              </w:rPr>
            </w:pPr>
            <w:r>
              <w:rPr>
                <w:rFonts w:hint="eastAsia"/>
                <w:color w:val="auto"/>
                <w:sz w:val="24"/>
                <w:szCs w:val="24"/>
              </w:rPr>
              <w:t>因此本项目生活污水对周围环境水影响较小，依托</w:t>
            </w:r>
            <w:r>
              <w:rPr>
                <w:rFonts w:hint="eastAsia" w:ascii="Times New Roman" w:eastAsia="宋体"/>
                <w:snapToGrid w:val="0"/>
                <w:color w:val="auto"/>
                <w:spacing w:val="0"/>
                <w:kern w:val="0"/>
                <w:position w:val="0"/>
                <w:sz w:val="24"/>
                <w:highlight w:val="none"/>
                <w:lang w:val="en-US" w:eastAsia="zh-CN"/>
              </w:rPr>
              <w:t>第七师五五工业园区南园区污水处理厂</w:t>
            </w:r>
            <w:r>
              <w:rPr>
                <w:rFonts w:hint="eastAsia"/>
                <w:sz w:val="24"/>
                <w:szCs w:val="24"/>
              </w:rPr>
              <w:t>可行。</w:t>
            </w:r>
          </w:p>
          <w:p w14:paraId="2B080933">
            <w:pPr>
              <w:pStyle w:val="4"/>
              <w:rPr>
                <w:sz w:val="24"/>
                <w:szCs w:val="24"/>
              </w:rPr>
            </w:pPr>
            <w:r>
              <w:rPr>
                <w:sz w:val="24"/>
                <w:szCs w:val="24"/>
              </w:rPr>
              <w:t>3</w:t>
            </w:r>
            <w:r>
              <w:rPr>
                <w:rFonts w:hint="eastAsia"/>
                <w:sz w:val="24"/>
                <w:szCs w:val="24"/>
              </w:rPr>
              <w:t>.</w:t>
            </w:r>
            <w:r>
              <w:rPr>
                <w:sz w:val="24"/>
                <w:szCs w:val="24"/>
              </w:rPr>
              <w:t>噪声环境影响分析</w:t>
            </w:r>
          </w:p>
          <w:p w14:paraId="360F94F2">
            <w:pPr>
              <w:pStyle w:val="5"/>
              <w:ind w:firstLine="422"/>
              <w:rPr>
                <w:sz w:val="24"/>
                <w:szCs w:val="24"/>
              </w:rPr>
            </w:pPr>
            <w:r>
              <w:rPr>
                <w:sz w:val="24"/>
                <w:szCs w:val="24"/>
              </w:rPr>
              <w:t>3.1噪声排放情况</w:t>
            </w:r>
          </w:p>
          <w:p w14:paraId="2CCB093B">
            <w:pPr>
              <w:autoSpaceDE w:val="0"/>
              <w:autoSpaceDN w:val="0"/>
              <w:spacing w:line="360" w:lineRule="auto"/>
              <w:ind w:firstLine="480" w:firstLineChars="200"/>
              <w:textAlignment w:val="baseline"/>
              <w:rPr>
                <w:sz w:val="24"/>
                <w:szCs w:val="24"/>
              </w:rPr>
            </w:pPr>
            <w:r>
              <w:rPr>
                <w:rFonts w:hint="eastAsia"/>
                <w:sz w:val="24"/>
                <w:szCs w:val="24"/>
              </w:rPr>
              <w:t>3.1.1</w:t>
            </w:r>
            <w:r>
              <w:rPr>
                <w:sz w:val="24"/>
                <w:szCs w:val="24"/>
              </w:rPr>
              <w:t>噪声源</w:t>
            </w:r>
          </w:p>
          <w:p w14:paraId="794C2ADF">
            <w:pPr>
              <w:autoSpaceDE w:val="0"/>
              <w:autoSpaceDN w:val="0"/>
              <w:spacing w:line="360" w:lineRule="auto"/>
              <w:ind w:firstLine="480" w:firstLineChars="200"/>
              <w:textAlignment w:val="baseline"/>
              <w:rPr>
                <w:sz w:val="24"/>
                <w:szCs w:val="24"/>
              </w:rPr>
            </w:pPr>
            <w:r>
              <w:rPr>
                <w:sz w:val="24"/>
                <w:szCs w:val="24"/>
              </w:rPr>
              <w:t>噪声污染主要为生产设备运行噪声、运输车辆及工作人员生活噪声，噪声源强在</w:t>
            </w:r>
            <w:r>
              <w:rPr>
                <w:rFonts w:hint="eastAsia"/>
                <w:sz w:val="24"/>
                <w:szCs w:val="24"/>
                <w:lang w:val="en-US" w:eastAsia="zh-CN"/>
              </w:rPr>
              <w:t>55</w:t>
            </w:r>
            <w:r>
              <w:rPr>
                <w:sz w:val="24"/>
                <w:szCs w:val="24"/>
              </w:rPr>
              <w:t>dB~9</w:t>
            </w:r>
            <w:r>
              <w:rPr>
                <w:rFonts w:hint="eastAsia"/>
                <w:sz w:val="24"/>
                <w:szCs w:val="24"/>
              </w:rPr>
              <w:t>5</w:t>
            </w:r>
            <w:r>
              <w:rPr>
                <w:sz w:val="24"/>
                <w:szCs w:val="24"/>
              </w:rPr>
              <w:t>dB（A）之间。</w:t>
            </w:r>
          </w:p>
          <w:p w14:paraId="62AC9CA9">
            <w:pPr>
              <w:topLinePunct/>
              <w:spacing w:line="360" w:lineRule="auto"/>
              <w:ind w:firstLine="480" w:firstLineChars="200"/>
              <w:textAlignment w:val="baseline"/>
              <w:rPr>
                <w:sz w:val="24"/>
                <w:szCs w:val="24"/>
              </w:rPr>
            </w:pPr>
            <w:r>
              <w:rPr>
                <w:sz w:val="24"/>
                <w:szCs w:val="24"/>
              </w:rPr>
              <w:t>主要噪声源强见</w:t>
            </w:r>
            <w:r>
              <w:rPr>
                <w:rFonts w:hint="eastAsia"/>
                <w:sz w:val="24"/>
                <w:szCs w:val="24"/>
              </w:rPr>
              <w:t>下表</w:t>
            </w:r>
            <w:r>
              <w:rPr>
                <w:sz w:val="24"/>
                <w:szCs w:val="24"/>
              </w:rPr>
              <w:t>。</w:t>
            </w:r>
          </w:p>
          <w:p w14:paraId="0FC422C8">
            <w:pPr>
              <w:autoSpaceDE w:val="0"/>
              <w:autoSpaceDN w:val="0"/>
              <w:jc w:val="center"/>
              <w:textAlignment w:val="baseline"/>
              <w:rPr>
                <w:b/>
                <w:bCs/>
              </w:rPr>
            </w:pPr>
            <w:r>
              <w:rPr>
                <w:b/>
                <w:bCs/>
              </w:rPr>
              <w:t>表</w:t>
            </w:r>
            <w:r>
              <w:rPr>
                <w:rFonts w:hint="eastAsia"/>
                <w:b/>
                <w:bCs/>
              </w:rPr>
              <w:t>4-</w:t>
            </w:r>
            <w:r>
              <w:rPr>
                <w:rFonts w:hint="eastAsia"/>
                <w:b/>
                <w:bCs/>
                <w:lang w:val="en-US" w:eastAsia="zh-CN"/>
              </w:rPr>
              <w:t>9</w:t>
            </w:r>
            <w:r>
              <w:rPr>
                <w:rFonts w:hint="eastAsia"/>
                <w:b/>
                <w:bCs/>
              </w:rPr>
              <w:t xml:space="preserve"> </w:t>
            </w:r>
            <w:r>
              <w:rPr>
                <w:b/>
                <w:bCs/>
              </w:rPr>
              <w:t xml:space="preserve"> 主要设备噪声源强  单位：dB（A）</w:t>
            </w:r>
          </w:p>
          <w:tbl>
            <w:tblPr>
              <w:tblStyle w:val="24"/>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54"/>
              <w:gridCol w:w="1056"/>
              <w:gridCol w:w="850"/>
              <w:gridCol w:w="1401"/>
              <w:gridCol w:w="948"/>
              <w:gridCol w:w="853"/>
              <w:gridCol w:w="856"/>
              <w:gridCol w:w="981"/>
            </w:tblGrid>
            <w:tr w14:paraId="68B7CC9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399" w:type="pct"/>
                  <w:vMerge w:val="restart"/>
                  <w:noWrap/>
                  <w:vAlign w:val="center"/>
                </w:tcPr>
                <w:p w14:paraId="5942D475">
                  <w:pPr>
                    <w:jc w:val="center"/>
                  </w:pPr>
                  <w:r>
                    <w:t>序 号</w:t>
                  </w:r>
                </w:p>
              </w:tc>
              <w:tc>
                <w:tcPr>
                  <w:tcW w:w="796" w:type="pct"/>
                  <w:vMerge w:val="restart"/>
                  <w:noWrap/>
                  <w:vAlign w:val="center"/>
                </w:tcPr>
                <w:p w14:paraId="674530E1">
                  <w:pPr>
                    <w:pStyle w:val="7"/>
                    <w:overflowPunct w:val="0"/>
                    <w:spacing w:line="240" w:lineRule="auto"/>
                    <w:ind w:firstLine="0" w:firstLineChars="0"/>
                    <w:jc w:val="center"/>
                  </w:pPr>
                  <w:r>
                    <w:rPr>
                      <w:bCs w:val="0"/>
                      <w:szCs w:val="21"/>
                    </w:rPr>
                    <w:t>设备名称</w:t>
                  </w:r>
                </w:p>
              </w:tc>
              <w:tc>
                <w:tcPr>
                  <w:tcW w:w="578" w:type="pct"/>
                  <w:vMerge w:val="restart"/>
                  <w:noWrap/>
                  <w:vAlign w:val="center"/>
                </w:tcPr>
                <w:p w14:paraId="026398B2">
                  <w:pPr>
                    <w:jc w:val="center"/>
                  </w:pPr>
                  <w:r>
                    <w:t>噪声源强</w:t>
                  </w:r>
                </w:p>
              </w:tc>
              <w:tc>
                <w:tcPr>
                  <w:tcW w:w="465" w:type="pct"/>
                  <w:vMerge w:val="restart"/>
                  <w:noWrap/>
                  <w:vAlign w:val="center"/>
                </w:tcPr>
                <w:p w14:paraId="784C618A">
                  <w:pPr>
                    <w:jc w:val="center"/>
                  </w:pPr>
                  <w:r>
                    <w:t>噪声源位置</w:t>
                  </w:r>
                </w:p>
              </w:tc>
              <w:tc>
                <w:tcPr>
                  <w:tcW w:w="2222" w:type="pct"/>
                  <w:gridSpan w:val="4"/>
                  <w:tcBorders>
                    <w:bottom w:val="single" w:color="auto" w:sz="4" w:space="0"/>
                  </w:tcBorders>
                  <w:noWrap/>
                  <w:vAlign w:val="center"/>
                </w:tcPr>
                <w:p w14:paraId="37A68056">
                  <w:pPr>
                    <w:jc w:val="center"/>
                  </w:pPr>
                  <w:r>
                    <w:rPr>
                      <w:rFonts w:hint="default" w:ascii="Times New Roman" w:hAnsi="Times New Roman" w:eastAsia="宋体" w:cs="Times New Roman"/>
                      <w:sz w:val="21"/>
                      <w:szCs w:val="21"/>
                    </w:rPr>
                    <w:t>与厂界各</w:t>
                  </w:r>
                  <w:r>
                    <w:rPr>
                      <w:rFonts w:hint="eastAsia" w:ascii="Times New Roman" w:hAnsi="Times New Roman" w:cs="Times New Roman"/>
                      <w:sz w:val="21"/>
                      <w:szCs w:val="21"/>
                      <w:lang w:eastAsia="zh-CN"/>
                    </w:rPr>
                    <w:t>侧</w:t>
                  </w:r>
                  <w:r>
                    <w:rPr>
                      <w:rFonts w:hint="default" w:ascii="Times New Roman" w:hAnsi="Times New Roman" w:eastAsia="宋体" w:cs="Times New Roman"/>
                      <w:sz w:val="21"/>
                      <w:szCs w:val="21"/>
                    </w:rPr>
                    <w:t>最近距离（m）</w:t>
                  </w:r>
                </w:p>
              </w:tc>
              <w:tc>
                <w:tcPr>
                  <w:tcW w:w="537" w:type="pct"/>
                  <w:vMerge w:val="restart"/>
                  <w:noWrap/>
                  <w:vAlign w:val="center"/>
                </w:tcPr>
                <w:p w14:paraId="5446F774">
                  <w:pPr>
                    <w:jc w:val="center"/>
                  </w:pPr>
                  <w:r>
                    <w:t>备注</w:t>
                  </w:r>
                </w:p>
              </w:tc>
            </w:tr>
            <w:tr w14:paraId="4DD07B0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399" w:type="pct"/>
                  <w:vMerge w:val="continue"/>
                  <w:noWrap/>
                  <w:vAlign w:val="center"/>
                </w:tcPr>
                <w:p w14:paraId="6B6A8FC4">
                  <w:pPr>
                    <w:jc w:val="center"/>
                  </w:pPr>
                </w:p>
              </w:tc>
              <w:tc>
                <w:tcPr>
                  <w:tcW w:w="796" w:type="pct"/>
                  <w:vMerge w:val="continue"/>
                  <w:noWrap/>
                  <w:vAlign w:val="center"/>
                </w:tcPr>
                <w:p w14:paraId="4D8CBD60">
                  <w:pPr>
                    <w:jc w:val="center"/>
                  </w:pPr>
                </w:p>
              </w:tc>
              <w:tc>
                <w:tcPr>
                  <w:tcW w:w="578" w:type="pct"/>
                  <w:vMerge w:val="continue"/>
                  <w:tcBorders>
                    <w:bottom w:val="single" w:color="auto" w:sz="4" w:space="0"/>
                  </w:tcBorders>
                  <w:noWrap/>
                  <w:vAlign w:val="center"/>
                </w:tcPr>
                <w:p w14:paraId="310AE48E">
                  <w:pPr>
                    <w:jc w:val="center"/>
                  </w:pPr>
                </w:p>
              </w:tc>
              <w:tc>
                <w:tcPr>
                  <w:tcW w:w="465" w:type="pct"/>
                  <w:vMerge w:val="continue"/>
                  <w:tcBorders>
                    <w:bottom w:val="single" w:color="auto" w:sz="4" w:space="0"/>
                  </w:tcBorders>
                  <w:noWrap/>
                  <w:vAlign w:val="center"/>
                </w:tcPr>
                <w:p w14:paraId="7DA439FA">
                  <w:pPr>
                    <w:jc w:val="center"/>
                  </w:pPr>
                </w:p>
              </w:tc>
              <w:tc>
                <w:tcPr>
                  <w:tcW w:w="767" w:type="pct"/>
                  <w:tcBorders>
                    <w:bottom w:val="single" w:color="auto" w:sz="4" w:space="0"/>
                  </w:tcBorders>
                  <w:noWrap/>
                  <w:vAlign w:val="center"/>
                </w:tcPr>
                <w:p w14:paraId="74E8FF0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东厂界</w:t>
                  </w:r>
                </w:p>
              </w:tc>
              <w:tc>
                <w:tcPr>
                  <w:tcW w:w="519" w:type="pct"/>
                  <w:tcBorders>
                    <w:bottom w:val="single" w:color="auto" w:sz="4" w:space="0"/>
                  </w:tcBorders>
                  <w:noWrap/>
                  <w:vAlign w:val="center"/>
                </w:tcPr>
                <w:p w14:paraId="48423A71">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南厂界</w:t>
                  </w:r>
                </w:p>
              </w:tc>
              <w:tc>
                <w:tcPr>
                  <w:tcW w:w="467" w:type="pct"/>
                  <w:tcBorders>
                    <w:bottom w:val="single" w:color="auto" w:sz="4" w:space="0"/>
                  </w:tcBorders>
                  <w:noWrap/>
                  <w:vAlign w:val="center"/>
                </w:tcPr>
                <w:p w14:paraId="5A0AA436">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西厂界</w:t>
                  </w:r>
                </w:p>
              </w:tc>
              <w:tc>
                <w:tcPr>
                  <w:tcW w:w="468" w:type="pct"/>
                  <w:tcBorders>
                    <w:bottom w:val="single" w:color="auto" w:sz="4" w:space="0"/>
                  </w:tcBorders>
                  <w:noWrap/>
                  <w:vAlign w:val="center"/>
                </w:tcPr>
                <w:p w14:paraId="41E72782">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北厂界</w:t>
                  </w:r>
                </w:p>
              </w:tc>
              <w:tc>
                <w:tcPr>
                  <w:tcW w:w="537" w:type="pct"/>
                  <w:vMerge w:val="continue"/>
                  <w:tcBorders>
                    <w:bottom w:val="single" w:color="auto" w:sz="4" w:space="0"/>
                  </w:tcBorders>
                  <w:noWrap/>
                  <w:vAlign w:val="center"/>
                </w:tcPr>
                <w:p w14:paraId="14861023">
                  <w:pPr>
                    <w:jc w:val="center"/>
                    <w:rPr>
                      <w:rFonts w:hint="default" w:ascii="Times New Roman" w:hAnsi="Times New Roman" w:eastAsia="宋体" w:cs="Times New Roman"/>
                      <w:sz w:val="21"/>
                      <w:szCs w:val="21"/>
                    </w:rPr>
                  </w:pPr>
                </w:p>
              </w:tc>
            </w:tr>
            <w:tr w14:paraId="73C691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99" w:type="pct"/>
                  <w:noWrap/>
                  <w:vAlign w:val="center"/>
                </w:tcPr>
                <w:p w14:paraId="4F5CD904">
                  <w:pPr>
                    <w:jc w:val="center"/>
                  </w:pPr>
                  <w:r>
                    <w:t>1</w:t>
                  </w:r>
                </w:p>
              </w:tc>
              <w:tc>
                <w:tcPr>
                  <w:tcW w:w="796" w:type="pct"/>
                  <w:noWrap/>
                  <w:vAlign w:val="center"/>
                </w:tcPr>
                <w:p w14:paraId="3B9EE492">
                  <w:pPr>
                    <w:widowControl/>
                    <w:jc w:val="center"/>
                  </w:pPr>
                  <w:r>
                    <w:rPr>
                      <w:rFonts w:hint="eastAsia"/>
                      <w:color w:val="000000"/>
                    </w:rPr>
                    <w:t>原料仓</w:t>
                  </w:r>
                </w:p>
              </w:tc>
              <w:tc>
                <w:tcPr>
                  <w:tcW w:w="578" w:type="pct"/>
                  <w:noWrap/>
                  <w:vAlign w:val="center"/>
                </w:tcPr>
                <w:p w14:paraId="6B95B13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pPr>
                  <w:r>
                    <w:rPr>
                      <w:rFonts w:hint="eastAsia" w:cs="Times New Roman"/>
                      <w:sz w:val="21"/>
                      <w:szCs w:val="21"/>
                      <w:vertAlign w:val="baseline"/>
                      <w:lang w:val="en-US" w:eastAsia="zh-CN"/>
                    </w:rPr>
                    <w:t>50～60</w:t>
                  </w:r>
                </w:p>
              </w:tc>
              <w:tc>
                <w:tcPr>
                  <w:tcW w:w="465" w:type="pct"/>
                  <w:vMerge w:val="restart"/>
                  <w:noWrap/>
                  <w:vAlign w:val="center"/>
                </w:tcPr>
                <w:p w14:paraId="130184DB">
                  <w:pPr>
                    <w:jc w:val="center"/>
                  </w:pPr>
                  <w:r>
                    <w:t>生产车间</w:t>
                  </w:r>
                </w:p>
              </w:tc>
              <w:tc>
                <w:tcPr>
                  <w:tcW w:w="767" w:type="pct"/>
                  <w:noWrap/>
                  <w:vAlign w:val="center"/>
                </w:tcPr>
                <w:p w14:paraId="006ED584">
                  <w:pPr>
                    <w:jc w:val="center"/>
                    <w:rPr>
                      <w:rFonts w:hint="default" w:eastAsia="宋体"/>
                      <w:lang w:val="en-US" w:eastAsia="zh-CN"/>
                    </w:rPr>
                  </w:pPr>
                  <w:r>
                    <w:rPr>
                      <w:rFonts w:hint="eastAsia"/>
                      <w:lang w:val="en-US" w:eastAsia="zh-CN"/>
                    </w:rPr>
                    <w:t>45</w:t>
                  </w:r>
                </w:p>
              </w:tc>
              <w:tc>
                <w:tcPr>
                  <w:tcW w:w="519" w:type="pct"/>
                  <w:noWrap/>
                  <w:vAlign w:val="center"/>
                </w:tcPr>
                <w:p w14:paraId="75D0BB36">
                  <w:pPr>
                    <w:jc w:val="center"/>
                    <w:rPr>
                      <w:rFonts w:hint="default" w:eastAsia="宋体"/>
                      <w:lang w:val="en-US" w:eastAsia="zh-CN"/>
                    </w:rPr>
                  </w:pPr>
                  <w:r>
                    <w:rPr>
                      <w:rFonts w:hint="eastAsia"/>
                      <w:lang w:val="en-US" w:eastAsia="zh-CN"/>
                    </w:rPr>
                    <w:t>20</w:t>
                  </w:r>
                </w:p>
              </w:tc>
              <w:tc>
                <w:tcPr>
                  <w:tcW w:w="467" w:type="pct"/>
                  <w:noWrap/>
                  <w:vAlign w:val="center"/>
                </w:tcPr>
                <w:p w14:paraId="10D186F6">
                  <w:pPr>
                    <w:jc w:val="center"/>
                    <w:rPr>
                      <w:rFonts w:hint="default" w:eastAsia="宋体"/>
                      <w:lang w:val="en-US" w:eastAsia="zh-CN"/>
                    </w:rPr>
                  </w:pPr>
                  <w:r>
                    <w:rPr>
                      <w:rFonts w:hint="eastAsia"/>
                      <w:lang w:val="en-US" w:eastAsia="zh-CN"/>
                    </w:rPr>
                    <w:t>50</w:t>
                  </w:r>
                </w:p>
              </w:tc>
              <w:tc>
                <w:tcPr>
                  <w:tcW w:w="468" w:type="pct"/>
                  <w:noWrap/>
                  <w:vAlign w:val="center"/>
                </w:tcPr>
                <w:p w14:paraId="67F4F393">
                  <w:pPr>
                    <w:jc w:val="center"/>
                    <w:rPr>
                      <w:rFonts w:hint="default" w:eastAsia="宋体"/>
                      <w:lang w:val="en-US" w:eastAsia="zh-CN"/>
                    </w:rPr>
                  </w:pPr>
                  <w:r>
                    <w:rPr>
                      <w:rFonts w:hint="eastAsia"/>
                      <w:lang w:val="en-US" w:eastAsia="zh-CN"/>
                    </w:rPr>
                    <w:t>70</w:t>
                  </w:r>
                </w:p>
              </w:tc>
              <w:tc>
                <w:tcPr>
                  <w:tcW w:w="537" w:type="pct"/>
                  <w:vMerge w:val="restart"/>
                  <w:noWrap/>
                  <w:vAlign w:val="center"/>
                </w:tcPr>
                <w:p w14:paraId="13BBE165">
                  <w:pPr>
                    <w:jc w:val="center"/>
                  </w:pPr>
                  <w:r>
                    <w:rPr>
                      <w:kern w:val="28"/>
                    </w:rPr>
                    <w:t>连续性</w:t>
                  </w:r>
                </w:p>
              </w:tc>
            </w:tr>
            <w:tr w14:paraId="042B15A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99" w:type="pct"/>
                  <w:noWrap/>
                  <w:vAlign w:val="center"/>
                </w:tcPr>
                <w:p w14:paraId="7184707F">
                  <w:pPr>
                    <w:jc w:val="center"/>
                  </w:pPr>
                  <w:r>
                    <w:t>2</w:t>
                  </w:r>
                </w:p>
              </w:tc>
              <w:tc>
                <w:tcPr>
                  <w:tcW w:w="796" w:type="pct"/>
                  <w:noWrap/>
                  <w:vAlign w:val="center"/>
                </w:tcPr>
                <w:p w14:paraId="4DF45060">
                  <w:pPr>
                    <w:widowControl/>
                    <w:jc w:val="center"/>
                  </w:pPr>
                  <w:r>
                    <w:rPr>
                      <w:rFonts w:hint="default" w:ascii="Times New Roman" w:hAnsi="Times New Roman" w:cs="Times New Roman"/>
                      <w:kern w:val="0"/>
                      <w:sz w:val="21"/>
                      <w:szCs w:val="21"/>
                    </w:rPr>
                    <w:t>砂浆处理系统</w:t>
                  </w:r>
                </w:p>
              </w:tc>
              <w:tc>
                <w:tcPr>
                  <w:tcW w:w="578" w:type="pct"/>
                  <w:noWrap/>
                  <w:vAlign w:val="center"/>
                </w:tcPr>
                <w:p w14:paraId="49B81BD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pPr>
                  <w:r>
                    <w:rPr>
                      <w:rFonts w:hint="eastAsia" w:cs="Times New Roman"/>
                      <w:sz w:val="21"/>
                      <w:szCs w:val="21"/>
                      <w:vertAlign w:val="baseline"/>
                      <w:lang w:val="en-US" w:eastAsia="zh-CN"/>
                    </w:rPr>
                    <w:t>55～75</w:t>
                  </w:r>
                </w:p>
              </w:tc>
              <w:tc>
                <w:tcPr>
                  <w:tcW w:w="465" w:type="pct"/>
                  <w:vMerge w:val="continue"/>
                  <w:noWrap/>
                  <w:vAlign w:val="center"/>
                </w:tcPr>
                <w:p w14:paraId="1C6CB24C">
                  <w:pPr>
                    <w:jc w:val="center"/>
                  </w:pPr>
                </w:p>
              </w:tc>
              <w:tc>
                <w:tcPr>
                  <w:tcW w:w="767" w:type="pct"/>
                  <w:noWrap/>
                  <w:vAlign w:val="center"/>
                </w:tcPr>
                <w:p w14:paraId="30A705AF">
                  <w:pPr>
                    <w:jc w:val="center"/>
                    <w:rPr>
                      <w:rFonts w:hint="eastAsia" w:eastAsia="宋体"/>
                      <w:lang w:val="en-US" w:eastAsia="zh-CN"/>
                    </w:rPr>
                  </w:pPr>
                  <w:r>
                    <w:rPr>
                      <w:rFonts w:hint="eastAsia"/>
                      <w:lang w:val="en-US" w:eastAsia="zh-CN"/>
                    </w:rPr>
                    <w:t>45</w:t>
                  </w:r>
                </w:p>
              </w:tc>
              <w:tc>
                <w:tcPr>
                  <w:tcW w:w="519" w:type="pct"/>
                  <w:noWrap/>
                  <w:vAlign w:val="center"/>
                </w:tcPr>
                <w:p w14:paraId="001A6E92">
                  <w:pPr>
                    <w:jc w:val="center"/>
                    <w:rPr>
                      <w:rFonts w:hint="default" w:eastAsia="宋体"/>
                      <w:lang w:val="en-US" w:eastAsia="zh-CN"/>
                    </w:rPr>
                  </w:pPr>
                  <w:r>
                    <w:rPr>
                      <w:rFonts w:hint="eastAsia"/>
                      <w:lang w:val="en-US" w:eastAsia="zh-CN"/>
                    </w:rPr>
                    <w:t>25</w:t>
                  </w:r>
                </w:p>
              </w:tc>
              <w:tc>
                <w:tcPr>
                  <w:tcW w:w="467" w:type="pct"/>
                  <w:noWrap/>
                  <w:vAlign w:val="center"/>
                </w:tcPr>
                <w:p w14:paraId="342D65E4">
                  <w:pPr>
                    <w:jc w:val="center"/>
                    <w:rPr>
                      <w:rFonts w:hint="default" w:eastAsia="宋体"/>
                      <w:lang w:val="en-US" w:eastAsia="zh-CN"/>
                    </w:rPr>
                  </w:pPr>
                  <w:r>
                    <w:rPr>
                      <w:rFonts w:hint="eastAsia"/>
                      <w:lang w:val="en-US" w:eastAsia="zh-CN"/>
                    </w:rPr>
                    <w:t>50</w:t>
                  </w:r>
                </w:p>
              </w:tc>
              <w:tc>
                <w:tcPr>
                  <w:tcW w:w="468" w:type="pct"/>
                  <w:noWrap/>
                  <w:vAlign w:val="center"/>
                </w:tcPr>
                <w:p w14:paraId="3BB68785">
                  <w:pPr>
                    <w:jc w:val="center"/>
                    <w:rPr>
                      <w:rFonts w:hint="default" w:eastAsia="宋体"/>
                      <w:lang w:val="en-US" w:eastAsia="zh-CN"/>
                    </w:rPr>
                  </w:pPr>
                  <w:r>
                    <w:rPr>
                      <w:rFonts w:hint="eastAsia"/>
                      <w:lang w:val="en-US" w:eastAsia="zh-CN"/>
                    </w:rPr>
                    <w:t>75</w:t>
                  </w:r>
                </w:p>
              </w:tc>
              <w:tc>
                <w:tcPr>
                  <w:tcW w:w="537" w:type="pct"/>
                  <w:vMerge w:val="continue"/>
                  <w:noWrap/>
                  <w:vAlign w:val="center"/>
                </w:tcPr>
                <w:p w14:paraId="5F3B9C11">
                  <w:pPr>
                    <w:jc w:val="center"/>
                    <w:rPr>
                      <w:kern w:val="28"/>
                    </w:rPr>
                  </w:pPr>
                </w:p>
              </w:tc>
            </w:tr>
            <w:tr w14:paraId="54CC14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noWrap/>
                  <w:vAlign w:val="center"/>
                </w:tcPr>
                <w:p w14:paraId="11DEBE5B">
                  <w:pPr>
                    <w:jc w:val="center"/>
                  </w:pPr>
                  <w:r>
                    <w:rPr>
                      <w:rFonts w:hint="eastAsia"/>
                    </w:rPr>
                    <w:t>3</w:t>
                  </w:r>
                </w:p>
              </w:tc>
              <w:tc>
                <w:tcPr>
                  <w:tcW w:w="796" w:type="pct"/>
                  <w:noWrap/>
                  <w:vAlign w:val="center"/>
                </w:tcPr>
                <w:p w14:paraId="70E688E6">
                  <w:pPr>
                    <w:widowControl/>
                    <w:jc w:val="center"/>
                  </w:pPr>
                  <w:r>
                    <w:rPr>
                      <w:rFonts w:hint="eastAsia"/>
                      <w:color w:val="000000"/>
                    </w:rPr>
                    <w:t>称重输送机</w:t>
                  </w:r>
                </w:p>
              </w:tc>
              <w:tc>
                <w:tcPr>
                  <w:tcW w:w="578" w:type="pct"/>
                  <w:noWrap/>
                  <w:vAlign w:val="center"/>
                </w:tcPr>
                <w:p w14:paraId="0DCAC0C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pPr>
                  <w:r>
                    <w:rPr>
                      <w:rFonts w:hint="eastAsia" w:cs="Times New Roman"/>
                      <w:sz w:val="21"/>
                      <w:szCs w:val="21"/>
                      <w:vertAlign w:val="baseline"/>
                      <w:lang w:val="en-US" w:eastAsia="zh-CN"/>
                    </w:rPr>
                    <w:t>65～70</w:t>
                  </w:r>
                </w:p>
              </w:tc>
              <w:tc>
                <w:tcPr>
                  <w:tcW w:w="465" w:type="pct"/>
                  <w:vMerge w:val="continue"/>
                  <w:noWrap/>
                  <w:vAlign w:val="center"/>
                </w:tcPr>
                <w:p w14:paraId="340AD5D7">
                  <w:pPr>
                    <w:jc w:val="center"/>
                  </w:pPr>
                </w:p>
              </w:tc>
              <w:tc>
                <w:tcPr>
                  <w:tcW w:w="767" w:type="pct"/>
                  <w:noWrap/>
                  <w:vAlign w:val="center"/>
                </w:tcPr>
                <w:p w14:paraId="70EAC6E4">
                  <w:pPr>
                    <w:jc w:val="center"/>
                    <w:rPr>
                      <w:rFonts w:hint="default" w:eastAsia="宋体"/>
                      <w:lang w:val="en-US" w:eastAsia="zh-CN"/>
                    </w:rPr>
                  </w:pPr>
                  <w:r>
                    <w:rPr>
                      <w:rFonts w:hint="eastAsia"/>
                      <w:lang w:val="en-US" w:eastAsia="zh-CN"/>
                    </w:rPr>
                    <w:t>45</w:t>
                  </w:r>
                </w:p>
              </w:tc>
              <w:tc>
                <w:tcPr>
                  <w:tcW w:w="519" w:type="pct"/>
                  <w:noWrap/>
                  <w:vAlign w:val="center"/>
                </w:tcPr>
                <w:p w14:paraId="1678C93A">
                  <w:pPr>
                    <w:jc w:val="center"/>
                    <w:rPr>
                      <w:rFonts w:hint="default" w:eastAsia="宋体"/>
                      <w:lang w:val="en-US" w:eastAsia="zh-CN"/>
                    </w:rPr>
                  </w:pPr>
                  <w:r>
                    <w:rPr>
                      <w:rFonts w:hint="eastAsia"/>
                      <w:lang w:val="en-US" w:eastAsia="zh-CN"/>
                    </w:rPr>
                    <w:t>25</w:t>
                  </w:r>
                </w:p>
              </w:tc>
              <w:tc>
                <w:tcPr>
                  <w:tcW w:w="467" w:type="pct"/>
                  <w:noWrap/>
                  <w:vAlign w:val="center"/>
                </w:tcPr>
                <w:p w14:paraId="0FE24892">
                  <w:pPr>
                    <w:jc w:val="center"/>
                    <w:rPr>
                      <w:rFonts w:hint="default" w:eastAsia="宋体"/>
                      <w:lang w:val="en-US" w:eastAsia="zh-CN"/>
                    </w:rPr>
                  </w:pPr>
                  <w:r>
                    <w:rPr>
                      <w:rFonts w:hint="eastAsia"/>
                      <w:lang w:val="en-US" w:eastAsia="zh-CN"/>
                    </w:rPr>
                    <w:t>55</w:t>
                  </w:r>
                </w:p>
              </w:tc>
              <w:tc>
                <w:tcPr>
                  <w:tcW w:w="468" w:type="pct"/>
                  <w:noWrap/>
                  <w:vAlign w:val="center"/>
                </w:tcPr>
                <w:p w14:paraId="1D0A5986">
                  <w:pPr>
                    <w:jc w:val="center"/>
                    <w:rPr>
                      <w:rFonts w:hint="default" w:eastAsia="宋体"/>
                      <w:lang w:val="en-US" w:eastAsia="zh-CN"/>
                    </w:rPr>
                  </w:pPr>
                  <w:r>
                    <w:rPr>
                      <w:rFonts w:hint="eastAsia"/>
                      <w:lang w:val="en-US" w:eastAsia="zh-CN"/>
                    </w:rPr>
                    <w:t>75</w:t>
                  </w:r>
                </w:p>
              </w:tc>
              <w:tc>
                <w:tcPr>
                  <w:tcW w:w="537" w:type="pct"/>
                  <w:vMerge w:val="continue"/>
                  <w:noWrap/>
                  <w:vAlign w:val="center"/>
                </w:tcPr>
                <w:p w14:paraId="0A4D6D8F">
                  <w:pPr>
                    <w:jc w:val="center"/>
                  </w:pPr>
                </w:p>
              </w:tc>
            </w:tr>
            <w:tr w14:paraId="6F5B05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noWrap/>
                  <w:vAlign w:val="center"/>
                </w:tcPr>
                <w:p w14:paraId="6B18B0F2">
                  <w:pPr>
                    <w:jc w:val="center"/>
                  </w:pPr>
                  <w:r>
                    <w:rPr>
                      <w:rFonts w:hint="eastAsia"/>
                    </w:rPr>
                    <w:t>4</w:t>
                  </w:r>
                </w:p>
              </w:tc>
              <w:tc>
                <w:tcPr>
                  <w:tcW w:w="796" w:type="pct"/>
                  <w:noWrap/>
                  <w:vAlign w:val="center"/>
                </w:tcPr>
                <w:p w14:paraId="4A717EAB">
                  <w:pPr>
                    <w:widowControl/>
                    <w:jc w:val="center"/>
                  </w:pPr>
                  <w:r>
                    <w:rPr>
                      <w:rFonts w:hint="default" w:ascii="Times New Roman" w:hAnsi="Times New Roman" w:cs="Times New Roman"/>
                      <w:kern w:val="0"/>
                      <w:sz w:val="21"/>
                      <w:szCs w:val="21"/>
                    </w:rPr>
                    <w:t>球磨机</w:t>
                  </w:r>
                </w:p>
              </w:tc>
              <w:tc>
                <w:tcPr>
                  <w:tcW w:w="578" w:type="pct"/>
                  <w:noWrap/>
                  <w:vAlign w:val="center"/>
                </w:tcPr>
                <w:p w14:paraId="7AB560C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pPr>
                  <w:r>
                    <w:rPr>
                      <w:rFonts w:hint="eastAsia" w:cs="Times New Roman"/>
                      <w:sz w:val="21"/>
                      <w:szCs w:val="21"/>
                      <w:vertAlign w:val="baseline"/>
                      <w:lang w:val="en-US" w:eastAsia="zh-CN"/>
                    </w:rPr>
                    <w:t>70～85</w:t>
                  </w:r>
                </w:p>
              </w:tc>
              <w:tc>
                <w:tcPr>
                  <w:tcW w:w="465" w:type="pct"/>
                  <w:vMerge w:val="continue"/>
                  <w:noWrap/>
                  <w:vAlign w:val="center"/>
                </w:tcPr>
                <w:p w14:paraId="0D3CD097">
                  <w:pPr>
                    <w:jc w:val="center"/>
                  </w:pPr>
                </w:p>
              </w:tc>
              <w:tc>
                <w:tcPr>
                  <w:tcW w:w="767" w:type="pct"/>
                  <w:noWrap/>
                  <w:vAlign w:val="center"/>
                </w:tcPr>
                <w:p w14:paraId="1135DF25">
                  <w:pPr>
                    <w:jc w:val="center"/>
                    <w:rPr>
                      <w:rFonts w:hint="eastAsia" w:eastAsia="宋体"/>
                      <w:lang w:val="en-US" w:eastAsia="zh-CN"/>
                    </w:rPr>
                  </w:pPr>
                  <w:r>
                    <w:rPr>
                      <w:rFonts w:hint="eastAsia"/>
                      <w:lang w:val="en-US" w:eastAsia="zh-CN"/>
                    </w:rPr>
                    <w:t>45</w:t>
                  </w:r>
                </w:p>
              </w:tc>
              <w:tc>
                <w:tcPr>
                  <w:tcW w:w="519" w:type="pct"/>
                  <w:noWrap/>
                  <w:vAlign w:val="center"/>
                </w:tcPr>
                <w:p w14:paraId="1CA9E66D">
                  <w:pPr>
                    <w:jc w:val="center"/>
                    <w:rPr>
                      <w:rFonts w:hint="default" w:eastAsia="宋体"/>
                      <w:lang w:val="en-US" w:eastAsia="zh-CN"/>
                    </w:rPr>
                  </w:pPr>
                  <w:r>
                    <w:rPr>
                      <w:rFonts w:hint="eastAsia"/>
                      <w:lang w:val="en-US" w:eastAsia="zh-CN"/>
                    </w:rPr>
                    <w:t>25</w:t>
                  </w:r>
                </w:p>
              </w:tc>
              <w:tc>
                <w:tcPr>
                  <w:tcW w:w="467" w:type="pct"/>
                  <w:noWrap/>
                  <w:vAlign w:val="center"/>
                </w:tcPr>
                <w:p w14:paraId="279D9A9A">
                  <w:pPr>
                    <w:jc w:val="center"/>
                    <w:rPr>
                      <w:rFonts w:hint="default" w:eastAsia="宋体"/>
                      <w:lang w:val="en-US" w:eastAsia="zh-CN"/>
                    </w:rPr>
                  </w:pPr>
                  <w:r>
                    <w:rPr>
                      <w:rFonts w:hint="eastAsia"/>
                      <w:lang w:val="en-US" w:eastAsia="zh-CN"/>
                    </w:rPr>
                    <w:t>50</w:t>
                  </w:r>
                </w:p>
              </w:tc>
              <w:tc>
                <w:tcPr>
                  <w:tcW w:w="468" w:type="pct"/>
                  <w:noWrap/>
                  <w:vAlign w:val="center"/>
                </w:tcPr>
                <w:p w14:paraId="2B1E505E">
                  <w:pPr>
                    <w:jc w:val="center"/>
                    <w:rPr>
                      <w:rFonts w:hint="default" w:eastAsia="宋体"/>
                      <w:lang w:val="en-US" w:eastAsia="zh-CN"/>
                    </w:rPr>
                  </w:pPr>
                  <w:r>
                    <w:rPr>
                      <w:rFonts w:hint="eastAsia"/>
                      <w:lang w:val="en-US" w:eastAsia="zh-CN"/>
                    </w:rPr>
                    <w:t>75</w:t>
                  </w:r>
                </w:p>
              </w:tc>
              <w:tc>
                <w:tcPr>
                  <w:tcW w:w="537" w:type="pct"/>
                  <w:vMerge w:val="continue"/>
                  <w:noWrap/>
                  <w:vAlign w:val="center"/>
                </w:tcPr>
                <w:p w14:paraId="2D3751D0">
                  <w:pPr>
                    <w:jc w:val="center"/>
                  </w:pPr>
                </w:p>
              </w:tc>
            </w:tr>
            <w:tr w14:paraId="4904B51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noWrap/>
                  <w:vAlign w:val="center"/>
                </w:tcPr>
                <w:p w14:paraId="67A98B9D">
                  <w:pPr>
                    <w:jc w:val="center"/>
                  </w:pPr>
                  <w:r>
                    <w:rPr>
                      <w:rFonts w:hint="eastAsia"/>
                    </w:rPr>
                    <w:t>5</w:t>
                  </w:r>
                </w:p>
              </w:tc>
              <w:tc>
                <w:tcPr>
                  <w:tcW w:w="796" w:type="pct"/>
                  <w:noWrap/>
                  <w:vAlign w:val="center"/>
                </w:tcPr>
                <w:p w14:paraId="52CBBC7B">
                  <w:pPr>
                    <w:widowControl/>
                    <w:jc w:val="center"/>
                  </w:pPr>
                  <w:r>
                    <w:rPr>
                      <w:rFonts w:hint="eastAsia"/>
                      <w:bCs/>
                      <w:color w:val="000000"/>
                      <w:lang w:val="en-US" w:eastAsia="zh-CN"/>
                    </w:rPr>
                    <w:t>浇筑</w:t>
                  </w:r>
                  <w:r>
                    <w:rPr>
                      <w:rFonts w:hint="eastAsia"/>
                      <w:bCs/>
                      <w:color w:val="000000"/>
                    </w:rPr>
                    <w:t>搅拌机</w:t>
                  </w:r>
                </w:p>
              </w:tc>
              <w:tc>
                <w:tcPr>
                  <w:tcW w:w="578" w:type="pct"/>
                  <w:noWrap/>
                  <w:vAlign w:val="center"/>
                </w:tcPr>
                <w:p w14:paraId="0A4025D4">
                  <w:pPr>
                    <w:pStyle w:val="2"/>
                    <w:keepNext w:val="0"/>
                    <w:keepLines w:val="0"/>
                    <w:pageBreakBefore w:val="0"/>
                    <w:kinsoku/>
                    <w:wordWrap/>
                    <w:overflowPunct/>
                    <w:topLinePunct w:val="0"/>
                    <w:autoSpaceDE/>
                    <w:autoSpaceDN/>
                    <w:bidi w:val="0"/>
                    <w:adjustRightInd/>
                    <w:snapToGrid/>
                    <w:spacing w:before="0" w:after="0" w:line="240" w:lineRule="auto"/>
                    <w:ind w:right="0" w:rightChars="0" w:firstLine="0" w:firstLineChars="0"/>
                    <w:jc w:val="center"/>
                    <w:textAlignment w:val="auto"/>
                  </w:pPr>
                  <w:r>
                    <w:rPr>
                      <w:rFonts w:hint="eastAsia"/>
                      <w:sz w:val="21"/>
                      <w:szCs w:val="21"/>
                      <w:vertAlign w:val="baseline"/>
                      <w:lang w:val="en-US" w:eastAsia="zh-CN"/>
                    </w:rPr>
                    <w:t>60</w:t>
                  </w:r>
                  <w:r>
                    <w:rPr>
                      <w:rFonts w:hint="eastAsia" w:cs="Times New Roman"/>
                      <w:sz w:val="21"/>
                      <w:szCs w:val="21"/>
                      <w:vertAlign w:val="baseline"/>
                      <w:lang w:val="en-US" w:eastAsia="zh-CN"/>
                    </w:rPr>
                    <w:t>～</w:t>
                  </w:r>
                  <w:r>
                    <w:rPr>
                      <w:rFonts w:hint="eastAsia"/>
                      <w:sz w:val="21"/>
                      <w:szCs w:val="21"/>
                      <w:vertAlign w:val="baseline"/>
                      <w:lang w:val="en-US" w:eastAsia="zh-CN"/>
                    </w:rPr>
                    <w:t>75</w:t>
                  </w:r>
                </w:p>
              </w:tc>
              <w:tc>
                <w:tcPr>
                  <w:tcW w:w="465" w:type="pct"/>
                  <w:vMerge w:val="continue"/>
                  <w:noWrap/>
                  <w:vAlign w:val="center"/>
                </w:tcPr>
                <w:p w14:paraId="0AC004FE">
                  <w:pPr>
                    <w:jc w:val="center"/>
                  </w:pPr>
                </w:p>
              </w:tc>
              <w:tc>
                <w:tcPr>
                  <w:tcW w:w="767" w:type="pct"/>
                  <w:noWrap/>
                  <w:vAlign w:val="center"/>
                </w:tcPr>
                <w:p w14:paraId="73529F69">
                  <w:pPr>
                    <w:jc w:val="center"/>
                    <w:rPr>
                      <w:rFonts w:hint="eastAsia" w:eastAsia="宋体"/>
                      <w:lang w:val="en-US" w:eastAsia="zh-CN"/>
                    </w:rPr>
                  </w:pPr>
                  <w:r>
                    <w:rPr>
                      <w:rFonts w:hint="eastAsia"/>
                      <w:lang w:val="en-US" w:eastAsia="zh-CN"/>
                    </w:rPr>
                    <w:t>45</w:t>
                  </w:r>
                </w:p>
              </w:tc>
              <w:tc>
                <w:tcPr>
                  <w:tcW w:w="519" w:type="pct"/>
                  <w:noWrap/>
                  <w:vAlign w:val="center"/>
                </w:tcPr>
                <w:p w14:paraId="7E5ECCEC">
                  <w:pPr>
                    <w:jc w:val="center"/>
                    <w:rPr>
                      <w:rFonts w:hint="default" w:eastAsia="宋体"/>
                      <w:lang w:val="en-US" w:eastAsia="zh-CN"/>
                    </w:rPr>
                  </w:pPr>
                  <w:r>
                    <w:rPr>
                      <w:rFonts w:hint="eastAsia"/>
                      <w:lang w:val="en-US" w:eastAsia="zh-CN"/>
                    </w:rPr>
                    <w:t>30</w:t>
                  </w:r>
                </w:p>
              </w:tc>
              <w:tc>
                <w:tcPr>
                  <w:tcW w:w="467" w:type="pct"/>
                  <w:noWrap/>
                  <w:vAlign w:val="center"/>
                </w:tcPr>
                <w:p w14:paraId="28F6CADC">
                  <w:pPr>
                    <w:jc w:val="center"/>
                    <w:rPr>
                      <w:rFonts w:hint="default" w:eastAsia="宋体"/>
                      <w:lang w:val="en-US" w:eastAsia="zh-CN"/>
                    </w:rPr>
                  </w:pPr>
                  <w:r>
                    <w:rPr>
                      <w:rFonts w:hint="eastAsia"/>
                      <w:lang w:val="en-US" w:eastAsia="zh-CN"/>
                    </w:rPr>
                    <w:t>50</w:t>
                  </w:r>
                </w:p>
              </w:tc>
              <w:tc>
                <w:tcPr>
                  <w:tcW w:w="468" w:type="pct"/>
                  <w:noWrap/>
                  <w:vAlign w:val="center"/>
                </w:tcPr>
                <w:p w14:paraId="1C967C61">
                  <w:pPr>
                    <w:jc w:val="center"/>
                    <w:rPr>
                      <w:rFonts w:hint="default" w:eastAsia="宋体"/>
                      <w:lang w:val="en-US" w:eastAsia="zh-CN"/>
                    </w:rPr>
                  </w:pPr>
                  <w:r>
                    <w:rPr>
                      <w:rFonts w:hint="eastAsia"/>
                      <w:lang w:val="en-US" w:eastAsia="zh-CN"/>
                    </w:rPr>
                    <w:t>80</w:t>
                  </w:r>
                </w:p>
              </w:tc>
              <w:tc>
                <w:tcPr>
                  <w:tcW w:w="537" w:type="pct"/>
                  <w:vMerge w:val="continue"/>
                  <w:noWrap/>
                  <w:vAlign w:val="center"/>
                </w:tcPr>
                <w:p w14:paraId="4C209EFB">
                  <w:pPr>
                    <w:jc w:val="center"/>
                  </w:pPr>
                </w:p>
              </w:tc>
            </w:tr>
            <w:tr w14:paraId="6967450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noWrap/>
                  <w:vAlign w:val="center"/>
                </w:tcPr>
                <w:p w14:paraId="014BC15C">
                  <w:pPr>
                    <w:jc w:val="center"/>
                  </w:pPr>
                  <w:r>
                    <w:rPr>
                      <w:rFonts w:hint="eastAsia"/>
                    </w:rPr>
                    <w:t>6</w:t>
                  </w:r>
                </w:p>
              </w:tc>
              <w:tc>
                <w:tcPr>
                  <w:tcW w:w="796" w:type="pct"/>
                  <w:noWrap/>
                  <w:vAlign w:val="center"/>
                </w:tcPr>
                <w:p w14:paraId="2E4BB759">
                  <w:pPr>
                    <w:autoSpaceDE w:val="0"/>
                    <w:autoSpaceDN w:val="0"/>
                    <w:jc w:val="center"/>
                  </w:pPr>
                  <w:r>
                    <w:rPr>
                      <w:color w:val="000000"/>
                    </w:rPr>
                    <w:t>切割机</w:t>
                  </w:r>
                </w:p>
              </w:tc>
              <w:tc>
                <w:tcPr>
                  <w:tcW w:w="578" w:type="pct"/>
                  <w:noWrap/>
                  <w:vAlign w:val="center"/>
                </w:tcPr>
                <w:p w14:paraId="508E5C3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pPr>
                  <w:r>
                    <w:rPr>
                      <w:rFonts w:hint="eastAsia" w:cs="Times New Roman"/>
                      <w:sz w:val="21"/>
                      <w:szCs w:val="21"/>
                      <w:vertAlign w:val="baseline"/>
                      <w:lang w:val="en-US" w:eastAsia="zh-CN"/>
                    </w:rPr>
                    <w:t>50～60</w:t>
                  </w:r>
                </w:p>
              </w:tc>
              <w:tc>
                <w:tcPr>
                  <w:tcW w:w="465" w:type="pct"/>
                  <w:vMerge w:val="continue"/>
                  <w:noWrap/>
                  <w:vAlign w:val="center"/>
                </w:tcPr>
                <w:p w14:paraId="143DA680">
                  <w:pPr>
                    <w:jc w:val="center"/>
                  </w:pPr>
                </w:p>
              </w:tc>
              <w:tc>
                <w:tcPr>
                  <w:tcW w:w="767" w:type="pct"/>
                  <w:noWrap/>
                  <w:vAlign w:val="center"/>
                </w:tcPr>
                <w:p w14:paraId="505244D8">
                  <w:pPr>
                    <w:jc w:val="center"/>
                    <w:rPr>
                      <w:rFonts w:hint="default" w:eastAsia="宋体"/>
                      <w:lang w:val="en-US" w:eastAsia="zh-CN"/>
                    </w:rPr>
                  </w:pPr>
                  <w:r>
                    <w:rPr>
                      <w:rFonts w:hint="eastAsia"/>
                      <w:lang w:val="en-US" w:eastAsia="zh-CN"/>
                    </w:rPr>
                    <w:t>55</w:t>
                  </w:r>
                </w:p>
              </w:tc>
              <w:tc>
                <w:tcPr>
                  <w:tcW w:w="519" w:type="pct"/>
                  <w:noWrap/>
                  <w:vAlign w:val="center"/>
                </w:tcPr>
                <w:p w14:paraId="4142777C">
                  <w:pPr>
                    <w:jc w:val="center"/>
                    <w:rPr>
                      <w:rFonts w:hint="default" w:eastAsia="宋体"/>
                      <w:lang w:val="en-US" w:eastAsia="zh-CN"/>
                    </w:rPr>
                  </w:pPr>
                  <w:r>
                    <w:rPr>
                      <w:rFonts w:hint="eastAsia"/>
                      <w:lang w:val="en-US" w:eastAsia="zh-CN"/>
                    </w:rPr>
                    <w:t>30</w:t>
                  </w:r>
                </w:p>
              </w:tc>
              <w:tc>
                <w:tcPr>
                  <w:tcW w:w="467" w:type="pct"/>
                  <w:noWrap/>
                  <w:vAlign w:val="center"/>
                </w:tcPr>
                <w:p w14:paraId="62EB3BF0">
                  <w:pPr>
                    <w:jc w:val="center"/>
                    <w:rPr>
                      <w:rFonts w:hint="default" w:eastAsia="宋体"/>
                      <w:lang w:val="en-US" w:eastAsia="zh-CN"/>
                    </w:rPr>
                  </w:pPr>
                  <w:r>
                    <w:rPr>
                      <w:rFonts w:hint="eastAsia"/>
                      <w:lang w:val="en-US" w:eastAsia="zh-CN"/>
                    </w:rPr>
                    <w:t>50</w:t>
                  </w:r>
                </w:p>
              </w:tc>
              <w:tc>
                <w:tcPr>
                  <w:tcW w:w="468" w:type="pct"/>
                  <w:noWrap/>
                  <w:vAlign w:val="center"/>
                </w:tcPr>
                <w:p w14:paraId="159F2020">
                  <w:pPr>
                    <w:jc w:val="center"/>
                    <w:rPr>
                      <w:rFonts w:hint="default" w:eastAsia="宋体"/>
                      <w:lang w:val="en-US" w:eastAsia="zh-CN"/>
                    </w:rPr>
                  </w:pPr>
                  <w:r>
                    <w:rPr>
                      <w:rFonts w:hint="eastAsia"/>
                      <w:lang w:val="en-US" w:eastAsia="zh-CN"/>
                    </w:rPr>
                    <w:t>80</w:t>
                  </w:r>
                </w:p>
              </w:tc>
              <w:tc>
                <w:tcPr>
                  <w:tcW w:w="537" w:type="pct"/>
                  <w:vMerge w:val="continue"/>
                  <w:noWrap/>
                  <w:vAlign w:val="center"/>
                </w:tcPr>
                <w:p w14:paraId="67C1B058">
                  <w:pPr>
                    <w:jc w:val="center"/>
                  </w:pPr>
                </w:p>
              </w:tc>
            </w:tr>
            <w:tr w14:paraId="4B40B9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noWrap/>
                  <w:vAlign w:val="center"/>
                </w:tcPr>
                <w:p w14:paraId="527C16F1">
                  <w:pPr>
                    <w:jc w:val="center"/>
                  </w:pPr>
                  <w:r>
                    <w:rPr>
                      <w:rFonts w:hint="eastAsia"/>
                    </w:rPr>
                    <w:t>7</w:t>
                  </w:r>
                </w:p>
              </w:tc>
              <w:tc>
                <w:tcPr>
                  <w:tcW w:w="796" w:type="pct"/>
                  <w:noWrap/>
                  <w:vAlign w:val="center"/>
                </w:tcPr>
                <w:p w14:paraId="34BD45A9">
                  <w:pPr>
                    <w:autoSpaceDE w:val="0"/>
                    <w:autoSpaceDN w:val="0"/>
                    <w:jc w:val="center"/>
                  </w:pPr>
                  <w:r>
                    <w:rPr>
                      <w:rFonts w:hint="default" w:ascii="Times New Roman" w:hAnsi="Times New Roman" w:cs="Times New Roman"/>
                      <w:kern w:val="0"/>
                      <w:sz w:val="21"/>
                      <w:szCs w:val="21"/>
                    </w:rPr>
                    <w:t>蒸压釜</w:t>
                  </w:r>
                </w:p>
              </w:tc>
              <w:tc>
                <w:tcPr>
                  <w:tcW w:w="578" w:type="pct"/>
                  <w:noWrap/>
                  <w:vAlign w:val="center"/>
                </w:tcPr>
                <w:p w14:paraId="5A56E60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pPr>
                  <w:r>
                    <w:rPr>
                      <w:rFonts w:hint="eastAsia" w:cs="Times New Roman"/>
                      <w:sz w:val="21"/>
                      <w:szCs w:val="21"/>
                      <w:vertAlign w:val="baseline"/>
                      <w:lang w:val="en-US" w:eastAsia="zh-CN"/>
                    </w:rPr>
                    <w:t>55～65</w:t>
                  </w:r>
                </w:p>
              </w:tc>
              <w:tc>
                <w:tcPr>
                  <w:tcW w:w="465" w:type="pct"/>
                  <w:vMerge w:val="continue"/>
                  <w:noWrap/>
                  <w:vAlign w:val="center"/>
                </w:tcPr>
                <w:p w14:paraId="0415EE51">
                  <w:pPr>
                    <w:jc w:val="center"/>
                  </w:pPr>
                </w:p>
              </w:tc>
              <w:tc>
                <w:tcPr>
                  <w:tcW w:w="767" w:type="pct"/>
                  <w:noWrap/>
                  <w:vAlign w:val="center"/>
                </w:tcPr>
                <w:p w14:paraId="233BE2B0">
                  <w:pPr>
                    <w:jc w:val="center"/>
                    <w:rPr>
                      <w:rFonts w:hint="default" w:eastAsia="宋体"/>
                      <w:lang w:val="en-US" w:eastAsia="zh-CN"/>
                    </w:rPr>
                  </w:pPr>
                  <w:r>
                    <w:rPr>
                      <w:rFonts w:hint="eastAsia"/>
                      <w:lang w:val="en-US" w:eastAsia="zh-CN"/>
                    </w:rPr>
                    <w:t>55</w:t>
                  </w:r>
                </w:p>
              </w:tc>
              <w:tc>
                <w:tcPr>
                  <w:tcW w:w="519" w:type="pct"/>
                  <w:noWrap/>
                  <w:vAlign w:val="center"/>
                </w:tcPr>
                <w:p w14:paraId="1FAB9F92">
                  <w:pPr>
                    <w:jc w:val="center"/>
                    <w:rPr>
                      <w:rFonts w:hint="default" w:eastAsia="宋体"/>
                      <w:lang w:val="en-US" w:eastAsia="zh-CN"/>
                    </w:rPr>
                  </w:pPr>
                  <w:r>
                    <w:rPr>
                      <w:rFonts w:hint="eastAsia"/>
                      <w:lang w:val="en-US" w:eastAsia="zh-CN"/>
                    </w:rPr>
                    <w:t>30</w:t>
                  </w:r>
                </w:p>
              </w:tc>
              <w:tc>
                <w:tcPr>
                  <w:tcW w:w="467" w:type="pct"/>
                  <w:noWrap/>
                  <w:vAlign w:val="center"/>
                </w:tcPr>
                <w:p w14:paraId="7E2172D6">
                  <w:pPr>
                    <w:jc w:val="center"/>
                    <w:rPr>
                      <w:rFonts w:hint="default" w:eastAsia="宋体"/>
                      <w:lang w:val="en-US" w:eastAsia="zh-CN"/>
                    </w:rPr>
                  </w:pPr>
                  <w:r>
                    <w:rPr>
                      <w:rFonts w:hint="eastAsia"/>
                      <w:lang w:val="en-US" w:eastAsia="zh-CN"/>
                    </w:rPr>
                    <w:t>50</w:t>
                  </w:r>
                </w:p>
              </w:tc>
              <w:tc>
                <w:tcPr>
                  <w:tcW w:w="468" w:type="pct"/>
                  <w:noWrap/>
                  <w:vAlign w:val="center"/>
                </w:tcPr>
                <w:p w14:paraId="34515D68">
                  <w:pPr>
                    <w:jc w:val="center"/>
                    <w:rPr>
                      <w:rFonts w:hint="default" w:eastAsia="宋体"/>
                      <w:lang w:val="en-US" w:eastAsia="zh-CN"/>
                    </w:rPr>
                  </w:pPr>
                  <w:r>
                    <w:rPr>
                      <w:rFonts w:hint="eastAsia"/>
                      <w:lang w:val="en-US" w:eastAsia="zh-CN"/>
                    </w:rPr>
                    <w:t>80</w:t>
                  </w:r>
                </w:p>
              </w:tc>
              <w:tc>
                <w:tcPr>
                  <w:tcW w:w="537" w:type="pct"/>
                  <w:vMerge w:val="continue"/>
                  <w:noWrap/>
                  <w:vAlign w:val="center"/>
                </w:tcPr>
                <w:p w14:paraId="18A3B4BB">
                  <w:pPr>
                    <w:jc w:val="center"/>
                  </w:pPr>
                </w:p>
              </w:tc>
            </w:tr>
            <w:tr w14:paraId="71190AE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noWrap/>
                  <w:vAlign w:val="center"/>
                </w:tcPr>
                <w:p w14:paraId="3F9B4E0A">
                  <w:pPr>
                    <w:jc w:val="center"/>
                    <w:rPr>
                      <w:rFonts w:hint="eastAsia" w:eastAsia="宋体"/>
                      <w:lang w:val="en-US" w:eastAsia="zh-CN"/>
                    </w:rPr>
                  </w:pPr>
                  <w:r>
                    <w:rPr>
                      <w:rFonts w:hint="eastAsia"/>
                      <w:lang w:val="en-US" w:eastAsia="zh-CN"/>
                    </w:rPr>
                    <w:t>8</w:t>
                  </w:r>
                </w:p>
              </w:tc>
              <w:tc>
                <w:tcPr>
                  <w:tcW w:w="796" w:type="pct"/>
                  <w:noWrap/>
                  <w:vAlign w:val="center"/>
                </w:tcPr>
                <w:p w14:paraId="3CDCE6CE">
                  <w:pPr>
                    <w:autoSpaceDE w:val="0"/>
                    <w:autoSpaceDN w:val="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鄂式破碎机</w:t>
                  </w:r>
                </w:p>
              </w:tc>
              <w:tc>
                <w:tcPr>
                  <w:tcW w:w="578" w:type="pct"/>
                  <w:noWrap/>
                  <w:vAlign w:val="center"/>
                </w:tcPr>
                <w:p w14:paraId="607CA5B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sz w:val="21"/>
                      <w:szCs w:val="21"/>
                      <w:vertAlign w:val="baseline"/>
                      <w:lang w:val="en-US" w:eastAsia="zh-CN"/>
                    </w:rPr>
                  </w:pPr>
                  <w:r>
                    <w:rPr>
                      <w:rFonts w:hint="eastAsia" w:cs="Times New Roman"/>
                      <w:sz w:val="21"/>
                      <w:szCs w:val="21"/>
                      <w:vertAlign w:val="baseline"/>
                      <w:lang w:val="en-US" w:eastAsia="zh-CN"/>
                    </w:rPr>
                    <w:t>65～95</w:t>
                  </w:r>
                </w:p>
              </w:tc>
              <w:tc>
                <w:tcPr>
                  <w:tcW w:w="465" w:type="pct"/>
                  <w:vMerge w:val="continue"/>
                  <w:noWrap/>
                  <w:vAlign w:val="center"/>
                </w:tcPr>
                <w:p w14:paraId="7AE265CE">
                  <w:pPr>
                    <w:jc w:val="center"/>
                  </w:pPr>
                </w:p>
              </w:tc>
              <w:tc>
                <w:tcPr>
                  <w:tcW w:w="767" w:type="pct"/>
                  <w:noWrap/>
                  <w:vAlign w:val="center"/>
                </w:tcPr>
                <w:p w14:paraId="4D026459">
                  <w:pPr>
                    <w:jc w:val="center"/>
                    <w:rPr>
                      <w:rFonts w:hint="default"/>
                      <w:lang w:val="en-US" w:eastAsia="zh-CN"/>
                    </w:rPr>
                  </w:pPr>
                  <w:r>
                    <w:rPr>
                      <w:rFonts w:hint="eastAsia"/>
                      <w:lang w:val="en-US" w:eastAsia="zh-CN"/>
                    </w:rPr>
                    <w:t>37</w:t>
                  </w:r>
                </w:p>
              </w:tc>
              <w:tc>
                <w:tcPr>
                  <w:tcW w:w="519" w:type="pct"/>
                  <w:noWrap/>
                  <w:vAlign w:val="center"/>
                </w:tcPr>
                <w:p w14:paraId="5A38D579">
                  <w:pPr>
                    <w:jc w:val="center"/>
                    <w:rPr>
                      <w:rFonts w:hint="default"/>
                      <w:lang w:val="en-US" w:eastAsia="zh-CN"/>
                    </w:rPr>
                  </w:pPr>
                  <w:r>
                    <w:rPr>
                      <w:rFonts w:hint="eastAsia"/>
                      <w:lang w:val="en-US" w:eastAsia="zh-CN"/>
                    </w:rPr>
                    <w:t>21</w:t>
                  </w:r>
                </w:p>
              </w:tc>
              <w:tc>
                <w:tcPr>
                  <w:tcW w:w="467" w:type="pct"/>
                  <w:noWrap/>
                  <w:vAlign w:val="center"/>
                </w:tcPr>
                <w:p w14:paraId="2BD9CDCD">
                  <w:pPr>
                    <w:jc w:val="center"/>
                    <w:rPr>
                      <w:rFonts w:hint="default"/>
                      <w:lang w:val="en-US" w:eastAsia="zh-CN"/>
                    </w:rPr>
                  </w:pPr>
                  <w:r>
                    <w:rPr>
                      <w:rFonts w:hint="eastAsia"/>
                      <w:lang w:val="en-US" w:eastAsia="zh-CN"/>
                    </w:rPr>
                    <w:t>50</w:t>
                  </w:r>
                </w:p>
              </w:tc>
              <w:tc>
                <w:tcPr>
                  <w:tcW w:w="468" w:type="pct"/>
                  <w:noWrap/>
                  <w:vAlign w:val="center"/>
                </w:tcPr>
                <w:p w14:paraId="093C6AB3">
                  <w:pPr>
                    <w:jc w:val="center"/>
                    <w:rPr>
                      <w:rFonts w:hint="default"/>
                      <w:lang w:val="en-US" w:eastAsia="zh-CN"/>
                    </w:rPr>
                  </w:pPr>
                  <w:r>
                    <w:rPr>
                      <w:rFonts w:hint="eastAsia"/>
                      <w:lang w:val="en-US" w:eastAsia="zh-CN"/>
                    </w:rPr>
                    <w:t>78</w:t>
                  </w:r>
                </w:p>
              </w:tc>
              <w:tc>
                <w:tcPr>
                  <w:tcW w:w="537" w:type="pct"/>
                  <w:vMerge w:val="continue"/>
                  <w:noWrap/>
                  <w:vAlign w:val="center"/>
                </w:tcPr>
                <w:p w14:paraId="74DEE06B">
                  <w:pPr>
                    <w:jc w:val="center"/>
                  </w:pPr>
                </w:p>
              </w:tc>
            </w:tr>
            <w:tr w14:paraId="1625F3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noWrap/>
                  <w:vAlign w:val="center"/>
                </w:tcPr>
                <w:p w14:paraId="329A9201">
                  <w:pPr>
                    <w:jc w:val="center"/>
                    <w:rPr>
                      <w:rFonts w:hint="eastAsia" w:eastAsia="宋体"/>
                      <w:lang w:val="en-US" w:eastAsia="zh-CN"/>
                    </w:rPr>
                  </w:pPr>
                  <w:r>
                    <w:rPr>
                      <w:rFonts w:hint="eastAsia"/>
                      <w:lang w:val="en-US" w:eastAsia="zh-CN"/>
                    </w:rPr>
                    <w:t>9</w:t>
                  </w:r>
                </w:p>
              </w:tc>
              <w:tc>
                <w:tcPr>
                  <w:tcW w:w="796" w:type="pct"/>
                  <w:noWrap/>
                  <w:vAlign w:val="center"/>
                </w:tcPr>
                <w:p w14:paraId="67D4DE32">
                  <w:pPr>
                    <w:autoSpaceDE w:val="0"/>
                    <w:autoSpaceDN w:val="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高压粉磨机</w:t>
                  </w:r>
                </w:p>
              </w:tc>
              <w:tc>
                <w:tcPr>
                  <w:tcW w:w="578" w:type="pct"/>
                  <w:noWrap/>
                  <w:vAlign w:val="center"/>
                </w:tcPr>
                <w:p w14:paraId="20F636B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sz w:val="21"/>
                      <w:szCs w:val="21"/>
                      <w:vertAlign w:val="baseline"/>
                      <w:lang w:val="en-US" w:eastAsia="zh-CN"/>
                    </w:rPr>
                  </w:pPr>
                  <w:r>
                    <w:rPr>
                      <w:rFonts w:hint="eastAsia" w:cs="Times New Roman"/>
                      <w:sz w:val="21"/>
                      <w:szCs w:val="21"/>
                      <w:vertAlign w:val="baseline"/>
                      <w:lang w:val="en-US" w:eastAsia="zh-CN"/>
                    </w:rPr>
                    <w:t>65～85</w:t>
                  </w:r>
                </w:p>
              </w:tc>
              <w:tc>
                <w:tcPr>
                  <w:tcW w:w="465" w:type="pct"/>
                  <w:vMerge w:val="continue"/>
                  <w:noWrap/>
                  <w:vAlign w:val="center"/>
                </w:tcPr>
                <w:p w14:paraId="25EDBAE3">
                  <w:pPr>
                    <w:jc w:val="center"/>
                  </w:pPr>
                </w:p>
              </w:tc>
              <w:tc>
                <w:tcPr>
                  <w:tcW w:w="767" w:type="pct"/>
                  <w:noWrap/>
                  <w:vAlign w:val="center"/>
                </w:tcPr>
                <w:p w14:paraId="4D8C862D">
                  <w:pPr>
                    <w:jc w:val="center"/>
                    <w:rPr>
                      <w:rFonts w:hint="default"/>
                      <w:lang w:val="en-US" w:eastAsia="zh-CN"/>
                    </w:rPr>
                  </w:pPr>
                  <w:r>
                    <w:rPr>
                      <w:rFonts w:hint="eastAsia"/>
                      <w:lang w:val="en-US" w:eastAsia="zh-CN"/>
                    </w:rPr>
                    <w:t>35</w:t>
                  </w:r>
                </w:p>
              </w:tc>
              <w:tc>
                <w:tcPr>
                  <w:tcW w:w="519" w:type="pct"/>
                  <w:noWrap/>
                  <w:vAlign w:val="center"/>
                </w:tcPr>
                <w:p w14:paraId="64237591">
                  <w:pPr>
                    <w:jc w:val="center"/>
                    <w:rPr>
                      <w:rFonts w:hint="default"/>
                      <w:lang w:val="en-US" w:eastAsia="zh-CN"/>
                    </w:rPr>
                  </w:pPr>
                  <w:r>
                    <w:rPr>
                      <w:rFonts w:hint="eastAsia"/>
                      <w:lang w:val="en-US" w:eastAsia="zh-CN"/>
                    </w:rPr>
                    <w:t>23</w:t>
                  </w:r>
                </w:p>
              </w:tc>
              <w:tc>
                <w:tcPr>
                  <w:tcW w:w="467" w:type="pct"/>
                  <w:noWrap/>
                  <w:vAlign w:val="center"/>
                </w:tcPr>
                <w:p w14:paraId="697D079C">
                  <w:pPr>
                    <w:jc w:val="center"/>
                    <w:rPr>
                      <w:rFonts w:hint="default"/>
                      <w:lang w:val="en-US" w:eastAsia="zh-CN"/>
                    </w:rPr>
                  </w:pPr>
                  <w:r>
                    <w:rPr>
                      <w:rFonts w:hint="eastAsia"/>
                      <w:lang w:val="en-US" w:eastAsia="zh-CN"/>
                    </w:rPr>
                    <w:t>51</w:t>
                  </w:r>
                </w:p>
              </w:tc>
              <w:tc>
                <w:tcPr>
                  <w:tcW w:w="468" w:type="pct"/>
                  <w:noWrap/>
                  <w:vAlign w:val="center"/>
                </w:tcPr>
                <w:p w14:paraId="5AAF9892">
                  <w:pPr>
                    <w:jc w:val="center"/>
                    <w:rPr>
                      <w:rFonts w:hint="default"/>
                      <w:lang w:val="en-US" w:eastAsia="zh-CN"/>
                    </w:rPr>
                  </w:pPr>
                  <w:r>
                    <w:rPr>
                      <w:rFonts w:hint="eastAsia"/>
                      <w:lang w:val="en-US" w:eastAsia="zh-CN"/>
                    </w:rPr>
                    <w:t>79</w:t>
                  </w:r>
                </w:p>
              </w:tc>
              <w:tc>
                <w:tcPr>
                  <w:tcW w:w="537" w:type="pct"/>
                  <w:vMerge w:val="continue"/>
                  <w:noWrap/>
                  <w:vAlign w:val="center"/>
                </w:tcPr>
                <w:p w14:paraId="0D95D03D">
                  <w:pPr>
                    <w:jc w:val="center"/>
                  </w:pPr>
                </w:p>
              </w:tc>
            </w:tr>
            <w:tr w14:paraId="5C9F11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99" w:type="pct"/>
                  <w:noWrap/>
                  <w:vAlign w:val="center"/>
                </w:tcPr>
                <w:p w14:paraId="52958709">
                  <w:pPr>
                    <w:jc w:val="center"/>
                    <w:rPr>
                      <w:rFonts w:hint="default" w:eastAsia="宋体"/>
                      <w:lang w:val="en-US" w:eastAsia="zh-CN"/>
                    </w:rPr>
                  </w:pPr>
                  <w:r>
                    <w:rPr>
                      <w:rFonts w:hint="eastAsia"/>
                      <w:lang w:val="en-US" w:eastAsia="zh-CN"/>
                    </w:rPr>
                    <w:t>10</w:t>
                  </w:r>
                </w:p>
              </w:tc>
              <w:tc>
                <w:tcPr>
                  <w:tcW w:w="796" w:type="pct"/>
                  <w:noWrap/>
                  <w:vAlign w:val="center"/>
                </w:tcPr>
                <w:p w14:paraId="7F897862">
                  <w:pPr>
                    <w:autoSpaceDE w:val="0"/>
                    <w:autoSpaceDN w:val="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分掰机</w:t>
                  </w:r>
                </w:p>
              </w:tc>
              <w:tc>
                <w:tcPr>
                  <w:tcW w:w="578" w:type="pct"/>
                  <w:noWrap/>
                  <w:vAlign w:val="center"/>
                </w:tcPr>
                <w:p w14:paraId="444D8C8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sz w:val="21"/>
                      <w:szCs w:val="21"/>
                      <w:vertAlign w:val="baseline"/>
                      <w:lang w:val="en-US" w:eastAsia="zh-CN"/>
                    </w:rPr>
                  </w:pPr>
                  <w:r>
                    <w:rPr>
                      <w:rFonts w:hint="eastAsia" w:cs="Times New Roman"/>
                      <w:sz w:val="21"/>
                      <w:szCs w:val="21"/>
                      <w:vertAlign w:val="baseline"/>
                      <w:lang w:val="en-US" w:eastAsia="zh-CN"/>
                    </w:rPr>
                    <w:t>65～70</w:t>
                  </w:r>
                </w:p>
              </w:tc>
              <w:tc>
                <w:tcPr>
                  <w:tcW w:w="465" w:type="pct"/>
                  <w:vMerge w:val="continue"/>
                  <w:noWrap/>
                  <w:vAlign w:val="center"/>
                </w:tcPr>
                <w:p w14:paraId="76672BA0">
                  <w:pPr>
                    <w:jc w:val="center"/>
                  </w:pPr>
                </w:p>
              </w:tc>
              <w:tc>
                <w:tcPr>
                  <w:tcW w:w="767" w:type="pct"/>
                  <w:noWrap/>
                  <w:vAlign w:val="center"/>
                </w:tcPr>
                <w:p w14:paraId="59AF8C69">
                  <w:pPr>
                    <w:jc w:val="center"/>
                    <w:rPr>
                      <w:rFonts w:hint="default"/>
                      <w:lang w:val="en-US" w:eastAsia="zh-CN"/>
                    </w:rPr>
                  </w:pPr>
                  <w:r>
                    <w:rPr>
                      <w:rFonts w:hint="eastAsia"/>
                      <w:lang w:val="en-US" w:eastAsia="zh-CN"/>
                    </w:rPr>
                    <w:t>40</w:t>
                  </w:r>
                </w:p>
              </w:tc>
              <w:tc>
                <w:tcPr>
                  <w:tcW w:w="519" w:type="pct"/>
                  <w:noWrap/>
                  <w:vAlign w:val="center"/>
                </w:tcPr>
                <w:p w14:paraId="5191EAAD">
                  <w:pPr>
                    <w:jc w:val="center"/>
                    <w:rPr>
                      <w:rFonts w:hint="default"/>
                      <w:lang w:val="en-US" w:eastAsia="zh-CN"/>
                    </w:rPr>
                  </w:pPr>
                  <w:r>
                    <w:rPr>
                      <w:rFonts w:hint="eastAsia"/>
                      <w:lang w:val="en-US" w:eastAsia="zh-CN"/>
                    </w:rPr>
                    <w:t>22</w:t>
                  </w:r>
                </w:p>
              </w:tc>
              <w:tc>
                <w:tcPr>
                  <w:tcW w:w="467" w:type="pct"/>
                  <w:noWrap/>
                  <w:vAlign w:val="center"/>
                </w:tcPr>
                <w:p w14:paraId="6226F3CA">
                  <w:pPr>
                    <w:jc w:val="center"/>
                    <w:rPr>
                      <w:rFonts w:hint="default"/>
                      <w:lang w:val="en-US" w:eastAsia="zh-CN"/>
                    </w:rPr>
                  </w:pPr>
                  <w:r>
                    <w:rPr>
                      <w:rFonts w:hint="eastAsia"/>
                      <w:lang w:val="en-US" w:eastAsia="zh-CN"/>
                    </w:rPr>
                    <w:t>50</w:t>
                  </w:r>
                </w:p>
              </w:tc>
              <w:tc>
                <w:tcPr>
                  <w:tcW w:w="468" w:type="pct"/>
                  <w:noWrap/>
                  <w:vAlign w:val="center"/>
                </w:tcPr>
                <w:p w14:paraId="02784D99">
                  <w:pPr>
                    <w:jc w:val="center"/>
                    <w:rPr>
                      <w:rFonts w:hint="default"/>
                      <w:lang w:val="en-US" w:eastAsia="zh-CN"/>
                    </w:rPr>
                  </w:pPr>
                  <w:r>
                    <w:rPr>
                      <w:rFonts w:hint="eastAsia"/>
                      <w:lang w:val="en-US" w:eastAsia="zh-CN"/>
                    </w:rPr>
                    <w:t>78</w:t>
                  </w:r>
                </w:p>
              </w:tc>
              <w:tc>
                <w:tcPr>
                  <w:tcW w:w="537" w:type="pct"/>
                  <w:vMerge w:val="continue"/>
                  <w:noWrap/>
                  <w:vAlign w:val="center"/>
                </w:tcPr>
                <w:p w14:paraId="4BDB443D">
                  <w:pPr>
                    <w:jc w:val="center"/>
                  </w:pPr>
                </w:p>
              </w:tc>
            </w:tr>
            <w:tr w14:paraId="205828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noWrap/>
                  <w:vAlign w:val="center"/>
                </w:tcPr>
                <w:p w14:paraId="66AE7A7C">
                  <w:pPr>
                    <w:jc w:val="center"/>
                    <w:rPr>
                      <w:rFonts w:hint="default"/>
                      <w:lang w:val="en-US" w:eastAsia="zh-CN"/>
                    </w:rPr>
                  </w:pPr>
                  <w:r>
                    <w:rPr>
                      <w:rFonts w:hint="eastAsia"/>
                      <w:lang w:val="en-US" w:eastAsia="zh-CN"/>
                    </w:rPr>
                    <w:t>11</w:t>
                  </w:r>
                </w:p>
              </w:tc>
              <w:tc>
                <w:tcPr>
                  <w:tcW w:w="796" w:type="pct"/>
                  <w:noWrap/>
                  <w:vAlign w:val="center"/>
                </w:tcPr>
                <w:p w14:paraId="3E696380">
                  <w:pPr>
                    <w:autoSpaceDE w:val="0"/>
                    <w:autoSpaceDN w:val="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铝粉搅拌机</w:t>
                  </w:r>
                </w:p>
              </w:tc>
              <w:tc>
                <w:tcPr>
                  <w:tcW w:w="578" w:type="pct"/>
                  <w:noWrap/>
                  <w:vAlign w:val="center"/>
                </w:tcPr>
                <w:p w14:paraId="077662B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sz w:val="21"/>
                      <w:szCs w:val="21"/>
                      <w:vertAlign w:val="baseline"/>
                      <w:lang w:val="en-US" w:eastAsia="zh-CN"/>
                    </w:rPr>
                  </w:pPr>
                  <w:r>
                    <w:rPr>
                      <w:rFonts w:hint="eastAsia" w:cs="Times New Roman"/>
                      <w:sz w:val="21"/>
                      <w:szCs w:val="21"/>
                      <w:vertAlign w:val="baseline"/>
                      <w:lang w:val="en-US" w:eastAsia="zh-CN"/>
                    </w:rPr>
                    <w:t>60～70</w:t>
                  </w:r>
                </w:p>
              </w:tc>
              <w:tc>
                <w:tcPr>
                  <w:tcW w:w="465" w:type="pct"/>
                  <w:vMerge w:val="continue"/>
                  <w:noWrap/>
                  <w:vAlign w:val="center"/>
                </w:tcPr>
                <w:p w14:paraId="087B18A6">
                  <w:pPr>
                    <w:jc w:val="center"/>
                  </w:pPr>
                </w:p>
              </w:tc>
              <w:tc>
                <w:tcPr>
                  <w:tcW w:w="767" w:type="pct"/>
                  <w:noWrap/>
                  <w:vAlign w:val="center"/>
                </w:tcPr>
                <w:p w14:paraId="5150C9A4">
                  <w:pPr>
                    <w:jc w:val="center"/>
                    <w:rPr>
                      <w:rFonts w:hint="default"/>
                      <w:lang w:val="en-US" w:eastAsia="zh-CN"/>
                    </w:rPr>
                  </w:pPr>
                  <w:r>
                    <w:rPr>
                      <w:rFonts w:hint="eastAsia"/>
                      <w:lang w:val="en-US" w:eastAsia="zh-CN"/>
                    </w:rPr>
                    <w:t>34</w:t>
                  </w:r>
                </w:p>
              </w:tc>
              <w:tc>
                <w:tcPr>
                  <w:tcW w:w="519" w:type="pct"/>
                  <w:noWrap/>
                  <w:vAlign w:val="center"/>
                </w:tcPr>
                <w:p w14:paraId="1F37552F">
                  <w:pPr>
                    <w:jc w:val="center"/>
                    <w:rPr>
                      <w:rFonts w:hint="default"/>
                      <w:lang w:val="en-US" w:eastAsia="zh-CN"/>
                    </w:rPr>
                  </w:pPr>
                  <w:r>
                    <w:rPr>
                      <w:rFonts w:hint="eastAsia"/>
                      <w:lang w:val="en-US" w:eastAsia="zh-CN"/>
                    </w:rPr>
                    <w:t>25</w:t>
                  </w:r>
                </w:p>
              </w:tc>
              <w:tc>
                <w:tcPr>
                  <w:tcW w:w="467" w:type="pct"/>
                  <w:noWrap/>
                  <w:vAlign w:val="center"/>
                </w:tcPr>
                <w:p w14:paraId="6E84B767">
                  <w:pPr>
                    <w:jc w:val="center"/>
                    <w:rPr>
                      <w:rFonts w:hint="default"/>
                      <w:lang w:val="en-US" w:eastAsia="zh-CN"/>
                    </w:rPr>
                  </w:pPr>
                  <w:r>
                    <w:rPr>
                      <w:rFonts w:hint="eastAsia"/>
                      <w:lang w:val="en-US" w:eastAsia="zh-CN"/>
                    </w:rPr>
                    <w:t>52</w:t>
                  </w:r>
                </w:p>
              </w:tc>
              <w:tc>
                <w:tcPr>
                  <w:tcW w:w="468" w:type="pct"/>
                  <w:noWrap/>
                  <w:vAlign w:val="center"/>
                </w:tcPr>
                <w:p w14:paraId="692F166E">
                  <w:pPr>
                    <w:jc w:val="center"/>
                    <w:rPr>
                      <w:rFonts w:hint="default"/>
                      <w:lang w:val="en-US" w:eastAsia="zh-CN"/>
                    </w:rPr>
                  </w:pPr>
                  <w:r>
                    <w:rPr>
                      <w:rFonts w:hint="eastAsia"/>
                      <w:lang w:val="en-US" w:eastAsia="zh-CN"/>
                    </w:rPr>
                    <w:t>76</w:t>
                  </w:r>
                </w:p>
              </w:tc>
              <w:tc>
                <w:tcPr>
                  <w:tcW w:w="537" w:type="pct"/>
                  <w:vMerge w:val="continue"/>
                  <w:noWrap/>
                  <w:vAlign w:val="center"/>
                </w:tcPr>
                <w:p w14:paraId="0859910F">
                  <w:pPr>
                    <w:jc w:val="center"/>
                  </w:pPr>
                </w:p>
              </w:tc>
            </w:tr>
          </w:tbl>
          <w:p w14:paraId="11BFC24F">
            <w:pPr>
              <w:pStyle w:val="6"/>
              <w:ind w:firstLine="420"/>
              <w:rPr>
                <w:sz w:val="24"/>
                <w:szCs w:val="24"/>
              </w:rPr>
            </w:pPr>
            <w:r>
              <w:rPr>
                <w:rFonts w:hint="eastAsia"/>
                <w:sz w:val="24"/>
                <w:szCs w:val="24"/>
              </w:rPr>
              <w:t>3.1.2噪声评价标准</w:t>
            </w:r>
          </w:p>
          <w:p w14:paraId="4633E8D7">
            <w:pPr>
              <w:autoSpaceDE w:val="0"/>
              <w:autoSpaceDN w:val="0"/>
              <w:spacing w:line="360" w:lineRule="auto"/>
              <w:ind w:firstLine="480" w:firstLineChars="200"/>
              <w:textAlignment w:val="baseline"/>
              <w:rPr>
                <w:b/>
                <w:bCs/>
                <w:sz w:val="24"/>
                <w:szCs w:val="24"/>
              </w:rPr>
            </w:pPr>
            <w:r>
              <w:rPr>
                <w:rFonts w:hint="eastAsia"/>
                <w:sz w:val="24"/>
                <w:szCs w:val="24"/>
              </w:rPr>
              <w:t>本项目区厂界噪声执行《工业企业厂界环境噪声排放标准》（</w:t>
            </w:r>
            <w:r>
              <w:rPr>
                <w:sz w:val="24"/>
                <w:szCs w:val="24"/>
              </w:rPr>
              <w:t>GB12348-2008</w:t>
            </w:r>
            <w:r>
              <w:rPr>
                <w:rFonts w:hint="eastAsia"/>
                <w:sz w:val="24"/>
                <w:szCs w:val="24"/>
              </w:rPr>
              <w:t>）中的3类标准，其标准值见下表。</w:t>
            </w:r>
          </w:p>
          <w:p w14:paraId="60296111">
            <w:pPr>
              <w:jc w:val="center"/>
              <w:rPr>
                <w:b/>
                <w:bCs/>
              </w:rPr>
            </w:pPr>
            <w:r>
              <w:rPr>
                <w:rFonts w:hint="eastAsia"/>
                <w:b/>
                <w:bCs/>
              </w:rPr>
              <w:t>表4-1</w:t>
            </w:r>
            <w:r>
              <w:rPr>
                <w:rFonts w:hint="eastAsia"/>
                <w:b/>
                <w:bCs/>
                <w:lang w:val="en-US" w:eastAsia="zh-CN"/>
              </w:rPr>
              <w:t>0</w:t>
            </w:r>
            <w:r>
              <w:rPr>
                <w:rFonts w:hint="eastAsia"/>
                <w:b/>
                <w:bCs/>
              </w:rPr>
              <w:t xml:space="preserve">  噪声评价标准单位：</w:t>
            </w:r>
            <w:r>
              <w:rPr>
                <w:b/>
                <w:bCs/>
              </w:rPr>
              <w:t>dB</w:t>
            </w:r>
            <w:r>
              <w:rPr>
                <w:rFonts w:hint="eastAsia"/>
                <w:b/>
                <w:bCs/>
              </w:rPr>
              <w:t>（</w:t>
            </w:r>
            <w:r>
              <w:rPr>
                <w:b/>
                <w:bCs/>
              </w:rPr>
              <w:t>A</w:t>
            </w:r>
            <w:r>
              <w:rPr>
                <w:rFonts w:hint="eastAsia"/>
                <w:b/>
                <w:bCs/>
              </w:rPr>
              <w:t>）</w:t>
            </w:r>
          </w:p>
          <w:tbl>
            <w:tblPr>
              <w:tblStyle w:val="24"/>
              <w:tblW w:w="4998" w:type="pct"/>
              <w:jc w:val="center"/>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067"/>
              <w:gridCol w:w="1354"/>
              <w:gridCol w:w="1354"/>
              <w:gridCol w:w="1356"/>
            </w:tblGrid>
            <w:tr w14:paraId="286D79DA">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2774" w:type="pct"/>
                  <w:tcBorders>
                    <w:top w:val="single" w:color="auto" w:sz="12" w:space="0"/>
                    <w:left w:val="nil"/>
                    <w:bottom w:val="single" w:color="auto" w:sz="6" w:space="0"/>
                    <w:right w:val="single" w:color="auto" w:sz="6" w:space="0"/>
                  </w:tcBorders>
                  <w:vAlign w:val="center"/>
                </w:tcPr>
                <w:p w14:paraId="69F6F320">
                  <w:pPr>
                    <w:jc w:val="center"/>
                    <w:rPr>
                      <w:b/>
                      <w:bCs/>
                    </w:rPr>
                  </w:pPr>
                  <w:r>
                    <w:rPr>
                      <w:b/>
                      <w:bCs/>
                    </w:rPr>
                    <w:t>采用标准</w:t>
                  </w:r>
                </w:p>
              </w:tc>
              <w:tc>
                <w:tcPr>
                  <w:tcW w:w="741" w:type="pct"/>
                  <w:tcBorders>
                    <w:top w:val="single" w:color="auto" w:sz="12" w:space="0"/>
                    <w:left w:val="nil"/>
                    <w:bottom w:val="single" w:color="auto" w:sz="6" w:space="0"/>
                    <w:right w:val="single" w:color="auto" w:sz="6" w:space="0"/>
                  </w:tcBorders>
                  <w:vAlign w:val="center"/>
                </w:tcPr>
                <w:p w14:paraId="57B3359F">
                  <w:pPr>
                    <w:jc w:val="center"/>
                    <w:rPr>
                      <w:b/>
                      <w:bCs/>
                    </w:rPr>
                  </w:pPr>
                  <w:r>
                    <w:rPr>
                      <w:b/>
                      <w:bCs/>
                    </w:rPr>
                    <w:t>类  别</w:t>
                  </w:r>
                </w:p>
              </w:tc>
              <w:tc>
                <w:tcPr>
                  <w:tcW w:w="741" w:type="pct"/>
                  <w:tcBorders>
                    <w:top w:val="single" w:color="auto" w:sz="12" w:space="0"/>
                    <w:left w:val="nil"/>
                    <w:bottom w:val="single" w:color="auto" w:sz="6" w:space="0"/>
                    <w:right w:val="single" w:color="auto" w:sz="6" w:space="0"/>
                  </w:tcBorders>
                  <w:vAlign w:val="center"/>
                </w:tcPr>
                <w:p w14:paraId="0A6F7B9A">
                  <w:pPr>
                    <w:jc w:val="center"/>
                    <w:rPr>
                      <w:b/>
                      <w:bCs/>
                    </w:rPr>
                  </w:pPr>
                  <w:r>
                    <w:rPr>
                      <w:b/>
                      <w:bCs/>
                    </w:rPr>
                    <w:t>昼  间</w:t>
                  </w:r>
                </w:p>
              </w:tc>
              <w:tc>
                <w:tcPr>
                  <w:tcW w:w="742" w:type="pct"/>
                  <w:tcBorders>
                    <w:top w:val="single" w:color="auto" w:sz="12" w:space="0"/>
                    <w:left w:val="nil"/>
                    <w:bottom w:val="single" w:color="auto" w:sz="6" w:space="0"/>
                    <w:right w:val="nil"/>
                  </w:tcBorders>
                  <w:vAlign w:val="center"/>
                </w:tcPr>
                <w:p w14:paraId="5AD5FFAE">
                  <w:pPr>
                    <w:jc w:val="center"/>
                    <w:rPr>
                      <w:b/>
                      <w:bCs/>
                    </w:rPr>
                  </w:pPr>
                  <w:r>
                    <w:rPr>
                      <w:b/>
                      <w:bCs/>
                    </w:rPr>
                    <w:t>夜  间</w:t>
                  </w:r>
                </w:p>
              </w:tc>
            </w:tr>
            <w:tr w14:paraId="18D8475C">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2774" w:type="pct"/>
                  <w:tcBorders>
                    <w:top w:val="single" w:color="auto" w:sz="6" w:space="0"/>
                    <w:left w:val="nil"/>
                    <w:bottom w:val="single" w:color="auto" w:sz="12" w:space="0"/>
                    <w:right w:val="single" w:color="auto" w:sz="6" w:space="0"/>
                  </w:tcBorders>
                  <w:vAlign w:val="center"/>
                </w:tcPr>
                <w:p w14:paraId="4A9CEA6C">
                  <w:pPr>
                    <w:jc w:val="center"/>
                  </w:pPr>
                  <w:r>
                    <w:t>工业企业厂界环境噪声排放标准</w:t>
                  </w:r>
                </w:p>
              </w:tc>
              <w:tc>
                <w:tcPr>
                  <w:tcW w:w="741" w:type="pct"/>
                  <w:tcBorders>
                    <w:top w:val="single" w:color="auto" w:sz="6" w:space="0"/>
                    <w:left w:val="nil"/>
                    <w:bottom w:val="single" w:color="auto" w:sz="12" w:space="0"/>
                    <w:right w:val="single" w:color="auto" w:sz="6" w:space="0"/>
                  </w:tcBorders>
                  <w:vAlign w:val="center"/>
                </w:tcPr>
                <w:p w14:paraId="1627C987">
                  <w:pPr>
                    <w:jc w:val="center"/>
                  </w:pPr>
                  <w:r>
                    <w:rPr>
                      <w:rFonts w:hint="eastAsia"/>
                    </w:rPr>
                    <w:t>3类</w:t>
                  </w:r>
                </w:p>
              </w:tc>
              <w:tc>
                <w:tcPr>
                  <w:tcW w:w="741" w:type="pct"/>
                  <w:tcBorders>
                    <w:top w:val="single" w:color="auto" w:sz="6" w:space="0"/>
                    <w:left w:val="nil"/>
                    <w:bottom w:val="single" w:color="auto" w:sz="12" w:space="0"/>
                    <w:right w:val="single" w:color="auto" w:sz="6" w:space="0"/>
                  </w:tcBorders>
                  <w:vAlign w:val="center"/>
                </w:tcPr>
                <w:p w14:paraId="22FE9113">
                  <w:pPr>
                    <w:jc w:val="center"/>
                  </w:pPr>
                  <w:r>
                    <w:t>6</w:t>
                  </w:r>
                  <w:r>
                    <w:rPr>
                      <w:rFonts w:hint="eastAsia"/>
                    </w:rPr>
                    <w:t>5</w:t>
                  </w:r>
                </w:p>
              </w:tc>
              <w:tc>
                <w:tcPr>
                  <w:tcW w:w="742" w:type="pct"/>
                  <w:tcBorders>
                    <w:top w:val="single" w:color="auto" w:sz="6" w:space="0"/>
                    <w:left w:val="nil"/>
                    <w:bottom w:val="single" w:color="auto" w:sz="12" w:space="0"/>
                    <w:right w:val="nil"/>
                  </w:tcBorders>
                  <w:vAlign w:val="center"/>
                </w:tcPr>
                <w:p w14:paraId="01DE77B3">
                  <w:pPr>
                    <w:jc w:val="center"/>
                  </w:pPr>
                  <w:r>
                    <w:t>5</w:t>
                  </w:r>
                  <w:r>
                    <w:rPr>
                      <w:rFonts w:hint="eastAsia"/>
                    </w:rPr>
                    <w:t>5</w:t>
                  </w:r>
                </w:p>
              </w:tc>
            </w:tr>
          </w:tbl>
          <w:p w14:paraId="7499066E">
            <w:pPr>
              <w:pStyle w:val="5"/>
              <w:ind w:firstLine="422"/>
              <w:rPr>
                <w:sz w:val="24"/>
                <w:szCs w:val="24"/>
              </w:rPr>
            </w:pPr>
            <w:r>
              <w:rPr>
                <w:rFonts w:hint="eastAsia"/>
                <w:sz w:val="24"/>
                <w:szCs w:val="24"/>
              </w:rPr>
              <w:t>3.2噪声预测模式</w:t>
            </w:r>
          </w:p>
          <w:p w14:paraId="7779A4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shd w:val="clear" w:color="auto" w:fill="FFFFFF"/>
                <w:lang w:val="en-US" w:eastAsia="zh-CN"/>
              </w:rPr>
            </w:pPr>
            <w:r>
              <w:rPr>
                <w:rFonts w:hint="eastAsia" w:ascii="Times New Roman" w:hAnsi="Times New Roman" w:eastAsia="宋体" w:cs="Times New Roman"/>
                <w:color w:val="auto"/>
                <w:sz w:val="24"/>
                <w:szCs w:val="24"/>
                <w:shd w:val="clear" w:color="auto" w:fill="FFFFFF"/>
                <w:lang w:val="en-US" w:eastAsia="zh-CN"/>
              </w:rPr>
              <w:t>根据《环境影响评价技术导则 声环境》（HJ 2.4-2021）附录B的公式计算设备噪声的室内边界及室外建筑噪声。</w:t>
            </w:r>
          </w:p>
          <w:p w14:paraId="33A609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shd w:val="clear" w:color="auto" w:fill="FFFFFF"/>
                <w:lang w:val="en-US" w:eastAsia="zh-CN"/>
              </w:rPr>
            </w:pPr>
            <w:r>
              <w:rPr>
                <w:rFonts w:hint="eastAsia" w:ascii="Times New Roman" w:hAnsi="Times New Roman" w:eastAsia="宋体" w:cs="Times New Roman"/>
                <w:color w:val="auto"/>
                <w:sz w:val="24"/>
                <w:szCs w:val="24"/>
                <w:shd w:val="clear" w:color="auto" w:fill="FFFFFF"/>
                <w:lang w:val="en-US" w:eastAsia="zh-CN"/>
              </w:rPr>
              <w:t>①室内边界声级计算公式</w:t>
            </w:r>
          </w:p>
          <w:p w14:paraId="248BEF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shd w:val="clear" w:color="auto" w:fill="FFFFFF"/>
                <w:lang w:val="en-US" w:eastAsia="zh-CN"/>
              </w:rPr>
            </w:pPr>
            <w:r>
              <w:rPr>
                <w:rFonts w:hint="eastAsia" w:ascii="Times New Roman" w:hAnsi="Times New Roman" w:eastAsia="宋体" w:cs="Times New Roman"/>
                <w:color w:val="auto"/>
                <w:sz w:val="24"/>
                <w:szCs w:val="24"/>
                <w:shd w:val="clear" w:color="auto" w:fill="FFFFFF"/>
                <w:lang w:val="en-US" w:eastAsia="zh-CN"/>
              </w:rPr>
              <w:t>计算某一室内声源靠近围护结构处产生的倍频带声压级或A声级的公式如下：</w:t>
            </w:r>
          </w:p>
          <w:p w14:paraId="4215FD9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color w:val="auto"/>
                <w:sz w:val="24"/>
                <w:szCs w:val="24"/>
                <w:shd w:val="clear" w:color="auto" w:fill="FFFFFF"/>
                <w:lang w:val="en-US" w:eastAsia="zh-CN"/>
              </w:rPr>
            </w:pPr>
            <w:r>
              <w:rPr>
                <w:color w:val="auto"/>
                <w:highlight w:val="none"/>
              </w:rPr>
              <w:drawing>
                <wp:inline distT="0" distB="0" distL="114300" distR="114300">
                  <wp:extent cx="1784985" cy="462915"/>
                  <wp:effectExtent l="0" t="0" r="13335"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1784985" cy="462915"/>
                          </a:xfrm>
                          <a:prstGeom prst="rect">
                            <a:avLst/>
                          </a:prstGeom>
                          <a:noFill/>
                          <a:ln>
                            <a:noFill/>
                          </a:ln>
                        </pic:spPr>
                      </pic:pic>
                    </a:graphicData>
                  </a:graphic>
                </wp:inline>
              </w:drawing>
            </w:r>
          </w:p>
          <w:p w14:paraId="52A490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shd w:val="clear" w:color="auto" w:fill="FFFFFF"/>
                <w:lang w:val="en-US" w:eastAsia="zh-CN"/>
              </w:rPr>
            </w:pPr>
            <w:r>
              <w:rPr>
                <w:rFonts w:hint="eastAsia" w:ascii="Times New Roman" w:hAnsi="Times New Roman" w:eastAsia="宋体" w:cs="Times New Roman"/>
                <w:color w:val="auto"/>
                <w:sz w:val="24"/>
                <w:szCs w:val="24"/>
                <w:shd w:val="clear" w:color="auto" w:fill="FFFFFF"/>
                <w:lang w:val="en-US" w:eastAsia="zh-CN"/>
              </w:rPr>
              <w:t>式中：L</w:t>
            </w:r>
            <w:r>
              <w:rPr>
                <w:rFonts w:hint="eastAsia" w:ascii="Times New Roman" w:hAnsi="Times New Roman" w:eastAsia="宋体" w:cs="Times New Roman"/>
                <w:color w:val="auto"/>
                <w:sz w:val="24"/>
                <w:szCs w:val="24"/>
                <w:shd w:val="clear" w:color="auto" w:fill="FFFFFF"/>
                <w:vertAlign w:val="subscript"/>
                <w:lang w:val="en-US" w:eastAsia="zh-CN"/>
              </w:rPr>
              <w:t>p1</w:t>
            </w:r>
            <w:r>
              <w:rPr>
                <w:rFonts w:hint="eastAsia" w:ascii="Times New Roman" w:hAnsi="Times New Roman" w:eastAsia="宋体" w:cs="Times New Roman"/>
                <w:color w:val="auto"/>
                <w:sz w:val="24"/>
                <w:szCs w:val="24"/>
                <w:shd w:val="clear" w:color="auto" w:fill="FFFFFF"/>
                <w:lang w:val="en-US" w:eastAsia="zh-CN"/>
              </w:rPr>
              <w:t>—靠近开口处（或窗户）室内某倍频带的声压级或A声级，分贝；</w:t>
            </w:r>
          </w:p>
          <w:p w14:paraId="51446D9E">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ascii="Times New Roman" w:hAnsi="Times New Roman" w:eastAsia="宋体" w:cs="Times New Roman"/>
                <w:color w:val="auto"/>
                <w:sz w:val="24"/>
                <w:szCs w:val="24"/>
                <w:shd w:val="clear" w:color="auto" w:fill="FFFFFF"/>
                <w:lang w:val="en-US" w:eastAsia="zh-CN"/>
              </w:rPr>
            </w:pPr>
            <w:r>
              <w:rPr>
                <w:rFonts w:hint="eastAsia" w:ascii="Times New Roman" w:hAnsi="Times New Roman" w:eastAsia="宋体" w:cs="Times New Roman"/>
                <w:color w:val="auto"/>
                <w:sz w:val="24"/>
                <w:szCs w:val="24"/>
                <w:shd w:val="clear" w:color="auto" w:fill="FFFFFF"/>
                <w:lang w:val="en-US" w:eastAsia="zh-CN"/>
              </w:rPr>
              <w:t>Q—指向性因数；通常对无指向性声源，当声源放在房间中心时，Q=1；当放在一面墙的中心时，Q=2；当放在两面墙夹角处时，Q=4；当放在三面墙夹角处时，Q=8；</w:t>
            </w:r>
          </w:p>
          <w:p w14:paraId="1F8B0798">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ascii="Times New Roman" w:hAnsi="Times New Roman" w:eastAsia="宋体" w:cs="Times New Roman"/>
                <w:color w:val="auto"/>
                <w:sz w:val="24"/>
                <w:szCs w:val="24"/>
                <w:shd w:val="clear" w:color="auto" w:fill="FFFFFF"/>
                <w:lang w:val="en-US" w:eastAsia="zh-CN"/>
              </w:rPr>
            </w:pPr>
            <w:r>
              <w:rPr>
                <w:rFonts w:hint="eastAsia" w:ascii="Times New Roman" w:hAnsi="Times New Roman" w:eastAsia="宋体" w:cs="Times New Roman"/>
                <w:color w:val="auto"/>
                <w:sz w:val="24"/>
                <w:szCs w:val="24"/>
                <w:shd w:val="clear" w:color="auto" w:fill="FFFFFF"/>
                <w:lang w:val="en-US" w:eastAsia="zh-CN"/>
              </w:rPr>
              <w:t>R—房间常数；R=S</w:t>
            </w:r>
            <w:r>
              <w:rPr>
                <w:rFonts w:hint="default" w:ascii="Times New Roman" w:hAnsi="Times New Roman" w:eastAsia="宋体" w:cs="Times New Roman"/>
                <w:color w:val="auto"/>
                <w:sz w:val="24"/>
                <w:szCs w:val="24"/>
                <w:shd w:val="clear" w:color="auto" w:fill="FFFFFF"/>
                <w:lang w:val="en-US" w:eastAsia="zh-CN"/>
              </w:rPr>
              <w:t>α</w:t>
            </w:r>
            <w:r>
              <w:rPr>
                <w:rFonts w:hint="eastAsia" w:ascii="Times New Roman" w:hAnsi="Times New Roman" w:eastAsia="宋体" w:cs="Times New Roman"/>
                <w:color w:val="auto"/>
                <w:sz w:val="24"/>
                <w:szCs w:val="24"/>
                <w:shd w:val="clear" w:color="auto" w:fill="FFFFFF"/>
                <w:lang w:val="en-US" w:eastAsia="zh-CN"/>
              </w:rPr>
              <w:t>/（1-</w:t>
            </w:r>
            <w:r>
              <w:rPr>
                <w:rFonts w:hint="default" w:ascii="Times New Roman" w:hAnsi="Times New Roman" w:eastAsia="宋体" w:cs="Times New Roman"/>
                <w:color w:val="auto"/>
                <w:sz w:val="24"/>
                <w:szCs w:val="24"/>
                <w:shd w:val="clear" w:color="auto" w:fill="FFFFFF"/>
                <w:lang w:val="en-US" w:eastAsia="zh-CN"/>
              </w:rPr>
              <w:t>α</w:t>
            </w:r>
            <w:r>
              <w:rPr>
                <w:rFonts w:hint="eastAsia" w:ascii="Times New Roman" w:hAnsi="Times New Roman" w:eastAsia="宋体" w:cs="Times New Roman"/>
                <w:color w:val="auto"/>
                <w:sz w:val="24"/>
                <w:szCs w:val="24"/>
                <w:shd w:val="clear" w:color="auto" w:fill="FFFFFF"/>
                <w:lang w:val="en-US" w:eastAsia="zh-CN"/>
              </w:rPr>
              <w:t>），S为房间内表面面积，平方米；</w:t>
            </w:r>
            <w:r>
              <w:rPr>
                <w:rFonts w:hint="default" w:ascii="Times New Roman" w:hAnsi="Times New Roman" w:eastAsia="宋体" w:cs="Times New Roman"/>
                <w:color w:val="auto"/>
                <w:sz w:val="24"/>
                <w:szCs w:val="24"/>
                <w:shd w:val="clear" w:color="auto" w:fill="FFFFFF"/>
                <w:lang w:val="en-US" w:eastAsia="zh-CN"/>
              </w:rPr>
              <w:t>α</w:t>
            </w:r>
            <w:r>
              <w:rPr>
                <w:rFonts w:hint="eastAsia" w:ascii="Times New Roman" w:hAnsi="Times New Roman" w:eastAsia="宋体" w:cs="Times New Roman"/>
                <w:color w:val="auto"/>
                <w:sz w:val="24"/>
                <w:szCs w:val="24"/>
                <w:shd w:val="clear" w:color="auto" w:fill="FFFFFF"/>
                <w:lang w:val="en-US" w:eastAsia="zh-CN"/>
              </w:rPr>
              <w:t>为平均吸声系数；</w:t>
            </w:r>
          </w:p>
          <w:p w14:paraId="636996D3">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ascii="Times New Roman" w:hAnsi="Times New Roman" w:eastAsia="宋体" w:cs="Times New Roman"/>
                <w:color w:val="auto"/>
                <w:sz w:val="24"/>
                <w:szCs w:val="24"/>
                <w:shd w:val="clear" w:color="auto" w:fill="FFFFFF"/>
                <w:lang w:val="en-US" w:eastAsia="zh-CN"/>
              </w:rPr>
            </w:pPr>
            <w:r>
              <w:rPr>
                <w:rFonts w:hint="eastAsia" w:ascii="Times New Roman" w:hAnsi="Times New Roman" w:eastAsia="宋体" w:cs="Times New Roman"/>
                <w:color w:val="auto"/>
                <w:sz w:val="24"/>
                <w:szCs w:val="24"/>
                <w:shd w:val="clear" w:color="auto" w:fill="FFFFFF"/>
                <w:lang w:val="en-US" w:eastAsia="zh-CN"/>
              </w:rPr>
              <w:t>r—声源到靠近围护结构某点处的距离，米。</w:t>
            </w:r>
          </w:p>
          <w:p w14:paraId="52A382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shd w:val="clear" w:color="auto" w:fill="FFFFFF"/>
                <w:lang w:val="en-US" w:eastAsia="zh-CN"/>
              </w:rPr>
            </w:pPr>
            <w:r>
              <w:rPr>
                <w:rFonts w:hint="eastAsia" w:ascii="Times New Roman" w:hAnsi="Times New Roman" w:eastAsia="宋体" w:cs="Times New Roman"/>
                <w:color w:val="auto"/>
                <w:sz w:val="24"/>
                <w:szCs w:val="24"/>
                <w:shd w:val="clear" w:color="auto" w:fill="FFFFFF"/>
                <w:lang w:val="en-US" w:eastAsia="zh-CN"/>
              </w:rPr>
              <w:t>②室内声源等效室外声源的计算</w:t>
            </w:r>
          </w:p>
          <w:p w14:paraId="27C4965A">
            <w:pPr>
              <w:pStyle w:val="60"/>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cs="Times New Roman"/>
                <w:color w:val="auto"/>
                <w:highlight w:val="none"/>
                <w:lang w:val="en-US" w:eastAsia="zh-CN"/>
              </w:rPr>
            </w:pPr>
            <w:r>
              <w:rPr>
                <w:rFonts w:hint="eastAsia" w:cs="Times New Roman"/>
                <w:color w:val="auto"/>
                <w:highlight w:val="none"/>
                <w:lang w:val="en-US" w:eastAsia="zh-CN"/>
              </w:rPr>
              <w:t>根据《环境影响评价技术导则 声环境》（HJ 2.4-2021）附录B.1.3室内声源等效室外声源声功率级计算方法，公式如下：</w:t>
            </w:r>
          </w:p>
          <w:p w14:paraId="21450451">
            <w:pPr>
              <w:pStyle w:val="60"/>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cs="Times New Roman"/>
                <w:color w:val="auto"/>
                <w:highlight w:val="none"/>
                <w:lang w:val="en-US" w:eastAsia="zh-CN"/>
              </w:rPr>
            </w:pPr>
            <w:r>
              <w:rPr>
                <w:rFonts w:hint="eastAsia" w:cs="Times New Roman"/>
                <w:color w:val="auto"/>
                <w:highlight w:val="none"/>
                <w:lang w:val="en-US" w:eastAsia="zh-CN"/>
              </w:rPr>
              <w:t>L</w:t>
            </w:r>
            <w:r>
              <w:rPr>
                <w:rFonts w:hint="eastAsia" w:cs="Times New Roman"/>
                <w:color w:val="auto"/>
                <w:highlight w:val="none"/>
                <w:vertAlign w:val="subscript"/>
                <w:lang w:val="en-US" w:eastAsia="zh-CN"/>
              </w:rPr>
              <w:t>p2</w:t>
            </w:r>
            <w:r>
              <w:rPr>
                <w:rFonts w:hint="eastAsia" w:cs="Times New Roman"/>
                <w:color w:val="auto"/>
                <w:highlight w:val="none"/>
                <w:lang w:val="en-US" w:eastAsia="zh-CN"/>
              </w:rPr>
              <w:t>=L</w:t>
            </w:r>
            <w:r>
              <w:rPr>
                <w:rFonts w:hint="eastAsia" w:cs="Times New Roman"/>
                <w:color w:val="auto"/>
                <w:highlight w:val="none"/>
                <w:vertAlign w:val="subscript"/>
                <w:lang w:val="en-US" w:eastAsia="zh-CN"/>
              </w:rPr>
              <w:t>p1</w:t>
            </w:r>
            <w:r>
              <w:rPr>
                <w:rFonts w:hint="eastAsia" w:cs="Times New Roman"/>
                <w:color w:val="auto"/>
                <w:highlight w:val="none"/>
                <w:lang w:val="en-US" w:eastAsia="zh-CN"/>
              </w:rPr>
              <w:t>-（TL+6）</w:t>
            </w:r>
          </w:p>
          <w:p w14:paraId="241D03D7">
            <w:pPr>
              <w:pStyle w:val="60"/>
              <w:keepNext w:val="0"/>
              <w:keepLines w:val="0"/>
              <w:pageBreakBefore w:val="0"/>
              <w:widowControl w:val="0"/>
              <w:kinsoku/>
              <w:wordWrap/>
              <w:overflowPunct/>
              <w:topLinePunct w:val="0"/>
              <w:autoSpaceDE/>
              <w:autoSpaceDN/>
              <w:bidi w:val="0"/>
              <w:adjustRightInd/>
              <w:snapToGrid w:val="0"/>
              <w:ind w:left="0" w:leftChars="0" w:firstLine="480" w:firstLineChars="200"/>
              <w:textAlignment w:val="auto"/>
              <w:rPr>
                <w:i w:val="0"/>
                <w:iCs w:val="0"/>
                <w:color w:val="auto"/>
                <w:highlight w:val="none"/>
                <w:vertAlign w:val="baseline"/>
              </w:rPr>
            </w:pPr>
            <w:r>
              <w:rPr>
                <w:color w:val="auto"/>
                <w:highlight w:val="none"/>
              </w:rPr>
              <w:t>式中</w:t>
            </w:r>
            <w:r>
              <w:rPr>
                <w:i w:val="0"/>
                <w:iCs w:val="0"/>
                <w:color w:val="auto"/>
                <w:highlight w:val="none"/>
              </w:rPr>
              <w:t>：</w:t>
            </w:r>
            <w:r>
              <w:rPr>
                <w:rFonts w:hint="eastAsia" w:ascii="Times New Roman" w:hAnsi="Times New Roman" w:eastAsia="宋体"/>
                <w:i w:val="0"/>
                <w:iCs w:val="0"/>
                <w:color w:val="auto"/>
                <w:position w:val="1"/>
                <w:highlight w:val="none"/>
                <w:lang w:eastAsia="zh-CN"/>
              </w:rPr>
              <w:t>L</w:t>
            </w:r>
            <w:r>
              <w:rPr>
                <w:rFonts w:ascii="Times New Roman" w:hAnsi="Times New Roman" w:eastAsia="Times New Roman"/>
                <w:i w:val="0"/>
                <w:iCs w:val="0"/>
                <w:color w:val="auto"/>
                <w:position w:val="1"/>
                <w:highlight w:val="none"/>
                <w:vertAlign w:val="subscript"/>
              </w:rPr>
              <w:t>p1</w:t>
            </w:r>
            <w:r>
              <w:rPr>
                <w:rFonts w:hint="eastAsia" w:ascii="Times New Roman" w:hAnsi="Times New Roman" w:eastAsia="宋体" w:cs="Times New Roman"/>
                <w:i w:val="0"/>
                <w:iCs w:val="0"/>
                <w:color w:val="auto"/>
                <w:sz w:val="24"/>
                <w:szCs w:val="24"/>
                <w:shd w:val="clear" w:color="auto" w:fill="FFFFFF"/>
                <w:lang w:val="en-US" w:eastAsia="zh-CN"/>
              </w:rPr>
              <w:t>—</w:t>
            </w:r>
            <w:r>
              <w:rPr>
                <w:i w:val="0"/>
                <w:iCs w:val="0"/>
                <w:color w:val="auto"/>
                <w:spacing w:val="-3"/>
                <w:highlight w:val="none"/>
                <w:vertAlign w:val="baseline"/>
              </w:rPr>
              <w:t>靠近开口处</w:t>
            </w:r>
            <w:r>
              <w:rPr>
                <w:i w:val="0"/>
                <w:iCs w:val="0"/>
                <w:color w:val="auto"/>
                <w:highlight w:val="none"/>
                <w:vertAlign w:val="baseline"/>
              </w:rPr>
              <w:t>（</w:t>
            </w:r>
            <w:r>
              <w:rPr>
                <w:i w:val="0"/>
                <w:iCs w:val="0"/>
                <w:color w:val="auto"/>
                <w:spacing w:val="-2"/>
                <w:highlight w:val="none"/>
                <w:vertAlign w:val="baseline"/>
              </w:rPr>
              <w:t>或窗户</w:t>
            </w:r>
            <w:r>
              <w:rPr>
                <w:i w:val="0"/>
                <w:iCs w:val="0"/>
                <w:color w:val="auto"/>
                <w:spacing w:val="-3"/>
                <w:highlight w:val="none"/>
                <w:vertAlign w:val="baseline"/>
              </w:rPr>
              <w:t>）</w:t>
            </w:r>
            <w:r>
              <w:rPr>
                <w:i w:val="0"/>
                <w:iCs w:val="0"/>
                <w:color w:val="auto"/>
                <w:spacing w:val="1"/>
                <w:highlight w:val="none"/>
                <w:vertAlign w:val="baseline"/>
              </w:rPr>
              <w:t>室内某倍频带的声压级或</w:t>
            </w:r>
            <w:r>
              <w:rPr>
                <w:rFonts w:ascii="Times New Roman" w:hAnsi="Times New Roman" w:eastAsia="Times New Roman"/>
                <w:i w:val="0"/>
                <w:iCs w:val="0"/>
                <w:color w:val="auto"/>
                <w:position w:val="1"/>
                <w:highlight w:val="none"/>
                <w:vertAlign w:val="baseline"/>
              </w:rPr>
              <w:t>A</w:t>
            </w:r>
            <w:r>
              <w:rPr>
                <w:i w:val="0"/>
                <w:iCs w:val="0"/>
                <w:color w:val="auto"/>
                <w:spacing w:val="-2"/>
                <w:highlight w:val="none"/>
                <w:vertAlign w:val="baseline"/>
              </w:rPr>
              <w:t>声级，</w:t>
            </w:r>
            <w:r>
              <w:rPr>
                <w:rFonts w:hint="eastAsia" w:ascii="Times New Roman" w:hAnsi="Times New Roman" w:eastAsia="宋体"/>
                <w:i w:val="0"/>
                <w:iCs w:val="0"/>
                <w:color w:val="auto"/>
                <w:position w:val="1"/>
                <w:highlight w:val="none"/>
                <w:vertAlign w:val="baseline"/>
                <w:lang w:eastAsia="zh-CN"/>
              </w:rPr>
              <w:t>分贝</w:t>
            </w:r>
            <w:r>
              <w:rPr>
                <w:i w:val="0"/>
                <w:iCs w:val="0"/>
                <w:color w:val="auto"/>
                <w:highlight w:val="none"/>
                <w:vertAlign w:val="baseline"/>
              </w:rPr>
              <w:t>；</w:t>
            </w:r>
          </w:p>
          <w:p w14:paraId="0F574CB3">
            <w:pPr>
              <w:pStyle w:val="60"/>
              <w:keepNext w:val="0"/>
              <w:keepLines w:val="0"/>
              <w:pageBreakBefore w:val="0"/>
              <w:widowControl w:val="0"/>
              <w:kinsoku/>
              <w:wordWrap/>
              <w:overflowPunct/>
              <w:topLinePunct w:val="0"/>
              <w:autoSpaceDE/>
              <w:autoSpaceDN/>
              <w:bidi w:val="0"/>
              <w:adjustRightInd/>
              <w:snapToGrid w:val="0"/>
              <w:ind w:left="0" w:leftChars="0" w:firstLine="1200" w:firstLineChars="500"/>
              <w:textAlignment w:val="auto"/>
              <w:rPr>
                <w:color w:val="auto"/>
                <w:highlight w:val="none"/>
                <w:vertAlign w:val="baseline"/>
              </w:rPr>
            </w:pPr>
            <w:r>
              <w:rPr>
                <w:rFonts w:hint="eastAsia" w:ascii="Times New Roman" w:hAnsi="Times New Roman" w:eastAsia="宋体"/>
                <w:i w:val="0"/>
                <w:iCs w:val="0"/>
                <w:color w:val="auto"/>
                <w:position w:val="1"/>
                <w:highlight w:val="none"/>
                <w:vertAlign w:val="baseline"/>
                <w:lang w:eastAsia="zh-CN"/>
              </w:rPr>
              <w:t>L</w:t>
            </w:r>
            <w:r>
              <w:rPr>
                <w:rFonts w:ascii="Times New Roman" w:hAnsi="Times New Roman" w:eastAsia="Times New Roman"/>
                <w:i w:val="0"/>
                <w:iCs w:val="0"/>
                <w:color w:val="auto"/>
                <w:position w:val="1"/>
                <w:highlight w:val="none"/>
                <w:vertAlign w:val="subscript"/>
              </w:rPr>
              <w:t>p2</w:t>
            </w:r>
            <w:r>
              <w:rPr>
                <w:rFonts w:hint="eastAsia" w:ascii="Times New Roman" w:hAnsi="Times New Roman" w:eastAsia="宋体" w:cs="Times New Roman"/>
                <w:i w:val="0"/>
                <w:iCs w:val="0"/>
                <w:color w:val="auto"/>
                <w:sz w:val="24"/>
                <w:szCs w:val="24"/>
                <w:shd w:val="clear" w:color="auto" w:fill="FFFFFF"/>
                <w:lang w:val="en-US" w:eastAsia="zh-CN"/>
              </w:rPr>
              <w:t>—</w:t>
            </w:r>
            <w:r>
              <w:rPr>
                <w:color w:val="auto"/>
                <w:spacing w:val="-3"/>
                <w:highlight w:val="none"/>
                <w:vertAlign w:val="baseline"/>
              </w:rPr>
              <w:t>靠近开口处</w:t>
            </w:r>
            <w:r>
              <w:rPr>
                <w:color w:val="auto"/>
                <w:highlight w:val="none"/>
                <w:vertAlign w:val="baseline"/>
              </w:rPr>
              <w:t>（</w:t>
            </w:r>
            <w:r>
              <w:rPr>
                <w:color w:val="auto"/>
                <w:spacing w:val="-2"/>
                <w:highlight w:val="none"/>
                <w:vertAlign w:val="baseline"/>
              </w:rPr>
              <w:t>或窗户</w:t>
            </w:r>
            <w:r>
              <w:rPr>
                <w:color w:val="auto"/>
                <w:highlight w:val="none"/>
                <w:vertAlign w:val="baseline"/>
              </w:rPr>
              <w:t>）</w:t>
            </w:r>
            <w:r>
              <w:rPr>
                <w:color w:val="auto"/>
                <w:spacing w:val="-7"/>
                <w:highlight w:val="none"/>
                <w:vertAlign w:val="baseline"/>
              </w:rPr>
              <w:t>室外某倍频带的声压级或</w:t>
            </w:r>
            <w:r>
              <w:rPr>
                <w:rFonts w:ascii="Times New Roman" w:hAnsi="Times New Roman" w:eastAsia="Times New Roman"/>
                <w:color w:val="auto"/>
                <w:position w:val="1"/>
                <w:highlight w:val="none"/>
                <w:vertAlign w:val="baseline"/>
              </w:rPr>
              <w:t>A</w:t>
            </w:r>
            <w:r>
              <w:rPr>
                <w:color w:val="auto"/>
                <w:spacing w:val="-2"/>
                <w:highlight w:val="none"/>
                <w:vertAlign w:val="baseline"/>
              </w:rPr>
              <w:t>声级，</w:t>
            </w:r>
            <w:r>
              <w:rPr>
                <w:rFonts w:hint="eastAsia" w:ascii="Times New Roman" w:hAnsi="Times New Roman" w:eastAsia="宋体"/>
                <w:color w:val="auto"/>
                <w:position w:val="1"/>
                <w:highlight w:val="none"/>
                <w:vertAlign w:val="baseline"/>
                <w:lang w:eastAsia="zh-CN"/>
              </w:rPr>
              <w:t>分贝</w:t>
            </w:r>
            <w:r>
              <w:rPr>
                <w:color w:val="auto"/>
                <w:highlight w:val="none"/>
                <w:vertAlign w:val="baseline"/>
              </w:rPr>
              <w:t xml:space="preserve">； </w:t>
            </w:r>
          </w:p>
          <w:p w14:paraId="601C273D">
            <w:pPr>
              <w:pStyle w:val="60"/>
              <w:keepNext w:val="0"/>
              <w:keepLines w:val="0"/>
              <w:pageBreakBefore w:val="0"/>
              <w:widowControl w:val="0"/>
              <w:kinsoku/>
              <w:wordWrap/>
              <w:overflowPunct/>
              <w:topLinePunct w:val="0"/>
              <w:autoSpaceDE/>
              <w:autoSpaceDN/>
              <w:bidi w:val="0"/>
              <w:adjustRightInd/>
              <w:snapToGrid w:val="0"/>
              <w:ind w:left="0" w:leftChars="0" w:firstLine="1200" w:firstLineChars="500"/>
              <w:textAlignment w:val="auto"/>
              <w:rPr>
                <w:rFonts w:hint="eastAsia" w:eastAsia="宋体" w:cs="Times New Roman"/>
                <w:color w:val="auto"/>
                <w:highlight w:val="none"/>
                <w:lang w:val="en-US" w:eastAsia="zh-CN"/>
              </w:rPr>
            </w:pPr>
            <w:r>
              <w:rPr>
                <w:rFonts w:hint="eastAsia" w:cs="Times New Roman"/>
                <w:i w:val="0"/>
                <w:iCs w:val="0"/>
                <w:color w:val="auto"/>
                <w:highlight w:val="none"/>
                <w:lang w:val="en-US" w:eastAsia="zh-CN"/>
              </w:rPr>
              <w:t>T</w:t>
            </w:r>
            <w:r>
              <w:rPr>
                <w:rFonts w:hint="eastAsia" w:ascii="Times New Roman" w:hAnsi="Times New Roman" w:eastAsia="宋体"/>
                <w:i w:val="0"/>
                <w:iCs w:val="0"/>
                <w:color w:val="auto"/>
                <w:position w:val="1"/>
                <w:highlight w:val="none"/>
                <w:vertAlign w:val="baseline"/>
                <w:lang w:eastAsia="zh-CN"/>
              </w:rPr>
              <w:t>L</w:t>
            </w:r>
            <w:r>
              <w:rPr>
                <w:rFonts w:hint="eastAsia" w:ascii="Times New Roman" w:hAnsi="Times New Roman" w:eastAsia="宋体" w:cs="Times New Roman"/>
                <w:color w:val="auto"/>
                <w:sz w:val="24"/>
                <w:szCs w:val="24"/>
                <w:shd w:val="clear" w:color="auto" w:fill="FFFFFF"/>
                <w:lang w:val="en-US" w:eastAsia="zh-CN"/>
              </w:rPr>
              <w:t>—</w:t>
            </w:r>
            <w:r>
              <w:rPr>
                <w:color w:val="auto"/>
                <w:spacing w:val="-2"/>
                <w:highlight w:val="none"/>
                <w:vertAlign w:val="baseline"/>
              </w:rPr>
              <w:t>隔墙</w:t>
            </w:r>
            <w:r>
              <w:rPr>
                <w:color w:val="auto"/>
                <w:spacing w:val="-3"/>
                <w:highlight w:val="none"/>
                <w:vertAlign w:val="baseline"/>
              </w:rPr>
              <w:t>（</w:t>
            </w:r>
            <w:r>
              <w:rPr>
                <w:color w:val="auto"/>
                <w:spacing w:val="-2"/>
                <w:highlight w:val="none"/>
                <w:vertAlign w:val="baseline"/>
              </w:rPr>
              <w:t>或窗户</w:t>
            </w:r>
            <w:r>
              <w:rPr>
                <w:color w:val="auto"/>
                <w:spacing w:val="-3"/>
                <w:highlight w:val="none"/>
                <w:vertAlign w:val="baseline"/>
              </w:rPr>
              <w:t>）</w:t>
            </w:r>
            <w:r>
              <w:rPr>
                <w:color w:val="auto"/>
                <w:spacing w:val="-14"/>
                <w:highlight w:val="none"/>
                <w:vertAlign w:val="baseline"/>
              </w:rPr>
              <w:t>倍频带或</w:t>
            </w:r>
            <w:r>
              <w:rPr>
                <w:rFonts w:ascii="Times New Roman" w:hAnsi="Times New Roman" w:eastAsia="Times New Roman"/>
                <w:color w:val="auto"/>
                <w:position w:val="1"/>
                <w:highlight w:val="none"/>
                <w:vertAlign w:val="baseline"/>
              </w:rPr>
              <w:t>A</w:t>
            </w:r>
            <w:r>
              <w:rPr>
                <w:color w:val="auto"/>
                <w:spacing w:val="-3"/>
                <w:highlight w:val="none"/>
                <w:vertAlign w:val="baseline"/>
              </w:rPr>
              <w:t>声级的隔声量，</w:t>
            </w:r>
            <w:r>
              <w:rPr>
                <w:rFonts w:hint="eastAsia" w:ascii="Times New Roman" w:hAnsi="Times New Roman" w:eastAsia="宋体"/>
                <w:color w:val="auto"/>
                <w:position w:val="1"/>
                <w:highlight w:val="none"/>
                <w:vertAlign w:val="baseline"/>
                <w:lang w:eastAsia="zh-CN"/>
              </w:rPr>
              <w:t>分贝</w:t>
            </w:r>
            <w:r>
              <w:rPr>
                <w:color w:val="auto"/>
                <w:highlight w:val="none"/>
                <w:vertAlign w:val="baseline"/>
              </w:rPr>
              <w:t>。</w:t>
            </w:r>
          </w:p>
          <w:p w14:paraId="2528E0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shd w:val="clear" w:color="auto" w:fill="FFFFFF"/>
                <w:lang w:val="en-US" w:eastAsia="zh-CN"/>
              </w:rPr>
            </w:pPr>
            <w:r>
              <w:rPr>
                <w:rFonts w:hint="eastAsia" w:ascii="Times New Roman" w:hAnsi="Times New Roman" w:eastAsia="宋体" w:cs="Times New Roman"/>
                <w:color w:val="auto"/>
                <w:sz w:val="24"/>
                <w:szCs w:val="24"/>
                <w:shd w:val="clear" w:color="auto" w:fill="FFFFFF"/>
                <w:lang w:val="en-US" w:eastAsia="zh-CN"/>
              </w:rPr>
              <w:t>③单个室外的点声源在户外传播衰减的计算</w:t>
            </w:r>
          </w:p>
          <w:p w14:paraId="395BD4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shd w:val="clear" w:color="auto" w:fill="FFFFFF"/>
                <w:lang w:val="en-US" w:eastAsia="zh-CN"/>
              </w:rPr>
            </w:pPr>
            <w:r>
              <w:rPr>
                <w:rFonts w:hint="eastAsia" w:ascii="Times New Roman" w:hAnsi="Times New Roman" w:eastAsia="宋体" w:cs="Times New Roman"/>
                <w:color w:val="auto"/>
                <w:sz w:val="24"/>
                <w:szCs w:val="24"/>
                <w:shd w:val="clear" w:color="auto" w:fill="FFFFFF"/>
                <w:lang w:val="en-US" w:eastAsia="zh-CN"/>
              </w:rPr>
              <w:t>单个室外的点声源A声级的计算公式为：</w:t>
            </w:r>
          </w:p>
          <w:p w14:paraId="3DF531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sz w:val="24"/>
                <w:szCs w:val="24"/>
                <w:shd w:val="clear" w:color="auto" w:fill="FFFFFF"/>
                <w:lang w:val="en-US" w:eastAsia="zh-CN"/>
              </w:rPr>
            </w:pPr>
            <w:r>
              <w:rPr>
                <w:rFonts w:hint="eastAsia" w:ascii="Times New Roman" w:hAnsi="Times New Roman" w:eastAsia="宋体" w:cs="Times New Roman"/>
                <w:color w:val="auto"/>
                <w:sz w:val="24"/>
                <w:szCs w:val="24"/>
                <w:shd w:val="clear" w:color="auto" w:fill="FFFFFF"/>
                <w:lang w:val="en-US" w:eastAsia="zh-CN"/>
              </w:rPr>
              <w:t>Lp（r）= Lp（r</w:t>
            </w:r>
            <w:r>
              <w:rPr>
                <w:rFonts w:hint="eastAsia" w:ascii="Times New Roman" w:hAnsi="Times New Roman" w:eastAsia="宋体" w:cs="Times New Roman"/>
                <w:color w:val="auto"/>
                <w:sz w:val="24"/>
                <w:szCs w:val="24"/>
                <w:shd w:val="clear" w:color="auto" w:fill="FFFFFF"/>
                <w:vertAlign w:val="subscript"/>
                <w:lang w:val="en-US" w:eastAsia="zh-CN"/>
              </w:rPr>
              <w:t>0</w:t>
            </w:r>
            <w:r>
              <w:rPr>
                <w:rFonts w:hint="eastAsia" w:ascii="Times New Roman" w:hAnsi="Times New Roman" w:eastAsia="宋体" w:cs="Times New Roman"/>
                <w:color w:val="auto"/>
                <w:sz w:val="24"/>
                <w:szCs w:val="24"/>
                <w:shd w:val="clear" w:color="auto" w:fill="FFFFFF"/>
                <w:lang w:val="en-US" w:eastAsia="zh-CN"/>
              </w:rPr>
              <w:t>）-（A</w:t>
            </w:r>
            <w:r>
              <w:rPr>
                <w:rFonts w:hint="eastAsia" w:ascii="Times New Roman" w:hAnsi="Times New Roman" w:eastAsia="宋体" w:cs="Times New Roman"/>
                <w:color w:val="auto"/>
                <w:sz w:val="24"/>
                <w:szCs w:val="24"/>
                <w:shd w:val="clear" w:color="auto" w:fill="FFFFFF"/>
                <w:vertAlign w:val="subscript"/>
                <w:lang w:val="en-US" w:eastAsia="zh-CN"/>
              </w:rPr>
              <w:t>diV</w:t>
            </w:r>
            <w:r>
              <w:rPr>
                <w:rFonts w:hint="eastAsia" w:ascii="Times New Roman" w:hAnsi="Times New Roman" w:eastAsia="宋体" w:cs="Times New Roman"/>
                <w:color w:val="auto"/>
                <w:sz w:val="24"/>
                <w:szCs w:val="24"/>
                <w:shd w:val="clear" w:color="auto" w:fill="FFFFFF"/>
                <w:lang w:val="en-US" w:eastAsia="zh-CN"/>
              </w:rPr>
              <w:t>+A</w:t>
            </w:r>
            <w:r>
              <w:rPr>
                <w:rFonts w:hint="eastAsia" w:ascii="Times New Roman" w:hAnsi="Times New Roman" w:eastAsia="宋体" w:cs="Times New Roman"/>
                <w:color w:val="auto"/>
                <w:sz w:val="24"/>
                <w:szCs w:val="24"/>
                <w:shd w:val="clear" w:color="auto" w:fill="FFFFFF"/>
                <w:vertAlign w:val="subscript"/>
                <w:lang w:val="en-US" w:eastAsia="zh-CN"/>
              </w:rPr>
              <w:t>bar</w:t>
            </w:r>
            <w:r>
              <w:rPr>
                <w:rFonts w:hint="eastAsia" w:ascii="Times New Roman" w:hAnsi="Times New Roman" w:eastAsia="宋体" w:cs="Times New Roman"/>
                <w:color w:val="auto"/>
                <w:sz w:val="24"/>
                <w:szCs w:val="24"/>
                <w:shd w:val="clear" w:color="auto" w:fill="FFFFFF"/>
                <w:lang w:val="en-US" w:eastAsia="zh-CN"/>
              </w:rPr>
              <w:t>+A</w:t>
            </w:r>
            <w:r>
              <w:rPr>
                <w:rFonts w:hint="eastAsia" w:ascii="Times New Roman" w:hAnsi="Times New Roman" w:eastAsia="宋体" w:cs="Times New Roman"/>
                <w:color w:val="auto"/>
                <w:sz w:val="24"/>
                <w:szCs w:val="24"/>
                <w:shd w:val="clear" w:color="auto" w:fill="FFFFFF"/>
                <w:vertAlign w:val="subscript"/>
                <w:lang w:val="en-US" w:eastAsia="zh-CN"/>
              </w:rPr>
              <w:t>a吨m</w:t>
            </w:r>
            <w:r>
              <w:rPr>
                <w:rFonts w:hint="eastAsia" w:ascii="Times New Roman" w:hAnsi="Times New Roman" w:eastAsia="宋体" w:cs="Times New Roman"/>
                <w:color w:val="auto"/>
                <w:sz w:val="24"/>
                <w:szCs w:val="24"/>
                <w:shd w:val="clear" w:color="auto" w:fill="FFFFFF"/>
                <w:lang w:val="en-US" w:eastAsia="zh-CN"/>
              </w:rPr>
              <w:t>+A</w:t>
            </w:r>
            <w:r>
              <w:rPr>
                <w:rFonts w:hint="eastAsia" w:ascii="Times New Roman" w:hAnsi="Times New Roman" w:eastAsia="宋体" w:cs="Times New Roman"/>
                <w:color w:val="auto"/>
                <w:sz w:val="24"/>
                <w:szCs w:val="24"/>
                <w:shd w:val="clear" w:color="auto" w:fill="FFFFFF"/>
                <w:vertAlign w:val="subscript"/>
                <w:lang w:val="en-US" w:eastAsia="zh-CN"/>
              </w:rPr>
              <w:t>gy</w:t>
            </w:r>
            <w:r>
              <w:rPr>
                <w:rFonts w:hint="eastAsia" w:ascii="Times New Roman" w:hAnsi="Times New Roman" w:eastAsia="宋体" w:cs="Times New Roman"/>
                <w:color w:val="auto"/>
                <w:sz w:val="24"/>
                <w:szCs w:val="24"/>
                <w:shd w:val="clear" w:color="auto" w:fill="FFFFFF"/>
                <w:lang w:val="en-US" w:eastAsia="zh-CN"/>
              </w:rPr>
              <w:t>+A</w:t>
            </w:r>
            <w:r>
              <w:rPr>
                <w:rFonts w:hint="eastAsia" w:ascii="Times New Roman" w:hAnsi="Times New Roman" w:eastAsia="宋体" w:cs="Times New Roman"/>
                <w:color w:val="auto"/>
                <w:sz w:val="24"/>
                <w:szCs w:val="24"/>
                <w:shd w:val="clear" w:color="auto" w:fill="FFFFFF"/>
                <w:vertAlign w:val="subscript"/>
                <w:lang w:val="en-US" w:eastAsia="zh-CN"/>
              </w:rPr>
              <w:t>misc</w:t>
            </w:r>
            <w:r>
              <w:rPr>
                <w:rFonts w:hint="eastAsia" w:ascii="Times New Roman" w:hAnsi="Times New Roman" w:eastAsia="宋体" w:cs="Times New Roman"/>
                <w:color w:val="auto"/>
                <w:sz w:val="24"/>
                <w:szCs w:val="24"/>
                <w:shd w:val="clear" w:color="auto" w:fill="FFFFFF"/>
                <w:lang w:val="en-US" w:eastAsia="zh-CN"/>
              </w:rPr>
              <w:t>）</w:t>
            </w:r>
          </w:p>
          <w:p w14:paraId="64DDFD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shd w:val="clear" w:color="auto" w:fill="FFFFFF"/>
                <w:lang w:val="en-US" w:eastAsia="zh-CN"/>
              </w:rPr>
            </w:pPr>
            <w:r>
              <w:rPr>
                <w:rFonts w:hint="eastAsia" w:ascii="Times New Roman" w:hAnsi="Times New Roman" w:eastAsia="宋体" w:cs="Times New Roman"/>
                <w:color w:val="auto"/>
                <w:sz w:val="24"/>
                <w:szCs w:val="24"/>
                <w:shd w:val="clear" w:color="auto" w:fill="FFFFFF"/>
                <w:lang w:val="en-US" w:eastAsia="zh-CN"/>
              </w:rPr>
              <w:t>其中：Lp（r）—距声源r处的A声级，分贝；</w:t>
            </w:r>
          </w:p>
          <w:p w14:paraId="7C3734C4">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ascii="Times New Roman" w:hAnsi="Times New Roman" w:eastAsia="宋体" w:cs="Times New Roman"/>
                <w:color w:val="auto"/>
                <w:sz w:val="24"/>
                <w:szCs w:val="24"/>
                <w:shd w:val="clear" w:color="auto" w:fill="FFFFFF"/>
                <w:lang w:val="en-US" w:eastAsia="zh-CN"/>
              </w:rPr>
            </w:pPr>
            <w:r>
              <w:rPr>
                <w:rFonts w:hint="eastAsia" w:ascii="Times New Roman" w:hAnsi="Times New Roman" w:eastAsia="宋体" w:cs="Times New Roman"/>
                <w:color w:val="auto"/>
                <w:sz w:val="24"/>
                <w:szCs w:val="24"/>
                <w:shd w:val="clear" w:color="auto" w:fill="FFFFFF"/>
                <w:lang w:val="en-US" w:eastAsia="zh-CN"/>
              </w:rPr>
              <w:t>Lp（r</w:t>
            </w:r>
            <w:r>
              <w:rPr>
                <w:rFonts w:hint="eastAsia" w:ascii="Times New Roman" w:hAnsi="Times New Roman" w:eastAsia="宋体" w:cs="Times New Roman"/>
                <w:color w:val="auto"/>
                <w:sz w:val="24"/>
                <w:szCs w:val="24"/>
                <w:shd w:val="clear" w:color="auto" w:fill="FFFFFF"/>
                <w:vertAlign w:val="subscript"/>
                <w:lang w:val="en-US" w:eastAsia="zh-CN"/>
              </w:rPr>
              <w:t>0</w:t>
            </w:r>
            <w:r>
              <w:rPr>
                <w:rFonts w:hint="eastAsia" w:ascii="Times New Roman" w:hAnsi="Times New Roman" w:eastAsia="宋体" w:cs="Times New Roman"/>
                <w:color w:val="auto"/>
                <w:sz w:val="24"/>
                <w:szCs w:val="24"/>
                <w:shd w:val="clear" w:color="auto" w:fill="FFFFFF"/>
                <w:lang w:val="en-US" w:eastAsia="zh-CN"/>
              </w:rPr>
              <w:t>）—参考位置r</w:t>
            </w:r>
            <w:r>
              <w:rPr>
                <w:rFonts w:hint="eastAsia" w:ascii="Times New Roman" w:hAnsi="Times New Roman" w:eastAsia="宋体" w:cs="Times New Roman"/>
                <w:color w:val="auto"/>
                <w:sz w:val="24"/>
                <w:szCs w:val="24"/>
                <w:shd w:val="clear" w:color="auto" w:fill="FFFFFF"/>
                <w:vertAlign w:val="subscript"/>
                <w:lang w:val="en-US" w:eastAsia="zh-CN"/>
              </w:rPr>
              <w:t>0</w:t>
            </w:r>
            <w:r>
              <w:rPr>
                <w:rFonts w:hint="eastAsia" w:ascii="Times New Roman" w:hAnsi="Times New Roman" w:eastAsia="宋体" w:cs="Times New Roman"/>
                <w:color w:val="auto"/>
                <w:sz w:val="24"/>
                <w:szCs w:val="24"/>
                <w:shd w:val="clear" w:color="auto" w:fill="FFFFFF"/>
                <w:lang w:val="en-US" w:eastAsia="zh-CN"/>
              </w:rPr>
              <w:t>处的A声级，分贝；</w:t>
            </w:r>
          </w:p>
          <w:p w14:paraId="00EDBB0C">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ascii="Times New Roman" w:hAnsi="Times New Roman" w:eastAsia="宋体" w:cs="Times New Roman"/>
                <w:color w:val="auto"/>
                <w:sz w:val="24"/>
                <w:szCs w:val="24"/>
                <w:shd w:val="clear" w:color="auto" w:fill="FFFFFF"/>
                <w:lang w:val="en-US" w:eastAsia="zh-CN"/>
              </w:rPr>
            </w:pPr>
            <w:r>
              <w:rPr>
                <w:rFonts w:hint="eastAsia" w:ascii="Times New Roman" w:hAnsi="Times New Roman" w:eastAsia="宋体" w:cs="Times New Roman"/>
                <w:color w:val="auto"/>
                <w:sz w:val="24"/>
                <w:szCs w:val="24"/>
                <w:shd w:val="clear" w:color="auto" w:fill="FFFFFF"/>
                <w:lang w:val="en-US" w:eastAsia="zh-CN"/>
              </w:rPr>
              <w:t>A</w:t>
            </w:r>
            <w:r>
              <w:rPr>
                <w:rFonts w:hint="eastAsia" w:ascii="Times New Roman" w:hAnsi="Times New Roman" w:eastAsia="宋体" w:cs="Times New Roman"/>
                <w:color w:val="auto"/>
                <w:sz w:val="24"/>
                <w:szCs w:val="24"/>
                <w:shd w:val="clear" w:color="auto" w:fill="FFFFFF"/>
                <w:vertAlign w:val="subscript"/>
                <w:lang w:val="en-US" w:eastAsia="zh-CN"/>
              </w:rPr>
              <w:t>diV</w:t>
            </w:r>
            <w:r>
              <w:rPr>
                <w:rFonts w:hint="eastAsia" w:ascii="Times New Roman" w:hAnsi="Times New Roman" w:eastAsia="宋体" w:cs="Times New Roman"/>
                <w:color w:val="auto"/>
                <w:sz w:val="24"/>
                <w:szCs w:val="24"/>
                <w:shd w:val="clear" w:color="auto" w:fill="FFFFFF"/>
                <w:lang w:val="en-US" w:eastAsia="zh-CN"/>
              </w:rPr>
              <w:t>—声波几何发散引起的A声级衰减量，分贝；</w:t>
            </w:r>
          </w:p>
          <w:p w14:paraId="7999BB91">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ascii="Times New Roman" w:hAnsi="Times New Roman" w:eastAsia="宋体" w:cs="Times New Roman"/>
                <w:color w:val="auto"/>
                <w:sz w:val="24"/>
                <w:szCs w:val="24"/>
                <w:shd w:val="clear" w:color="auto" w:fill="FFFFFF"/>
                <w:lang w:val="en-US" w:eastAsia="zh-CN"/>
              </w:rPr>
            </w:pPr>
            <w:r>
              <w:rPr>
                <w:rFonts w:hint="eastAsia" w:ascii="Times New Roman" w:hAnsi="Times New Roman" w:eastAsia="宋体" w:cs="Times New Roman"/>
                <w:color w:val="auto"/>
                <w:sz w:val="24"/>
                <w:szCs w:val="24"/>
                <w:shd w:val="clear" w:color="auto" w:fill="FFFFFF"/>
                <w:lang w:val="en-US" w:eastAsia="zh-CN"/>
              </w:rPr>
              <w:t>A</w:t>
            </w:r>
            <w:r>
              <w:rPr>
                <w:rFonts w:hint="eastAsia" w:ascii="Times New Roman" w:hAnsi="Times New Roman" w:eastAsia="宋体" w:cs="Times New Roman"/>
                <w:color w:val="auto"/>
                <w:sz w:val="24"/>
                <w:szCs w:val="24"/>
                <w:shd w:val="clear" w:color="auto" w:fill="FFFFFF"/>
                <w:vertAlign w:val="subscript"/>
                <w:lang w:val="en-US" w:eastAsia="zh-CN"/>
              </w:rPr>
              <w:t>bar</w:t>
            </w:r>
            <w:r>
              <w:rPr>
                <w:rFonts w:hint="eastAsia" w:ascii="Times New Roman" w:hAnsi="Times New Roman" w:eastAsia="宋体" w:cs="Times New Roman"/>
                <w:color w:val="auto"/>
                <w:sz w:val="24"/>
                <w:szCs w:val="24"/>
                <w:shd w:val="clear" w:color="auto" w:fill="FFFFFF"/>
                <w:lang w:val="en-US" w:eastAsia="zh-CN"/>
              </w:rPr>
              <w:t>—遮挡物引起的A声级衰减量，分贝；</w:t>
            </w:r>
          </w:p>
          <w:p w14:paraId="0B34AAB3">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ascii="Times New Roman" w:hAnsi="Times New Roman" w:eastAsia="宋体" w:cs="Times New Roman"/>
                <w:color w:val="auto"/>
                <w:sz w:val="24"/>
                <w:szCs w:val="24"/>
                <w:shd w:val="clear" w:color="auto" w:fill="FFFFFF"/>
                <w:lang w:val="en-US" w:eastAsia="zh-CN"/>
              </w:rPr>
            </w:pPr>
            <w:r>
              <w:rPr>
                <w:rFonts w:hint="eastAsia" w:ascii="Times New Roman" w:hAnsi="Times New Roman" w:eastAsia="宋体" w:cs="Times New Roman"/>
                <w:color w:val="auto"/>
                <w:sz w:val="24"/>
                <w:szCs w:val="24"/>
                <w:shd w:val="clear" w:color="auto" w:fill="FFFFFF"/>
                <w:lang w:val="en-US" w:eastAsia="zh-CN"/>
              </w:rPr>
              <w:t>A</w:t>
            </w:r>
            <w:r>
              <w:rPr>
                <w:rFonts w:hint="eastAsia" w:ascii="Times New Roman" w:hAnsi="Times New Roman" w:eastAsia="宋体" w:cs="Times New Roman"/>
                <w:color w:val="auto"/>
                <w:sz w:val="24"/>
                <w:szCs w:val="24"/>
                <w:shd w:val="clear" w:color="auto" w:fill="FFFFFF"/>
                <w:vertAlign w:val="subscript"/>
                <w:lang w:val="en-US" w:eastAsia="zh-CN"/>
              </w:rPr>
              <w:t>a吨m</w:t>
            </w:r>
            <w:r>
              <w:rPr>
                <w:rFonts w:hint="eastAsia" w:ascii="Times New Roman" w:hAnsi="Times New Roman" w:eastAsia="宋体" w:cs="Times New Roman"/>
                <w:color w:val="auto"/>
                <w:sz w:val="24"/>
                <w:szCs w:val="24"/>
                <w:shd w:val="clear" w:color="auto" w:fill="FFFFFF"/>
                <w:lang w:val="en-US" w:eastAsia="zh-CN"/>
              </w:rPr>
              <w:t>—空气吸收引起的A声级衰减量，分贝；</w:t>
            </w:r>
          </w:p>
          <w:p w14:paraId="7497C24F">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ascii="Times New Roman" w:hAnsi="Times New Roman" w:eastAsia="宋体" w:cs="Times New Roman"/>
                <w:color w:val="auto"/>
                <w:sz w:val="24"/>
                <w:szCs w:val="24"/>
                <w:shd w:val="clear" w:color="auto" w:fill="FFFFFF"/>
                <w:lang w:val="en-US" w:eastAsia="zh-CN"/>
              </w:rPr>
            </w:pPr>
            <w:r>
              <w:rPr>
                <w:rFonts w:hint="eastAsia" w:ascii="Times New Roman" w:hAnsi="Times New Roman" w:eastAsia="宋体" w:cs="Times New Roman"/>
                <w:color w:val="auto"/>
                <w:sz w:val="24"/>
                <w:szCs w:val="24"/>
                <w:shd w:val="clear" w:color="auto" w:fill="FFFFFF"/>
                <w:lang w:val="en-US" w:eastAsia="zh-CN"/>
              </w:rPr>
              <w:t>A</w:t>
            </w:r>
            <w:r>
              <w:rPr>
                <w:rFonts w:hint="eastAsia" w:ascii="Times New Roman" w:hAnsi="Times New Roman" w:eastAsia="宋体" w:cs="Times New Roman"/>
                <w:color w:val="auto"/>
                <w:sz w:val="24"/>
                <w:szCs w:val="24"/>
                <w:shd w:val="clear" w:color="auto" w:fill="FFFFFF"/>
                <w:vertAlign w:val="subscript"/>
                <w:lang w:val="en-US" w:eastAsia="zh-CN"/>
              </w:rPr>
              <w:t>gy</w:t>
            </w:r>
            <w:r>
              <w:rPr>
                <w:rFonts w:hint="eastAsia" w:ascii="Times New Roman" w:hAnsi="Times New Roman" w:eastAsia="宋体" w:cs="Times New Roman"/>
                <w:color w:val="auto"/>
                <w:sz w:val="24"/>
                <w:szCs w:val="24"/>
                <w:shd w:val="clear" w:color="auto" w:fill="FFFFFF"/>
                <w:lang w:val="en-US" w:eastAsia="zh-CN"/>
              </w:rPr>
              <w:t>—地面效应衰减量，分贝；</w:t>
            </w:r>
          </w:p>
          <w:p w14:paraId="2C7F4AD8">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ascii="Times New Roman" w:hAnsi="Times New Roman" w:eastAsia="宋体" w:cs="Times New Roman"/>
                <w:color w:val="auto"/>
                <w:sz w:val="24"/>
                <w:szCs w:val="24"/>
                <w:shd w:val="clear" w:color="auto" w:fill="FFFFFF"/>
                <w:lang w:val="en-US" w:eastAsia="zh-CN"/>
              </w:rPr>
            </w:pPr>
            <w:r>
              <w:rPr>
                <w:rFonts w:hint="eastAsia" w:ascii="Times New Roman" w:hAnsi="Times New Roman" w:eastAsia="宋体" w:cs="Times New Roman"/>
                <w:color w:val="auto"/>
                <w:sz w:val="24"/>
                <w:szCs w:val="24"/>
                <w:shd w:val="clear" w:color="auto" w:fill="FFFFFF"/>
                <w:lang w:val="en-US" w:eastAsia="zh-CN"/>
              </w:rPr>
              <w:t>A</w:t>
            </w:r>
            <w:r>
              <w:rPr>
                <w:rFonts w:hint="eastAsia" w:ascii="Times New Roman" w:hAnsi="Times New Roman" w:eastAsia="宋体" w:cs="Times New Roman"/>
                <w:color w:val="auto"/>
                <w:sz w:val="24"/>
                <w:szCs w:val="24"/>
                <w:shd w:val="clear" w:color="auto" w:fill="FFFFFF"/>
                <w:vertAlign w:val="subscript"/>
                <w:lang w:val="en-US" w:eastAsia="zh-CN"/>
              </w:rPr>
              <w:t>misc</w:t>
            </w:r>
            <w:r>
              <w:rPr>
                <w:rFonts w:hint="eastAsia" w:ascii="Times New Roman" w:hAnsi="Times New Roman" w:eastAsia="宋体" w:cs="Times New Roman"/>
                <w:color w:val="auto"/>
                <w:sz w:val="24"/>
                <w:szCs w:val="24"/>
                <w:shd w:val="clear" w:color="auto" w:fill="FFFFFF"/>
                <w:lang w:val="en-US" w:eastAsia="zh-CN"/>
              </w:rPr>
              <w:t>—其他多方面效应，分贝。</w:t>
            </w:r>
          </w:p>
          <w:p w14:paraId="1AA0F9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shd w:val="clear" w:color="auto" w:fill="FFFFFF"/>
                <w:lang w:val="en-US" w:eastAsia="zh-CN"/>
              </w:rPr>
            </w:pPr>
            <w:r>
              <w:rPr>
                <w:rFonts w:hint="eastAsia" w:ascii="Times New Roman" w:hAnsi="Times New Roman" w:eastAsia="宋体" w:cs="Times New Roman"/>
                <w:color w:val="auto"/>
                <w:sz w:val="24"/>
                <w:szCs w:val="24"/>
                <w:shd w:val="clear" w:color="auto" w:fill="FFFFFF"/>
                <w:lang w:val="en-US" w:eastAsia="zh-CN"/>
              </w:rPr>
              <w:t>项目所在地地势较为平坦开阔，预测点主要集中在厂界外1m处，故本次评价不考虑A</w:t>
            </w:r>
            <w:r>
              <w:rPr>
                <w:rFonts w:hint="eastAsia" w:ascii="Times New Roman" w:hAnsi="Times New Roman" w:eastAsia="宋体" w:cs="Times New Roman"/>
                <w:color w:val="auto"/>
                <w:sz w:val="24"/>
                <w:szCs w:val="24"/>
                <w:shd w:val="clear" w:color="auto" w:fill="FFFFFF"/>
                <w:vertAlign w:val="subscript"/>
                <w:lang w:val="en-US" w:eastAsia="zh-CN"/>
              </w:rPr>
              <w:t>gy</w:t>
            </w:r>
            <w:r>
              <w:rPr>
                <w:rFonts w:hint="eastAsia" w:ascii="Times New Roman" w:hAnsi="Times New Roman" w:eastAsia="宋体" w:cs="Times New Roman"/>
                <w:color w:val="auto"/>
                <w:sz w:val="24"/>
                <w:szCs w:val="24"/>
                <w:shd w:val="clear" w:color="auto" w:fill="FFFFFF"/>
                <w:lang w:val="en-US" w:eastAsia="zh-CN"/>
              </w:rPr>
              <w:t>、A</w:t>
            </w:r>
            <w:r>
              <w:rPr>
                <w:rFonts w:hint="eastAsia" w:ascii="Times New Roman" w:hAnsi="Times New Roman" w:eastAsia="宋体" w:cs="Times New Roman"/>
                <w:color w:val="auto"/>
                <w:sz w:val="24"/>
                <w:szCs w:val="24"/>
                <w:shd w:val="clear" w:color="auto" w:fill="FFFFFF"/>
                <w:vertAlign w:val="subscript"/>
                <w:lang w:val="en-US" w:eastAsia="zh-CN"/>
              </w:rPr>
              <w:t>a吨m</w:t>
            </w:r>
            <w:r>
              <w:rPr>
                <w:rFonts w:hint="eastAsia" w:ascii="Times New Roman" w:hAnsi="Times New Roman" w:eastAsia="宋体" w:cs="Times New Roman"/>
                <w:color w:val="auto"/>
                <w:sz w:val="24"/>
                <w:szCs w:val="24"/>
                <w:shd w:val="clear" w:color="auto" w:fill="FFFFFF"/>
                <w:lang w:val="en-US" w:eastAsia="zh-CN"/>
              </w:rPr>
              <w:t>、A</w:t>
            </w:r>
            <w:r>
              <w:rPr>
                <w:rFonts w:hint="eastAsia" w:ascii="Times New Roman" w:hAnsi="Times New Roman" w:eastAsia="宋体" w:cs="Times New Roman"/>
                <w:color w:val="auto"/>
                <w:sz w:val="24"/>
                <w:szCs w:val="24"/>
                <w:shd w:val="clear" w:color="auto" w:fill="FFFFFF"/>
                <w:vertAlign w:val="subscript"/>
                <w:lang w:val="en-US" w:eastAsia="zh-CN"/>
              </w:rPr>
              <w:t>misc</w:t>
            </w:r>
            <w:r>
              <w:rPr>
                <w:rFonts w:hint="eastAsia" w:ascii="Times New Roman" w:hAnsi="Times New Roman" w:eastAsia="宋体" w:cs="Times New Roman"/>
                <w:color w:val="auto"/>
                <w:sz w:val="24"/>
                <w:szCs w:val="24"/>
                <w:shd w:val="clear" w:color="auto" w:fill="FFFFFF"/>
                <w:lang w:val="en-US" w:eastAsia="zh-CN"/>
              </w:rPr>
              <w:t>。</w:t>
            </w:r>
          </w:p>
          <w:p w14:paraId="238122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shd w:val="clear" w:color="auto" w:fill="FFFFFF"/>
                <w:lang w:val="en-US" w:eastAsia="zh-CN"/>
              </w:rPr>
            </w:pPr>
            <w:r>
              <w:rPr>
                <w:rFonts w:hint="eastAsia" w:ascii="Times New Roman" w:hAnsi="Times New Roman" w:eastAsia="宋体" w:cs="Times New Roman"/>
                <w:color w:val="auto"/>
                <w:sz w:val="24"/>
                <w:szCs w:val="24"/>
                <w:shd w:val="clear" w:color="auto" w:fill="FFFFFF"/>
                <w:lang w:val="en-US" w:eastAsia="zh-CN"/>
              </w:rPr>
              <w:t>④声级叠加</w:t>
            </w:r>
          </w:p>
          <w:p w14:paraId="512970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shd w:val="clear" w:color="auto" w:fill="FFFFFF"/>
                <w:lang w:val="en-US" w:eastAsia="zh-CN"/>
              </w:rPr>
            </w:pPr>
            <w:r>
              <w:rPr>
                <w:rFonts w:hint="eastAsia" w:ascii="Times New Roman" w:hAnsi="Times New Roman" w:eastAsia="宋体" w:cs="Times New Roman"/>
                <w:color w:val="auto"/>
                <w:sz w:val="24"/>
                <w:szCs w:val="24"/>
                <w:shd w:val="clear" w:color="auto" w:fill="FFFFFF"/>
                <w:lang w:val="en-US" w:eastAsia="zh-CN"/>
              </w:rPr>
              <w:t>多声源叠加模式：</w:t>
            </w:r>
          </w:p>
          <w:p w14:paraId="4C9A805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rPr>
            </w:pPr>
            <w:r>
              <w:rPr>
                <w:color w:val="auto"/>
              </w:rPr>
              <w:drawing>
                <wp:inline distT="0" distB="0" distL="114300" distR="114300">
                  <wp:extent cx="1179830" cy="39624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9"/>
                          <a:stretch>
                            <a:fillRect/>
                          </a:stretch>
                        </pic:blipFill>
                        <pic:spPr>
                          <a:xfrm>
                            <a:off x="0" y="0"/>
                            <a:ext cx="1179830" cy="396240"/>
                          </a:xfrm>
                          <a:prstGeom prst="rect">
                            <a:avLst/>
                          </a:prstGeom>
                          <a:noFill/>
                          <a:ln>
                            <a:noFill/>
                          </a:ln>
                        </pic:spPr>
                      </pic:pic>
                    </a:graphicData>
                  </a:graphic>
                </wp:inline>
              </w:drawing>
            </w:r>
          </w:p>
          <w:p w14:paraId="3F46BFF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式中：</w:t>
            </w:r>
            <w:r>
              <w:rPr>
                <w:rFonts w:hint="eastAsia" w:ascii="Times New Roman" w:hAnsi="Times New Roman" w:eastAsia="宋体" w:cs="Times New Roman"/>
                <w:color w:val="auto"/>
                <w:sz w:val="24"/>
                <w:szCs w:val="24"/>
                <w:lang w:eastAsia="zh-CN"/>
              </w:rPr>
              <w:t>L</w:t>
            </w:r>
            <w:r>
              <w:rPr>
                <w:rFonts w:hint="default" w:ascii="Times New Roman" w:hAnsi="Times New Roman" w:eastAsia="宋体" w:cs="Times New Roman"/>
                <w:color w:val="auto"/>
                <w:sz w:val="24"/>
                <w:szCs w:val="24"/>
                <w:vertAlign w:val="subscript"/>
              </w:rPr>
              <w:t>0</w:t>
            </w:r>
            <w:r>
              <w:rPr>
                <w:rFonts w:hint="eastAsia" w:ascii="Times New Roman" w:hAnsi="Times New Roman" w:eastAsia="宋体" w:cs="Times New Roman"/>
                <w:color w:val="auto"/>
                <w:sz w:val="24"/>
                <w:szCs w:val="24"/>
                <w:shd w:val="clear" w:color="auto" w:fill="FFFFFF"/>
                <w:lang w:val="en-US" w:eastAsia="zh-CN"/>
              </w:rPr>
              <w:t>—</w:t>
            </w:r>
            <w:r>
              <w:rPr>
                <w:rFonts w:hint="default" w:ascii="Times New Roman" w:hAnsi="Times New Roman" w:eastAsia="宋体" w:cs="Times New Roman"/>
                <w:color w:val="auto"/>
                <w:sz w:val="24"/>
                <w:szCs w:val="24"/>
              </w:rPr>
              <w:t>叠加后总声压级，</w:t>
            </w:r>
            <w:r>
              <w:rPr>
                <w:rFonts w:hint="eastAsia" w:ascii="Times New Roman" w:hAnsi="Times New Roman" w:eastAsia="宋体" w:cs="Times New Roman"/>
                <w:color w:val="auto"/>
                <w:sz w:val="24"/>
                <w:szCs w:val="24"/>
                <w:lang w:eastAsia="zh-CN"/>
              </w:rPr>
              <w:t>分贝</w:t>
            </w:r>
            <w:r>
              <w:rPr>
                <w:rFonts w:hint="default" w:ascii="Times New Roman" w:hAnsi="Times New Roman" w:eastAsia="宋体" w:cs="Times New Roman"/>
                <w:color w:val="auto"/>
                <w:sz w:val="24"/>
                <w:szCs w:val="24"/>
              </w:rPr>
              <w:t>；</w:t>
            </w:r>
          </w:p>
          <w:p w14:paraId="13F22BFB">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n</w:t>
            </w:r>
            <w:r>
              <w:rPr>
                <w:rFonts w:hint="eastAsia" w:ascii="Times New Roman" w:hAnsi="Times New Roman" w:eastAsia="宋体" w:cs="Times New Roman"/>
                <w:color w:val="auto"/>
                <w:sz w:val="24"/>
                <w:szCs w:val="24"/>
                <w:shd w:val="clear" w:color="auto" w:fill="FFFFFF"/>
                <w:lang w:val="en-US" w:eastAsia="zh-CN"/>
              </w:rPr>
              <w:t>—</w:t>
            </w:r>
            <w:r>
              <w:rPr>
                <w:rFonts w:hint="default" w:ascii="Times New Roman" w:hAnsi="Times New Roman" w:eastAsia="宋体" w:cs="Times New Roman"/>
                <w:color w:val="auto"/>
                <w:sz w:val="24"/>
                <w:szCs w:val="24"/>
              </w:rPr>
              <w:t>声源级数；</w:t>
            </w:r>
          </w:p>
          <w:p w14:paraId="267161E5">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L</w:t>
            </w:r>
            <w:r>
              <w:rPr>
                <w:rFonts w:hint="default" w:ascii="Times New Roman" w:hAnsi="Times New Roman" w:eastAsia="宋体" w:cs="Times New Roman"/>
                <w:color w:val="auto"/>
                <w:sz w:val="24"/>
                <w:szCs w:val="24"/>
                <w:vertAlign w:val="subscript"/>
              </w:rPr>
              <w:t>i</w:t>
            </w:r>
            <w:r>
              <w:rPr>
                <w:rFonts w:hint="eastAsia" w:ascii="Times New Roman" w:hAnsi="Times New Roman" w:eastAsia="宋体" w:cs="Times New Roman"/>
                <w:color w:val="auto"/>
                <w:sz w:val="24"/>
                <w:szCs w:val="24"/>
                <w:shd w:val="clear" w:color="auto" w:fill="FFFFFF"/>
                <w:lang w:val="en-US" w:eastAsia="zh-CN"/>
              </w:rPr>
              <w:t>—</w:t>
            </w:r>
            <w:r>
              <w:rPr>
                <w:rFonts w:hint="default" w:ascii="Times New Roman" w:hAnsi="Times New Roman" w:eastAsia="宋体" w:cs="Times New Roman"/>
                <w:color w:val="auto"/>
                <w:sz w:val="24"/>
                <w:szCs w:val="24"/>
              </w:rPr>
              <w:t>各声源对某点的声压值，</w:t>
            </w:r>
            <w:r>
              <w:rPr>
                <w:rFonts w:hint="eastAsia" w:ascii="Times New Roman" w:hAnsi="Times New Roman" w:eastAsia="宋体" w:cs="Times New Roman"/>
                <w:color w:val="auto"/>
                <w:sz w:val="24"/>
                <w:szCs w:val="24"/>
                <w:lang w:eastAsia="zh-CN"/>
              </w:rPr>
              <w:t>分贝</w:t>
            </w:r>
            <w:r>
              <w:rPr>
                <w:rFonts w:hint="default" w:ascii="Times New Roman" w:hAnsi="Times New Roman" w:eastAsia="宋体" w:cs="Times New Roman"/>
                <w:color w:val="auto"/>
                <w:sz w:val="24"/>
                <w:szCs w:val="24"/>
              </w:rPr>
              <w:t>。</w:t>
            </w:r>
          </w:p>
          <w:p w14:paraId="2EA928D6">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b w:val="0"/>
                <w:bCs w:val="0"/>
                <w:color w:val="auto"/>
                <w:sz w:val="24"/>
                <w:u w:val="none" w:color="auto"/>
              </w:rPr>
            </w:pPr>
            <w:r>
              <w:rPr>
                <w:rFonts w:hint="default" w:ascii="Times New Roman" w:hAnsi="Times New Roman" w:eastAsia="宋体" w:cs="Times New Roman"/>
                <w:b w:val="0"/>
                <w:bCs w:val="0"/>
                <w:color w:val="auto"/>
                <w:sz w:val="24"/>
                <w:u w:val="none" w:color="auto"/>
              </w:rPr>
              <w:t>（</w:t>
            </w:r>
            <w:r>
              <w:rPr>
                <w:rFonts w:hint="default" w:ascii="Times New Roman" w:hAnsi="Times New Roman" w:eastAsia="宋体" w:cs="Times New Roman"/>
                <w:b w:val="0"/>
                <w:bCs w:val="0"/>
                <w:color w:val="auto"/>
                <w:sz w:val="24"/>
                <w:u w:val="none" w:color="auto"/>
                <w:lang w:val="en-US" w:eastAsia="zh-CN"/>
              </w:rPr>
              <w:t>3</w:t>
            </w:r>
            <w:r>
              <w:rPr>
                <w:rFonts w:hint="default" w:ascii="Times New Roman" w:hAnsi="Times New Roman" w:eastAsia="宋体" w:cs="Times New Roman"/>
                <w:b w:val="0"/>
                <w:bCs w:val="0"/>
                <w:color w:val="auto"/>
                <w:sz w:val="24"/>
                <w:u w:val="none" w:color="auto"/>
              </w:rPr>
              <w:t>）噪声预测结果及评价</w:t>
            </w:r>
          </w:p>
          <w:p w14:paraId="59773E1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0"/>
                <w:sz w:val="24"/>
                <w:szCs w:val="20"/>
                <w:u w:val="none" w:color="auto"/>
              </w:rPr>
            </w:pPr>
            <w:r>
              <w:rPr>
                <w:rFonts w:hint="default" w:ascii="Times New Roman" w:hAnsi="Times New Roman" w:eastAsia="宋体" w:cs="Times New Roman"/>
                <w:color w:val="auto"/>
                <w:sz w:val="24"/>
                <w:szCs w:val="24"/>
                <w:shd w:val="clear" w:color="auto" w:fill="FFFFFF"/>
                <w:lang w:val="en-US" w:eastAsia="zh-CN"/>
              </w:rPr>
              <w:t>根据计算，</w:t>
            </w:r>
            <w:r>
              <w:rPr>
                <w:rFonts w:hint="default" w:ascii="Times New Roman" w:hAnsi="Times New Roman" w:eastAsia="宋体" w:cs="Times New Roman"/>
                <w:color w:val="auto"/>
                <w:kern w:val="0"/>
                <w:sz w:val="24"/>
                <w:szCs w:val="20"/>
                <w:u w:val="none" w:color="auto"/>
              </w:rPr>
              <w:t>其</w:t>
            </w:r>
            <w:r>
              <w:rPr>
                <w:rFonts w:hint="default" w:ascii="Times New Roman" w:hAnsi="Times New Roman" w:eastAsia="宋体" w:cs="Times New Roman"/>
                <w:color w:val="auto"/>
                <w:kern w:val="0"/>
                <w:sz w:val="24"/>
                <w:szCs w:val="20"/>
                <w:u w:val="none" w:color="auto"/>
                <w:lang w:eastAsia="zh-CN"/>
              </w:rPr>
              <w:t>预测</w:t>
            </w:r>
            <w:r>
              <w:rPr>
                <w:rFonts w:hint="default" w:ascii="Times New Roman" w:hAnsi="Times New Roman" w:eastAsia="宋体" w:cs="Times New Roman"/>
                <w:color w:val="auto"/>
                <w:kern w:val="0"/>
                <w:sz w:val="24"/>
                <w:szCs w:val="20"/>
                <w:u w:val="none" w:color="auto"/>
              </w:rPr>
              <w:t>结果见</w:t>
            </w:r>
            <w:r>
              <w:rPr>
                <w:rFonts w:hint="eastAsia" w:ascii="Times New Roman" w:hAnsi="Times New Roman" w:eastAsia="宋体" w:cs="Times New Roman"/>
                <w:color w:val="auto"/>
                <w:kern w:val="0"/>
                <w:sz w:val="24"/>
                <w:szCs w:val="20"/>
                <w:u w:val="none" w:color="auto"/>
                <w:lang w:val="en-US" w:eastAsia="zh-CN"/>
              </w:rPr>
              <w:t>下</w:t>
            </w:r>
            <w:r>
              <w:rPr>
                <w:rFonts w:hint="default" w:ascii="Times New Roman" w:hAnsi="Times New Roman" w:eastAsia="宋体" w:cs="Times New Roman"/>
                <w:color w:val="auto"/>
                <w:kern w:val="0"/>
                <w:sz w:val="24"/>
                <w:szCs w:val="20"/>
                <w:u w:val="none" w:color="auto"/>
              </w:rPr>
              <w:t>表。</w:t>
            </w:r>
          </w:p>
          <w:p w14:paraId="08907F7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Autospacing="0" w:line="240" w:lineRule="auto"/>
              <w:ind w:left="0" w:right="0"/>
              <w:jc w:val="center"/>
              <w:textAlignment w:val="auto"/>
              <w:rPr>
                <w:rFonts w:hint="default" w:ascii="Times New Roman" w:hAnsi="Times New Roman" w:eastAsia="宋体" w:cs="Times New Roman"/>
                <w:b/>
                <w:bCs w:val="0"/>
                <w:color w:val="auto"/>
                <w:kern w:val="0"/>
                <w:sz w:val="21"/>
                <w:szCs w:val="21"/>
                <w:lang w:val="en-US" w:eastAsia="zh-CN" w:bidi="ar"/>
              </w:rPr>
            </w:pPr>
            <w:r>
              <w:rPr>
                <w:rFonts w:hint="default" w:ascii="Times New Roman" w:hAnsi="Times New Roman" w:eastAsia="宋体" w:cs="Times New Roman"/>
                <w:b/>
                <w:bCs w:val="0"/>
                <w:color w:val="auto"/>
                <w:kern w:val="0"/>
                <w:sz w:val="21"/>
                <w:szCs w:val="21"/>
                <w:lang w:val="en-US" w:eastAsia="zh-CN" w:bidi="ar"/>
              </w:rPr>
              <w:t>表4-</w:t>
            </w:r>
            <w:r>
              <w:rPr>
                <w:rFonts w:hint="eastAsia" w:ascii="Times New Roman" w:hAnsi="Times New Roman" w:eastAsia="宋体" w:cs="Times New Roman"/>
                <w:b/>
                <w:bCs w:val="0"/>
                <w:color w:val="auto"/>
                <w:kern w:val="0"/>
                <w:sz w:val="21"/>
                <w:szCs w:val="21"/>
                <w:lang w:val="en-US" w:eastAsia="zh-CN" w:bidi="ar"/>
              </w:rPr>
              <w:t>1</w:t>
            </w:r>
            <w:r>
              <w:rPr>
                <w:rFonts w:hint="eastAsia" w:cs="Times New Roman"/>
                <w:b/>
                <w:bCs w:val="0"/>
                <w:color w:val="auto"/>
                <w:kern w:val="0"/>
                <w:sz w:val="21"/>
                <w:szCs w:val="21"/>
                <w:lang w:val="en-US" w:eastAsia="zh-CN" w:bidi="ar"/>
              </w:rPr>
              <w:t>1</w:t>
            </w:r>
            <w:r>
              <w:rPr>
                <w:rFonts w:hint="default" w:ascii="Times New Roman" w:hAnsi="Times New Roman" w:eastAsia="宋体" w:cs="Times New Roman"/>
                <w:b/>
                <w:bCs w:val="0"/>
                <w:color w:val="auto"/>
                <w:kern w:val="0"/>
                <w:sz w:val="21"/>
                <w:szCs w:val="21"/>
                <w:lang w:val="en-US" w:eastAsia="zh-CN" w:bidi="ar"/>
              </w:rPr>
              <w:t xml:space="preserve">  声环境影响预测结果     单位：</w:t>
            </w:r>
            <w:r>
              <w:rPr>
                <w:rFonts w:hint="eastAsia" w:ascii="Times New Roman" w:hAnsi="Times New Roman" w:eastAsia="宋体" w:cs="Times New Roman"/>
                <w:b/>
                <w:bCs w:val="0"/>
                <w:color w:val="auto"/>
                <w:kern w:val="0"/>
                <w:sz w:val="21"/>
                <w:szCs w:val="21"/>
                <w:lang w:val="en-US" w:eastAsia="zh-CN" w:bidi="ar"/>
              </w:rPr>
              <w:t>分贝</w:t>
            </w:r>
          </w:p>
          <w:tbl>
            <w:tblPr>
              <w:tblStyle w:val="24"/>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753"/>
              <w:gridCol w:w="2331"/>
              <w:gridCol w:w="1324"/>
              <w:gridCol w:w="1076"/>
              <w:gridCol w:w="1173"/>
              <w:gridCol w:w="1040"/>
              <w:gridCol w:w="1429"/>
              <w:gridCol w:w="5"/>
            </w:tblGrid>
            <w:tr w14:paraId="5B6C652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4" w:type="dxa"/>
                <w:cantSplit/>
                <w:trHeight w:val="340" w:hRule="exact"/>
                <w:jc w:val="center"/>
              </w:trPr>
              <w:tc>
                <w:tcPr>
                  <w:tcW w:w="4771" w:type="dxa"/>
                  <w:gridSpan w:val="4"/>
                  <w:tcBorders>
                    <w:tl2br w:val="nil"/>
                    <w:tr2bl w:val="nil"/>
                  </w:tcBorders>
                  <w:noWrap w:val="0"/>
                  <w:vAlign w:val="center"/>
                </w:tcPr>
                <w:p w14:paraId="1955B14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lang w:val="en-US" w:eastAsia="zh-CN"/>
                    </w:rPr>
                    <w:t>监</w:t>
                  </w:r>
                  <w:r>
                    <w:rPr>
                      <w:rFonts w:hint="default" w:ascii="Times New Roman" w:hAnsi="Times New Roman" w:eastAsia="宋体" w:cs="Times New Roman"/>
                      <w:b/>
                      <w:bCs w:val="0"/>
                      <w:color w:val="auto"/>
                      <w:sz w:val="21"/>
                      <w:szCs w:val="21"/>
                      <w:highlight w:val="none"/>
                    </w:rPr>
                    <w:t>测点位</w:t>
                  </w:r>
                </w:p>
              </w:tc>
              <w:tc>
                <w:tcPr>
                  <w:tcW w:w="1020" w:type="dxa"/>
                  <w:tcBorders>
                    <w:tl2br w:val="nil"/>
                    <w:tr2bl w:val="nil"/>
                  </w:tcBorders>
                  <w:noWrap w:val="0"/>
                  <w:vAlign w:val="center"/>
                </w:tcPr>
                <w:p w14:paraId="7BF3AC0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val="0"/>
                      <w:color w:val="auto"/>
                      <w:sz w:val="21"/>
                      <w:szCs w:val="21"/>
                      <w:highlight w:val="none"/>
                      <w:lang w:val="en-US" w:eastAsia="zh-CN"/>
                    </w:rPr>
                  </w:pPr>
                  <w:r>
                    <w:rPr>
                      <w:rFonts w:hint="eastAsia" w:ascii="Times New Roman" w:hAnsi="Times New Roman" w:eastAsia="宋体" w:cs="Times New Roman"/>
                      <w:b/>
                      <w:bCs w:val="0"/>
                      <w:color w:val="auto"/>
                      <w:sz w:val="21"/>
                      <w:szCs w:val="21"/>
                      <w:highlight w:val="none"/>
                      <w:lang w:val="en-US" w:eastAsia="zh-CN"/>
                    </w:rPr>
                    <w:t>昼间</w:t>
                  </w:r>
                </w:p>
              </w:tc>
              <w:tc>
                <w:tcPr>
                  <w:tcW w:w="905" w:type="dxa"/>
                  <w:tcBorders>
                    <w:tl2br w:val="nil"/>
                    <w:tr2bl w:val="nil"/>
                  </w:tcBorders>
                  <w:noWrap w:val="0"/>
                  <w:vAlign w:val="center"/>
                </w:tcPr>
                <w:p w14:paraId="29B6816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val="0"/>
                      <w:color w:val="auto"/>
                      <w:sz w:val="21"/>
                      <w:szCs w:val="21"/>
                      <w:highlight w:val="none"/>
                      <w:lang w:val="en-US" w:eastAsia="zh-CN"/>
                    </w:rPr>
                  </w:pPr>
                  <w:r>
                    <w:rPr>
                      <w:rFonts w:hint="eastAsia" w:ascii="Times New Roman" w:hAnsi="Times New Roman" w:eastAsia="宋体" w:cs="Times New Roman"/>
                      <w:b/>
                      <w:bCs w:val="0"/>
                      <w:color w:val="auto"/>
                      <w:sz w:val="21"/>
                      <w:szCs w:val="21"/>
                      <w:highlight w:val="none"/>
                      <w:lang w:val="en-US" w:eastAsia="zh-CN"/>
                    </w:rPr>
                    <w:t>夜间</w:t>
                  </w:r>
                </w:p>
              </w:tc>
              <w:tc>
                <w:tcPr>
                  <w:tcW w:w="1243" w:type="dxa"/>
                  <w:vMerge w:val="restart"/>
                  <w:tcBorders>
                    <w:tl2br w:val="nil"/>
                    <w:tr2bl w:val="nil"/>
                  </w:tcBorders>
                  <w:noWrap w:val="0"/>
                  <w:vAlign w:val="center"/>
                </w:tcPr>
                <w:p w14:paraId="47CF501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b/>
                      <w:bCs/>
                      <w:color w:val="auto"/>
                      <w:highlight w:val="none"/>
                      <w:lang w:val="en-US" w:eastAsia="zh-CN"/>
                    </w:rPr>
                    <w:t>距厂界的相对位置（</w:t>
                  </w:r>
                  <w:r>
                    <w:rPr>
                      <w:rFonts w:hint="eastAsia" w:ascii="Times New Roman" w:hAnsi="Times New Roman" w:eastAsia="宋体" w:cs="Times New Roman"/>
                      <w:b/>
                      <w:bCs/>
                      <w:color w:val="auto"/>
                      <w:highlight w:val="none"/>
                      <w:lang w:val="en-US" w:eastAsia="zh-CN"/>
                    </w:rPr>
                    <w:t>米</w:t>
                  </w:r>
                  <w:r>
                    <w:rPr>
                      <w:rFonts w:hint="default" w:ascii="Times New Roman" w:hAnsi="Times New Roman" w:eastAsia="宋体" w:cs="Times New Roman"/>
                      <w:b/>
                      <w:bCs/>
                      <w:color w:val="auto"/>
                      <w:highlight w:val="none"/>
                      <w:lang w:val="en-US" w:eastAsia="zh-CN"/>
                    </w:rPr>
                    <w:t>）</w:t>
                  </w:r>
                </w:p>
              </w:tc>
            </w:tr>
            <w:tr w14:paraId="4D63DF4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150" w:hRule="atLeast"/>
                <w:jc w:val="center"/>
              </w:trPr>
              <w:tc>
                <w:tcPr>
                  <w:tcW w:w="655" w:type="dxa"/>
                  <w:vMerge w:val="restart"/>
                  <w:tcBorders>
                    <w:tl2br w:val="nil"/>
                    <w:tr2bl w:val="nil"/>
                  </w:tcBorders>
                  <w:noWrap w:val="0"/>
                  <w:vAlign w:val="center"/>
                </w:tcPr>
                <w:p w14:paraId="5A295B0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val="0"/>
                      <w:color w:val="auto"/>
                      <w:sz w:val="21"/>
                      <w:szCs w:val="21"/>
                      <w:highlight w:val="none"/>
                      <w:lang w:eastAsia="zh-CN"/>
                    </w:rPr>
                  </w:pPr>
                  <w:r>
                    <w:rPr>
                      <w:rFonts w:hint="default" w:ascii="Times New Roman" w:hAnsi="Times New Roman" w:eastAsia="宋体" w:cs="Times New Roman"/>
                      <w:b/>
                      <w:bCs w:val="0"/>
                      <w:color w:val="auto"/>
                      <w:sz w:val="21"/>
                      <w:szCs w:val="21"/>
                      <w:highlight w:val="none"/>
                    </w:rPr>
                    <w:t>点</w:t>
                  </w:r>
                  <w:r>
                    <w:rPr>
                      <w:rFonts w:hint="default" w:ascii="Times New Roman" w:hAnsi="Times New Roman" w:eastAsia="宋体" w:cs="Times New Roman"/>
                      <w:b/>
                      <w:bCs w:val="0"/>
                      <w:color w:val="auto"/>
                      <w:sz w:val="21"/>
                      <w:szCs w:val="21"/>
                      <w:highlight w:val="none"/>
                      <w:lang w:val="en-US" w:eastAsia="zh-CN"/>
                    </w:rPr>
                    <w:t>位</w:t>
                  </w:r>
                </w:p>
              </w:tc>
              <w:tc>
                <w:tcPr>
                  <w:tcW w:w="2028" w:type="dxa"/>
                  <w:vMerge w:val="restart"/>
                  <w:tcBorders>
                    <w:tl2br w:val="nil"/>
                    <w:tr2bl w:val="nil"/>
                  </w:tcBorders>
                  <w:noWrap w:val="0"/>
                  <w:vAlign w:val="center"/>
                </w:tcPr>
                <w:p w14:paraId="651B542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位名</w:t>
                  </w:r>
                </w:p>
              </w:tc>
              <w:tc>
                <w:tcPr>
                  <w:tcW w:w="2088" w:type="dxa"/>
                  <w:gridSpan w:val="2"/>
                  <w:tcBorders>
                    <w:tl2br w:val="nil"/>
                    <w:tr2bl w:val="nil"/>
                  </w:tcBorders>
                  <w:noWrap w:val="0"/>
                  <w:vAlign w:val="center"/>
                </w:tcPr>
                <w:p w14:paraId="3CA128B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贡献值</w:t>
                  </w:r>
                </w:p>
              </w:tc>
              <w:tc>
                <w:tcPr>
                  <w:tcW w:w="1020" w:type="dxa"/>
                  <w:vMerge w:val="restart"/>
                  <w:tcBorders>
                    <w:tl2br w:val="nil"/>
                    <w:tr2bl w:val="nil"/>
                  </w:tcBorders>
                  <w:noWrap w:val="0"/>
                  <w:vAlign w:val="center"/>
                </w:tcPr>
                <w:p w14:paraId="79E293F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标准值</w:t>
                  </w:r>
                </w:p>
              </w:tc>
              <w:tc>
                <w:tcPr>
                  <w:tcW w:w="905" w:type="dxa"/>
                  <w:vMerge w:val="restart"/>
                  <w:tcBorders>
                    <w:tl2br w:val="nil"/>
                    <w:tr2bl w:val="nil"/>
                  </w:tcBorders>
                  <w:noWrap w:val="0"/>
                  <w:vAlign w:val="center"/>
                </w:tcPr>
                <w:p w14:paraId="0C72660A">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标准值</w:t>
                  </w:r>
                </w:p>
              </w:tc>
              <w:tc>
                <w:tcPr>
                  <w:tcW w:w="1247" w:type="dxa"/>
                  <w:gridSpan w:val="2"/>
                  <w:vMerge w:val="continue"/>
                  <w:tcBorders>
                    <w:tl2br w:val="nil"/>
                    <w:tr2bl w:val="nil"/>
                  </w:tcBorders>
                  <w:noWrap w:val="0"/>
                  <w:vAlign w:val="center"/>
                </w:tcPr>
                <w:p w14:paraId="196C2999">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val="0"/>
                      <w:color w:val="auto"/>
                      <w:sz w:val="21"/>
                      <w:szCs w:val="21"/>
                      <w:highlight w:val="none"/>
                    </w:rPr>
                  </w:pPr>
                </w:p>
              </w:tc>
            </w:tr>
            <w:tr w14:paraId="2AB6E7A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150" w:hRule="atLeast"/>
                <w:jc w:val="center"/>
              </w:trPr>
              <w:tc>
                <w:tcPr>
                  <w:tcW w:w="655" w:type="dxa"/>
                  <w:vMerge w:val="continue"/>
                  <w:tcBorders>
                    <w:tl2br w:val="nil"/>
                    <w:tr2bl w:val="nil"/>
                  </w:tcBorders>
                  <w:noWrap w:val="0"/>
                  <w:vAlign w:val="center"/>
                </w:tcPr>
                <w:p w14:paraId="2FB3C69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rPr>
                  </w:pPr>
                </w:p>
              </w:tc>
              <w:tc>
                <w:tcPr>
                  <w:tcW w:w="2028" w:type="dxa"/>
                  <w:vMerge w:val="continue"/>
                  <w:tcBorders>
                    <w:tl2br w:val="nil"/>
                    <w:tr2bl w:val="nil"/>
                  </w:tcBorders>
                  <w:noWrap w:val="0"/>
                  <w:vAlign w:val="center"/>
                </w:tcPr>
                <w:p w14:paraId="03C8F2D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rPr>
                  </w:pPr>
                </w:p>
              </w:tc>
              <w:tc>
                <w:tcPr>
                  <w:tcW w:w="1152" w:type="dxa"/>
                  <w:tcBorders>
                    <w:tl2br w:val="nil"/>
                    <w:tr2bl w:val="nil"/>
                  </w:tcBorders>
                  <w:noWrap w:val="0"/>
                  <w:vAlign w:val="center"/>
                </w:tcPr>
                <w:p w14:paraId="4A3E372B">
                  <w:pPr>
                    <w:pStyle w:val="61"/>
                    <w:keepNext w:val="0"/>
                    <w:keepLines w:val="0"/>
                    <w:suppressLineNumbers w:val="0"/>
                    <w:spacing w:before="0" w:beforeAutospacing="0" w:after="0" w:afterAutospacing="0"/>
                    <w:ind w:left="0" w:leftChars="0" w:right="0" w:rightChars="0"/>
                    <w:jc w:val="center"/>
                    <w:rPr>
                      <w:color w:val="auto"/>
                    </w:rPr>
                  </w:pPr>
                  <w:r>
                    <w:rPr>
                      <w:rFonts w:hint="default" w:ascii="Times New Roman" w:hAnsi="Times New Roman" w:eastAsia="宋体" w:cs="Times New Roman"/>
                      <w:color w:val="auto"/>
                      <w:sz w:val="21"/>
                      <w:szCs w:val="21"/>
                      <w:highlight w:val="none"/>
                    </w:rPr>
                    <w:t>昼间</w:t>
                  </w:r>
                </w:p>
              </w:tc>
              <w:tc>
                <w:tcPr>
                  <w:tcW w:w="936" w:type="dxa"/>
                  <w:tcBorders>
                    <w:tl2br w:val="nil"/>
                    <w:tr2bl w:val="nil"/>
                  </w:tcBorders>
                  <w:noWrap w:val="0"/>
                  <w:vAlign w:val="center"/>
                </w:tcPr>
                <w:p w14:paraId="02F6634B">
                  <w:pPr>
                    <w:pStyle w:val="61"/>
                    <w:keepNext w:val="0"/>
                    <w:keepLines w:val="0"/>
                    <w:suppressLineNumbers w:val="0"/>
                    <w:spacing w:before="0" w:beforeAutospacing="0" w:after="0" w:afterAutospacing="0"/>
                    <w:ind w:left="0" w:leftChars="0" w:right="0" w:rightChars="0"/>
                    <w:jc w:val="center"/>
                    <w:rPr>
                      <w:rFonts w:hint="eastAsia" w:eastAsia="宋体"/>
                      <w:color w:val="auto"/>
                      <w:lang w:eastAsia="zh-CN"/>
                    </w:rPr>
                  </w:pPr>
                  <w:r>
                    <w:rPr>
                      <w:rFonts w:hint="default" w:ascii="Times New Roman" w:hAnsi="Times New Roman" w:eastAsia="宋体" w:cs="Times New Roman"/>
                      <w:color w:val="auto"/>
                      <w:sz w:val="21"/>
                      <w:szCs w:val="21"/>
                      <w:highlight w:val="none"/>
                    </w:rPr>
                    <w:t>夜间</w:t>
                  </w:r>
                  <w:r>
                    <w:rPr>
                      <w:rFonts w:hint="eastAsia"/>
                      <w:color w:val="auto"/>
                      <w:lang w:eastAsia="zh-CN"/>
                    </w:rPr>
                    <w:t>（</w:t>
                  </w:r>
                  <w:r>
                    <w:rPr>
                      <w:rFonts w:hint="eastAsia"/>
                      <w:color w:val="auto"/>
                      <w:lang w:val="en-US" w:eastAsia="zh-CN"/>
                    </w:rPr>
                    <w:t>不生产</w:t>
                  </w:r>
                  <w:r>
                    <w:rPr>
                      <w:rFonts w:hint="eastAsia"/>
                      <w:color w:val="auto"/>
                      <w:lang w:eastAsia="zh-CN"/>
                    </w:rPr>
                    <w:t>）</w:t>
                  </w:r>
                </w:p>
              </w:tc>
              <w:tc>
                <w:tcPr>
                  <w:tcW w:w="1020" w:type="dxa"/>
                  <w:vMerge w:val="continue"/>
                  <w:tcBorders>
                    <w:tl2br w:val="nil"/>
                    <w:tr2bl w:val="nil"/>
                  </w:tcBorders>
                  <w:noWrap w:val="0"/>
                  <w:vAlign w:val="center"/>
                </w:tcPr>
                <w:p w14:paraId="0143BB9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rPr>
                  </w:pPr>
                </w:p>
              </w:tc>
              <w:tc>
                <w:tcPr>
                  <w:tcW w:w="905" w:type="dxa"/>
                  <w:vMerge w:val="continue"/>
                  <w:tcBorders>
                    <w:tl2br w:val="nil"/>
                    <w:tr2bl w:val="nil"/>
                  </w:tcBorders>
                  <w:noWrap w:val="0"/>
                  <w:vAlign w:val="center"/>
                </w:tcPr>
                <w:p w14:paraId="3C49DF4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rPr>
                  </w:pPr>
                </w:p>
              </w:tc>
              <w:tc>
                <w:tcPr>
                  <w:tcW w:w="1247" w:type="dxa"/>
                  <w:gridSpan w:val="2"/>
                  <w:vMerge w:val="continue"/>
                  <w:tcBorders>
                    <w:tl2br w:val="nil"/>
                    <w:tr2bl w:val="nil"/>
                  </w:tcBorders>
                  <w:noWrap w:val="0"/>
                  <w:vAlign w:val="center"/>
                </w:tcPr>
                <w:p w14:paraId="45D970E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rPr>
                  </w:pPr>
                </w:p>
              </w:tc>
            </w:tr>
            <w:tr w14:paraId="6A04ED6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exact"/>
                <w:jc w:val="center"/>
              </w:trPr>
              <w:tc>
                <w:tcPr>
                  <w:tcW w:w="655" w:type="dxa"/>
                  <w:tcBorders>
                    <w:tl2br w:val="nil"/>
                    <w:tr2bl w:val="nil"/>
                  </w:tcBorders>
                  <w:noWrap w:val="0"/>
                  <w:vAlign w:val="center"/>
                </w:tcPr>
                <w:p w14:paraId="301931A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2028" w:type="dxa"/>
                  <w:tcBorders>
                    <w:tl2br w:val="nil"/>
                    <w:tr2bl w:val="nil"/>
                  </w:tcBorders>
                  <w:noWrap w:val="0"/>
                  <w:vAlign w:val="center"/>
                </w:tcPr>
                <w:p w14:paraId="575C0C6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厂界东侧</w:t>
                  </w:r>
                </w:p>
              </w:tc>
              <w:tc>
                <w:tcPr>
                  <w:tcW w:w="1152" w:type="dxa"/>
                  <w:tcBorders>
                    <w:tl2br w:val="nil"/>
                    <w:tr2bl w:val="nil"/>
                  </w:tcBorders>
                  <w:noWrap w:val="0"/>
                  <w:vAlign w:val="center"/>
                </w:tcPr>
                <w:p w14:paraId="6FEFE44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39.8</w:t>
                  </w:r>
                </w:p>
              </w:tc>
              <w:tc>
                <w:tcPr>
                  <w:tcW w:w="936" w:type="dxa"/>
                  <w:tcBorders>
                    <w:tl2br w:val="nil"/>
                    <w:tr2bl w:val="nil"/>
                  </w:tcBorders>
                  <w:noWrap w:val="0"/>
                  <w:vAlign w:val="center"/>
                </w:tcPr>
                <w:p w14:paraId="391F14A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w:t>
                  </w:r>
                </w:p>
              </w:tc>
              <w:tc>
                <w:tcPr>
                  <w:tcW w:w="1020" w:type="dxa"/>
                  <w:vMerge w:val="restart"/>
                  <w:tcBorders>
                    <w:tl2br w:val="nil"/>
                    <w:tr2bl w:val="nil"/>
                  </w:tcBorders>
                  <w:noWrap w:val="0"/>
                  <w:vAlign w:val="center"/>
                </w:tcPr>
                <w:p w14:paraId="194A0C5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6</w:t>
                  </w:r>
                  <w:r>
                    <w:rPr>
                      <w:rFonts w:hint="eastAsia" w:ascii="Times New Roman" w:hAnsi="Times New Roman" w:eastAsia="宋体" w:cs="Times New Roman"/>
                      <w:bCs/>
                      <w:color w:val="auto"/>
                      <w:sz w:val="21"/>
                      <w:szCs w:val="21"/>
                      <w:highlight w:val="none"/>
                      <w:lang w:val="en-US" w:eastAsia="zh-CN"/>
                    </w:rPr>
                    <w:t>5</w:t>
                  </w:r>
                </w:p>
              </w:tc>
              <w:tc>
                <w:tcPr>
                  <w:tcW w:w="905" w:type="dxa"/>
                  <w:vMerge w:val="restart"/>
                  <w:tcBorders>
                    <w:tl2br w:val="nil"/>
                    <w:tr2bl w:val="nil"/>
                  </w:tcBorders>
                  <w:noWrap w:val="0"/>
                  <w:vAlign w:val="center"/>
                </w:tcPr>
                <w:p w14:paraId="5F1C4D58">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5</w:t>
                  </w:r>
                  <w:r>
                    <w:rPr>
                      <w:rFonts w:hint="eastAsia" w:ascii="Times New Roman" w:hAnsi="Times New Roman" w:eastAsia="宋体" w:cs="Times New Roman"/>
                      <w:bCs/>
                      <w:color w:val="auto"/>
                      <w:sz w:val="21"/>
                      <w:szCs w:val="21"/>
                      <w:highlight w:val="none"/>
                      <w:lang w:val="en-US" w:eastAsia="zh-CN"/>
                    </w:rPr>
                    <w:t>5</w:t>
                  </w:r>
                </w:p>
              </w:tc>
              <w:tc>
                <w:tcPr>
                  <w:tcW w:w="1247" w:type="dxa"/>
                  <w:gridSpan w:val="2"/>
                  <w:tcBorders>
                    <w:tl2br w:val="nil"/>
                    <w:tr2bl w:val="nil"/>
                  </w:tcBorders>
                  <w:noWrap w:val="0"/>
                  <w:vAlign w:val="center"/>
                </w:tcPr>
                <w:p w14:paraId="7834E909">
                  <w:pPr>
                    <w:keepNext w:val="0"/>
                    <w:keepLines w:val="0"/>
                    <w:widowControl w:val="0"/>
                    <w:suppressLineNumbers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color w:val="auto"/>
                      <w:kern w:val="2"/>
                      <w:sz w:val="21"/>
                      <w:szCs w:val="22"/>
                      <w:highlight w:val="none"/>
                      <w:lang w:val="en-US" w:eastAsia="zh-CN" w:bidi="ar-SA"/>
                    </w:rPr>
                    <w:t>50</w:t>
                  </w:r>
                </w:p>
              </w:tc>
            </w:tr>
            <w:tr w14:paraId="56F85A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exact"/>
                <w:jc w:val="center"/>
              </w:trPr>
              <w:tc>
                <w:tcPr>
                  <w:tcW w:w="655" w:type="dxa"/>
                  <w:tcBorders>
                    <w:tl2br w:val="nil"/>
                    <w:tr2bl w:val="nil"/>
                  </w:tcBorders>
                  <w:noWrap w:val="0"/>
                  <w:vAlign w:val="center"/>
                </w:tcPr>
                <w:p w14:paraId="1155246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w:t>
                  </w:r>
                </w:p>
              </w:tc>
              <w:tc>
                <w:tcPr>
                  <w:tcW w:w="2028" w:type="dxa"/>
                  <w:tcBorders>
                    <w:tl2br w:val="nil"/>
                    <w:tr2bl w:val="nil"/>
                  </w:tcBorders>
                  <w:noWrap w:val="0"/>
                  <w:vAlign w:val="center"/>
                </w:tcPr>
                <w:p w14:paraId="3C14984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val="en-US" w:eastAsia="zh-CN"/>
                    </w:rPr>
                    <w:t>厂界南侧</w:t>
                  </w:r>
                </w:p>
              </w:tc>
              <w:tc>
                <w:tcPr>
                  <w:tcW w:w="1152" w:type="dxa"/>
                  <w:tcBorders>
                    <w:tl2br w:val="nil"/>
                    <w:tr2bl w:val="nil"/>
                  </w:tcBorders>
                  <w:noWrap w:val="0"/>
                  <w:vAlign w:val="center"/>
                </w:tcPr>
                <w:p w14:paraId="4D78D7C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41.5</w:t>
                  </w:r>
                </w:p>
              </w:tc>
              <w:tc>
                <w:tcPr>
                  <w:tcW w:w="936" w:type="dxa"/>
                  <w:tcBorders>
                    <w:tl2br w:val="nil"/>
                    <w:tr2bl w:val="nil"/>
                  </w:tcBorders>
                  <w:noWrap w:val="0"/>
                  <w:vAlign w:val="center"/>
                </w:tcPr>
                <w:p w14:paraId="372FC61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w:t>
                  </w:r>
                </w:p>
              </w:tc>
              <w:tc>
                <w:tcPr>
                  <w:tcW w:w="1020" w:type="dxa"/>
                  <w:vMerge w:val="continue"/>
                  <w:tcBorders>
                    <w:tl2br w:val="nil"/>
                    <w:tr2bl w:val="nil"/>
                  </w:tcBorders>
                  <w:noWrap w:val="0"/>
                  <w:vAlign w:val="center"/>
                </w:tcPr>
                <w:p w14:paraId="207EE9B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rPr>
                  </w:pPr>
                </w:p>
              </w:tc>
              <w:tc>
                <w:tcPr>
                  <w:tcW w:w="905" w:type="dxa"/>
                  <w:vMerge w:val="continue"/>
                  <w:tcBorders>
                    <w:tl2br w:val="nil"/>
                    <w:tr2bl w:val="nil"/>
                  </w:tcBorders>
                  <w:noWrap w:val="0"/>
                  <w:vAlign w:val="center"/>
                </w:tcPr>
                <w:p w14:paraId="48D1D86A">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FangSong_GB2312" w:cs="Times New Roman"/>
                      <w:bCs/>
                      <w:color w:val="auto"/>
                      <w:kern w:val="0"/>
                      <w:szCs w:val="21"/>
                      <w:highlight w:val="none"/>
                    </w:rPr>
                  </w:pPr>
                </w:p>
              </w:tc>
              <w:tc>
                <w:tcPr>
                  <w:tcW w:w="1247" w:type="dxa"/>
                  <w:gridSpan w:val="2"/>
                  <w:tcBorders>
                    <w:tl2br w:val="nil"/>
                    <w:tr2bl w:val="nil"/>
                  </w:tcBorders>
                  <w:noWrap w:val="0"/>
                  <w:vAlign w:val="center"/>
                </w:tcPr>
                <w:p w14:paraId="68A8F162">
                  <w:pPr>
                    <w:keepNext w:val="0"/>
                    <w:keepLines w:val="0"/>
                    <w:widowControl w:val="0"/>
                    <w:suppressLineNumbers w:val="0"/>
                    <w:bidi w:val="0"/>
                    <w:spacing w:before="0" w:beforeAutospacing="0" w:after="0" w:afterAutospacing="0" w:line="240" w:lineRule="auto"/>
                    <w:ind w:left="0" w:leftChars="0" w:right="0" w:rightChars="0" w:firstLine="0" w:firstLineChars="0"/>
                    <w:jc w:val="center"/>
                    <w:rPr>
                      <w:rFonts w:hint="default" w:ascii="Times New Roman" w:hAnsi="Times New Roman" w:eastAsia="FangSong_GB2312" w:cs="Times New Roman"/>
                      <w:bCs/>
                      <w:color w:val="auto"/>
                      <w:kern w:val="0"/>
                      <w:szCs w:val="21"/>
                      <w:highlight w:val="none"/>
                    </w:rPr>
                  </w:pPr>
                  <w:r>
                    <w:rPr>
                      <w:rFonts w:hint="eastAsia" w:ascii="Times New Roman" w:hAnsi="Times New Roman" w:eastAsia="宋体" w:cs="Times New Roman"/>
                      <w:color w:val="auto"/>
                      <w:kern w:val="2"/>
                      <w:sz w:val="21"/>
                      <w:szCs w:val="22"/>
                      <w:highlight w:val="none"/>
                      <w:lang w:val="en-US" w:eastAsia="zh-CN" w:bidi="ar-SA"/>
                    </w:rPr>
                    <w:t>38</w:t>
                  </w:r>
                </w:p>
              </w:tc>
            </w:tr>
            <w:tr w14:paraId="0F58C3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exact"/>
                <w:jc w:val="center"/>
              </w:trPr>
              <w:tc>
                <w:tcPr>
                  <w:tcW w:w="655" w:type="dxa"/>
                  <w:tcBorders>
                    <w:tl2br w:val="nil"/>
                    <w:tr2bl w:val="nil"/>
                  </w:tcBorders>
                  <w:noWrap w:val="0"/>
                  <w:vAlign w:val="center"/>
                </w:tcPr>
                <w:p w14:paraId="62BDD56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3</w:t>
                  </w:r>
                </w:p>
              </w:tc>
              <w:tc>
                <w:tcPr>
                  <w:tcW w:w="2028" w:type="dxa"/>
                  <w:tcBorders>
                    <w:tl2br w:val="nil"/>
                    <w:tr2bl w:val="nil"/>
                  </w:tcBorders>
                  <w:noWrap w:val="0"/>
                  <w:vAlign w:val="center"/>
                </w:tcPr>
                <w:p w14:paraId="23B724A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val="en-US" w:eastAsia="zh-CN"/>
                    </w:rPr>
                    <w:t>厂界西侧</w:t>
                  </w:r>
                </w:p>
              </w:tc>
              <w:tc>
                <w:tcPr>
                  <w:tcW w:w="1152" w:type="dxa"/>
                  <w:tcBorders>
                    <w:tl2br w:val="nil"/>
                    <w:tr2bl w:val="nil"/>
                  </w:tcBorders>
                  <w:noWrap w:val="0"/>
                  <w:vAlign w:val="center"/>
                </w:tcPr>
                <w:p w14:paraId="03A7DE4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33.1</w:t>
                  </w:r>
                </w:p>
              </w:tc>
              <w:tc>
                <w:tcPr>
                  <w:tcW w:w="936" w:type="dxa"/>
                  <w:tcBorders>
                    <w:tl2br w:val="nil"/>
                    <w:tr2bl w:val="nil"/>
                  </w:tcBorders>
                  <w:noWrap w:val="0"/>
                  <w:vAlign w:val="center"/>
                </w:tcPr>
                <w:p w14:paraId="6BEE332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w:t>
                  </w:r>
                </w:p>
              </w:tc>
              <w:tc>
                <w:tcPr>
                  <w:tcW w:w="1020" w:type="dxa"/>
                  <w:vMerge w:val="continue"/>
                  <w:tcBorders>
                    <w:tl2br w:val="nil"/>
                    <w:tr2bl w:val="nil"/>
                  </w:tcBorders>
                  <w:noWrap w:val="0"/>
                  <w:vAlign w:val="center"/>
                </w:tcPr>
                <w:p w14:paraId="612FAC1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rPr>
                  </w:pPr>
                </w:p>
              </w:tc>
              <w:tc>
                <w:tcPr>
                  <w:tcW w:w="905" w:type="dxa"/>
                  <w:vMerge w:val="continue"/>
                  <w:tcBorders>
                    <w:tl2br w:val="nil"/>
                    <w:tr2bl w:val="nil"/>
                  </w:tcBorders>
                  <w:noWrap w:val="0"/>
                  <w:vAlign w:val="center"/>
                </w:tcPr>
                <w:p w14:paraId="4CE4B0E4">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FangSong_GB2312" w:cs="Times New Roman"/>
                      <w:bCs/>
                      <w:color w:val="auto"/>
                      <w:kern w:val="0"/>
                      <w:szCs w:val="21"/>
                      <w:highlight w:val="none"/>
                    </w:rPr>
                  </w:pPr>
                </w:p>
              </w:tc>
              <w:tc>
                <w:tcPr>
                  <w:tcW w:w="1247" w:type="dxa"/>
                  <w:gridSpan w:val="2"/>
                  <w:tcBorders>
                    <w:tl2br w:val="nil"/>
                    <w:tr2bl w:val="nil"/>
                  </w:tcBorders>
                  <w:noWrap w:val="0"/>
                  <w:vAlign w:val="center"/>
                </w:tcPr>
                <w:p w14:paraId="1E4E2EA6">
                  <w:pPr>
                    <w:keepNext w:val="0"/>
                    <w:keepLines w:val="0"/>
                    <w:widowControl w:val="0"/>
                    <w:suppressLineNumbers w:val="0"/>
                    <w:bidi w:val="0"/>
                    <w:spacing w:before="0" w:beforeAutospacing="0" w:after="0" w:afterAutospacing="0" w:line="240" w:lineRule="auto"/>
                    <w:ind w:left="0" w:leftChars="0" w:right="0" w:rightChars="0" w:firstLine="0" w:firstLineChars="0"/>
                    <w:jc w:val="center"/>
                    <w:rPr>
                      <w:rFonts w:hint="default" w:ascii="Times New Roman" w:hAnsi="Times New Roman" w:eastAsia="FangSong_GB2312" w:cs="Times New Roman"/>
                      <w:bCs/>
                      <w:color w:val="auto"/>
                      <w:kern w:val="0"/>
                      <w:szCs w:val="21"/>
                      <w:highlight w:val="none"/>
                    </w:rPr>
                  </w:pPr>
                  <w:r>
                    <w:rPr>
                      <w:rFonts w:hint="eastAsia" w:ascii="Times New Roman" w:hAnsi="Times New Roman" w:eastAsia="宋体" w:cs="Times New Roman"/>
                      <w:color w:val="auto"/>
                      <w:kern w:val="2"/>
                      <w:sz w:val="21"/>
                      <w:szCs w:val="22"/>
                      <w:highlight w:val="none"/>
                      <w:lang w:val="en-US" w:eastAsia="zh-CN" w:bidi="ar-SA"/>
                    </w:rPr>
                    <w:t>99</w:t>
                  </w:r>
                </w:p>
              </w:tc>
            </w:tr>
            <w:tr w14:paraId="035475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exact"/>
                <w:jc w:val="center"/>
              </w:trPr>
              <w:tc>
                <w:tcPr>
                  <w:tcW w:w="655" w:type="dxa"/>
                  <w:tcBorders>
                    <w:tl2br w:val="nil"/>
                    <w:tr2bl w:val="nil"/>
                  </w:tcBorders>
                  <w:noWrap w:val="0"/>
                  <w:vAlign w:val="center"/>
                </w:tcPr>
                <w:p w14:paraId="74608E5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4</w:t>
                  </w:r>
                </w:p>
              </w:tc>
              <w:tc>
                <w:tcPr>
                  <w:tcW w:w="2028" w:type="dxa"/>
                  <w:tcBorders>
                    <w:tl2br w:val="nil"/>
                    <w:tr2bl w:val="nil"/>
                  </w:tcBorders>
                  <w:noWrap w:val="0"/>
                  <w:vAlign w:val="center"/>
                </w:tcPr>
                <w:p w14:paraId="0EE4FD5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val="en-US" w:eastAsia="zh-CN"/>
                    </w:rPr>
                    <w:t>厂界北侧</w:t>
                  </w:r>
                </w:p>
              </w:tc>
              <w:tc>
                <w:tcPr>
                  <w:tcW w:w="1152" w:type="dxa"/>
                  <w:tcBorders>
                    <w:tl2br w:val="nil"/>
                    <w:tr2bl w:val="nil"/>
                  </w:tcBorders>
                  <w:noWrap w:val="0"/>
                  <w:vAlign w:val="center"/>
                </w:tcPr>
                <w:p w14:paraId="22A6182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29.6</w:t>
                  </w:r>
                </w:p>
              </w:tc>
              <w:tc>
                <w:tcPr>
                  <w:tcW w:w="936" w:type="dxa"/>
                  <w:tcBorders>
                    <w:tl2br w:val="nil"/>
                    <w:tr2bl w:val="nil"/>
                  </w:tcBorders>
                  <w:noWrap w:val="0"/>
                  <w:vAlign w:val="center"/>
                </w:tcPr>
                <w:p w14:paraId="08C278A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w:t>
                  </w:r>
                </w:p>
              </w:tc>
              <w:tc>
                <w:tcPr>
                  <w:tcW w:w="1020" w:type="dxa"/>
                  <w:vMerge w:val="continue"/>
                  <w:tcBorders>
                    <w:tl2br w:val="nil"/>
                    <w:tr2bl w:val="nil"/>
                  </w:tcBorders>
                  <w:noWrap w:val="0"/>
                  <w:vAlign w:val="center"/>
                </w:tcPr>
                <w:p w14:paraId="54B2560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rPr>
                  </w:pPr>
                </w:p>
              </w:tc>
              <w:tc>
                <w:tcPr>
                  <w:tcW w:w="905" w:type="dxa"/>
                  <w:vMerge w:val="continue"/>
                  <w:tcBorders>
                    <w:tl2br w:val="nil"/>
                    <w:tr2bl w:val="nil"/>
                  </w:tcBorders>
                  <w:noWrap w:val="0"/>
                  <w:vAlign w:val="center"/>
                </w:tcPr>
                <w:p w14:paraId="1AA7BB5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FangSong_GB2312" w:cs="Times New Roman"/>
                      <w:bCs/>
                      <w:color w:val="auto"/>
                      <w:kern w:val="0"/>
                      <w:szCs w:val="21"/>
                      <w:highlight w:val="none"/>
                    </w:rPr>
                  </w:pPr>
                </w:p>
              </w:tc>
              <w:tc>
                <w:tcPr>
                  <w:tcW w:w="1247" w:type="dxa"/>
                  <w:gridSpan w:val="2"/>
                  <w:tcBorders>
                    <w:tl2br w:val="nil"/>
                    <w:tr2bl w:val="nil"/>
                  </w:tcBorders>
                  <w:noWrap w:val="0"/>
                  <w:vAlign w:val="center"/>
                </w:tcPr>
                <w:p w14:paraId="5C2F86C6">
                  <w:pPr>
                    <w:keepNext w:val="0"/>
                    <w:keepLines w:val="0"/>
                    <w:widowControl w:val="0"/>
                    <w:suppressLineNumbers w:val="0"/>
                    <w:bidi w:val="0"/>
                    <w:spacing w:before="0" w:beforeAutospacing="0" w:after="0" w:afterAutospacing="0" w:line="240" w:lineRule="auto"/>
                    <w:ind w:left="0" w:leftChars="0" w:right="0" w:rightChars="0" w:firstLine="0" w:firstLineChars="0"/>
                    <w:jc w:val="center"/>
                    <w:rPr>
                      <w:rFonts w:hint="default" w:ascii="Times New Roman" w:hAnsi="Times New Roman" w:eastAsia="FangSong_GB2312" w:cs="Times New Roman"/>
                      <w:bCs/>
                      <w:color w:val="auto"/>
                      <w:kern w:val="0"/>
                      <w:szCs w:val="21"/>
                      <w:highlight w:val="none"/>
                    </w:rPr>
                  </w:pPr>
                  <w:r>
                    <w:rPr>
                      <w:rFonts w:hint="eastAsia" w:ascii="Times New Roman" w:hAnsi="Times New Roman" w:eastAsia="宋体" w:cs="Times New Roman"/>
                      <w:color w:val="auto"/>
                      <w:kern w:val="2"/>
                      <w:sz w:val="21"/>
                      <w:szCs w:val="22"/>
                      <w:highlight w:val="none"/>
                      <w:lang w:val="en-US" w:eastAsia="zh-CN" w:bidi="ar-SA"/>
                    </w:rPr>
                    <w:t>179</w:t>
                  </w:r>
                </w:p>
              </w:tc>
            </w:tr>
          </w:tbl>
          <w:p w14:paraId="31EBCC1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根据上表预测可知，</w:t>
            </w:r>
            <w:r>
              <w:rPr>
                <w:rFonts w:hint="default" w:ascii="Times New Roman" w:hAnsi="Times New Roman" w:eastAsia="宋体" w:cs="Times New Roman"/>
                <w:color w:val="auto"/>
                <w:sz w:val="24"/>
                <w:highlight w:val="none"/>
                <w:lang w:val="en-US" w:eastAsia="zh-CN"/>
              </w:rPr>
              <w:t>本项目夜间不生产，</w:t>
            </w:r>
            <w:r>
              <w:rPr>
                <w:rFonts w:hint="default" w:ascii="Times New Roman" w:hAnsi="Times New Roman" w:eastAsia="宋体" w:cs="Times New Roman"/>
                <w:b w:val="0"/>
                <w:bCs w:val="0"/>
                <w:color w:val="auto"/>
                <w:sz w:val="24"/>
                <w:szCs w:val="24"/>
                <w:highlight w:val="none"/>
                <w:lang w:val="en-US" w:eastAsia="zh-CN"/>
              </w:rPr>
              <w:t>项目运营期间，各厂界昼间噪声均满足《工业企业厂界环境噪声排放标准》（GB12348-2008）的</w:t>
            </w:r>
            <w:r>
              <w:rPr>
                <w:rFonts w:hint="eastAsia" w:ascii="Times New Roman" w:hAnsi="Times New Roman" w:eastAsia="宋体" w:cs="Times New Roman"/>
                <w:b w:val="0"/>
                <w:bCs w:val="0"/>
                <w:color w:val="auto"/>
                <w:sz w:val="24"/>
                <w:szCs w:val="24"/>
                <w:highlight w:val="none"/>
                <w:lang w:val="en-US" w:eastAsia="zh-CN"/>
              </w:rPr>
              <w:t>3类</w:t>
            </w:r>
            <w:r>
              <w:rPr>
                <w:rFonts w:hint="default" w:ascii="Times New Roman" w:hAnsi="Times New Roman" w:eastAsia="宋体" w:cs="Times New Roman"/>
                <w:b w:val="0"/>
                <w:bCs w:val="0"/>
                <w:color w:val="auto"/>
                <w:sz w:val="24"/>
                <w:szCs w:val="24"/>
                <w:highlight w:val="none"/>
                <w:lang w:val="en-US" w:eastAsia="zh-CN"/>
              </w:rPr>
              <w:t>标准，在采用厂房封闭隔声，设备定期养护，设备底座设置减振，高噪声设备交替使用等措施，声环境对周边环境影响较小。</w:t>
            </w:r>
          </w:p>
          <w:p w14:paraId="742DEBC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3.3</w:t>
            </w:r>
            <w:r>
              <w:rPr>
                <w:rFonts w:hint="default" w:ascii="Times New Roman" w:hAnsi="Times New Roman" w:cs="Times New Roman"/>
                <w:b/>
                <w:bCs/>
                <w:color w:val="auto"/>
                <w:sz w:val="24"/>
                <w:szCs w:val="24"/>
                <w:highlight w:val="none"/>
                <w:lang w:val="en-US" w:eastAsia="zh-CN"/>
              </w:rPr>
              <w:t>治理措施</w:t>
            </w:r>
          </w:p>
          <w:p w14:paraId="31AC9B8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为了控制噪声污染，必须从</w:t>
            </w:r>
            <w:r>
              <w:rPr>
                <w:rFonts w:hint="default" w:ascii="Times New Roman" w:hAnsi="Times New Roman" w:cs="Times New Roman"/>
                <w:color w:val="auto"/>
                <w:sz w:val="24"/>
                <w:szCs w:val="24"/>
                <w:highlight w:val="none"/>
                <w:lang w:val="en-US" w:eastAsia="zh-CN"/>
              </w:rPr>
              <w:t>设备选型、传播途径和管理上</w:t>
            </w:r>
            <w:r>
              <w:rPr>
                <w:rFonts w:hint="default" w:ascii="Times New Roman" w:hAnsi="Times New Roman" w:cs="Times New Roman"/>
                <w:color w:val="auto"/>
                <w:sz w:val="24"/>
                <w:szCs w:val="24"/>
                <w:highlight w:val="none"/>
              </w:rPr>
              <w:t>降低噪声源强度，本项目工程采取如下措施控制噪声：</w:t>
            </w:r>
          </w:p>
          <w:p w14:paraId="2C115B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1）在设备选型时选用低噪声设备，设置减震设施，</w:t>
            </w:r>
            <w:r>
              <w:rPr>
                <w:rFonts w:hint="default" w:ascii="Times New Roman" w:hAnsi="Times New Roman" w:cs="Times New Roman"/>
                <w:sz w:val="24"/>
                <w:szCs w:val="24"/>
                <w:lang w:val="en-US" w:eastAsia="zh-CN"/>
              </w:rPr>
              <w:t>从根本上降低噪声源强</w:t>
            </w:r>
            <w:r>
              <w:rPr>
                <w:rFonts w:hint="default" w:ascii="Times New Roman" w:hAnsi="Times New Roman" w:eastAsia="宋体" w:cs="Times New Roman"/>
                <w:sz w:val="24"/>
                <w:szCs w:val="24"/>
                <w:lang w:val="en-US" w:eastAsia="zh-CN"/>
              </w:rPr>
              <w:t>。</w:t>
            </w:r>
          </w:p>
          <w:p w14:paraId="1E59DF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2）对于有管路相连的设备，如水泵、风机等，需对管路进行可靠的隔声包扎，以降低噪声源强。</w:t>
            </w:r>
          </w:p>
          <w:p w14:paraId="6C0733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3）对于生产车间环评建议可采用墙体隔声</w:t>
            </w:r>
            <w:r>
              <w:rPr>
                <w:rFonts w:hint="default" w:ascii="Times New Roman" w:hAnsi="Times New Roman" w:cs="Times New Roman"/>
                <w:sz w:val="24"/>
                <w:szCs w:val="24"/>
                <w:lang w:val="en-US" w:eastAsia="zh-CN"/>
              </w:rPr>
              <w:t>，加工区设置双层隔音板进行全封闭处理</w:t>
            </w:r>
            <w:r>
              <w:rPr>
                <w:rFonts w:hint="default" w:ascii="Times New Roman" w:hAnsi="Times New Roman" w:eastAsia="宋体" w:cs="Times New Roman"/>
                <w:sz w:val="24"/>
                <w:szCs w:val="24"/>
                <w:lang w:val="en-US" w:eastAsia="zh-CN"/>
              </w:rPr>
              <w:t>。</w:t>
            </w:r>
          </w:p>
          <w:p w14:paraId="321C9D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w:t>
            </w:r>
            <w:r>
              <w:rPr>
                <w:rFonts w:hint="default" w:ascii="Times New Roman" w:hAnsi="Times New Roman" w:cs="Times New Roman"/>
                <w:sz w:val="24"/>
                <w:szCs w:val="24"/>
                <w:lang w:val="en-US" w:eastAsia="zh-CN"/>
              </w:rPr>
              <w:t>禁止夜间生产，合理安排作业时间</w:t>
            </w:r>
            <w:r>
              <w:rPr>
                <w:rFonts w:hint="eastAsia" w:ascii="Times New Roman" w:hAnsi="Times New Roman" w:cs="Times New Roman"/>
                <w:sz w:val="24"/>
                <w:szCs w:val="24"/>
                <w:lang w:val="en-US" w:eastAsia="zh-CN"/>
              </w:rPr>
              <w:t>。</w:t>
            </w:r>
          </w:p>
          <w:p w14:paraId="328AC4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5）优化产噪设备所在厂房的门窗设置数量、方位。在总图上优化布置，在满足工艺的前提下，尽可能将高噪声设备布置在厂区中部并利用建筑隔声，以减少对外部环境的影响。</w:t>
            </w:r>
          </w:p>
          <w:p w14:paraId="7B3C19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6）加强项目内设备的保养和维护，确保项目内设备处于良好的工况进行生产。</w:t>
            </w:r>
          </w:p>
          <w:p w14:paraId="29CC45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b w:val="0"/>
                <w:bCs/>
                <w:sz w:val="24"/>
                <w:szCs w:val="24"/>
                <w:lang w:val="en-US" w:eastAsia="zh-CN"/>
              </w:rPr>
            </w:pPr>
            <w:r>
              <w:rPr>
                <w:rFonts w:hint="eastAsia" w:cs="Times New Roman"/>
                <w:sz w:val="24"/>
                <w:szCs w:val="24"/>
                <w:lang w:val="en-US" w:eastAsia="zh-CN"/>
              </w:rPr>
              <w:t>7</w:t>
            </w:r>
            <w:r>
              <w:rPr>
                <w:rFonts w:hint="default" w:ascii="Times New Roman" w:hAnsi="Times New Roman" w:eastAsia="宋体" w:cs="Times New Roman"/>
                <w:sz w:val="24"/>
                <w:szCs w:val="24"/>
                <w:lang w:val="en-US" w:eastAsia="zh-CN"/>
              </w:rPr>
              <w:t>）加强对进出项目车辆的管理。场内禁鸣喇叭，尽量减少机动车频繁启</w:t>
            </w:r>
            <w:r>
              <w:rPr>
                <w:rFonts w:hint="default" w:ascii="Times New Roman" w:hAnsi="Times New Roman" w:eastAsia="宋体" w:cs="Times New Roman"/>
                <w:b w:val="0"/>
                <w:bCs/>
                <w:sz w:val="24"/>
                <w:szCs w:val="24"/>
                <w:lang w:val="en-US" w:eastAsia="zh-CN"/>
              </w:rPr>
              <w:t>运和怠速，规范进入项目内车辆的停车秩序等措施，可以有效降低车辆噪声。</w:t>
            </w:r>
          </w:p>
          <w:p w14:paraId="0C703A16">
            <w:pPr>
              <w:pStyle w:val="5"/>
              <w:ind w:firstLine="422"/>
              <w:rPr>
                <w:sz w:val="24"/>
                <w:szCs w:val="24"/>
              </w:rPr>
            </w:pPr>
            <w:r>
              <w:rPr>
                <w:sz w:val="24"/>
                <w:szCs w:val="24"/>
              </w:rPr>
              <w:t>3.</w:t>
            </w:r>
            <w:r>
              <w:rPr>
                <w:rFonts w:hint="eastAsia"/>
                <w:sz w:val="24"/>
                <w:szCs w:val="24"/>
                <w:lang w:val="en-US" w:eastAsia="zh-CN"/>
              </w:rPr>
              <w:t>4</w:t>
            </w:r>
            <w:r>
              <w:rPr>
                <w:sz w:val="24"/>
                <w:szCs w:val="24"/>
              </w:rPr>
              <w:t>噪声监测计划</w:t>
            </w:r>
          </w:p>
          <w:p w14:paraId="6E3A29BB">
            <w:pPr>
              <w:spacing w:line="360" w:lineRule="auto"/>
              <w:ind w:firstLine="480" w:firstLineChars="200"/>
              <w:rPr>
                <w:sz w:val="24"/>
                <w:szCs w:val="24"/>
              </w:rPr>
            </w:pPr>
            <w:r>
              <w:rPr>
                <w:sz w:val="24"/>
                <w:szCs w:val="24"/>
              </w:rPr>
              <w:t>项目在运营期存在噪声污染问题，会对局部环境造成潜在的影响。为把建设项目对周围环境的不利影响减到最小，除选择适当的工艺外，还必须加强日常监测和严格管理，制定环境监测计划，才能达到预期目的。</w:t>
            </w:r>
          </w:p>
          <w:p w14:paraId="2E11B2F5">
            <w:pPr>
              <w:pStyle w:val="6"/>
              <w:ind w:firstLine="420"/>
              <w:rPr>
                <w:sz w:val="24"/>
                <w:szCs w:val="24"/>
              </w:rPr>
            </w:pPr>
            <w:r>
              <w:rPr>
                <w:rFonts w:hint="eastAsia"/>
                <w:sz w:val="24"/>
                <w:szCs w:val="24"/>
              </w:rPr>
              <w:t>3.</w:t>
            </w:r>
            <w:r>
              <w:rPr>
                <w:rFonts w:hint="eastAsia"/>
                <w:sz w:val="24"/>
                <w:szCs w:val="24"/>
                <w:lang w:val="en-US" w:eastAsia="zh-CN"/>
              </w:rPr>
              <w:t>4</w:t>
            </w:r>
            <w:r>
              <w:rPr>
                <w:rFonts w:hint="eastAsia"/>
                <w:sz w:val="24"/>
                <w:szCs w:val="24"/>
              </w:rPr>
              <w:t>.1</w:t>
            </w:r>
            <w:r>
              <w:rPr>
                <w:sz w:val="24"/>
                <w:szCs w:val="24"/>
              </w:rPr>
              <w:t>监测目的</w:t>
            </w:r>
          </w:p>
          <w:p w14:paraId="6EBE903E">
            <w:pPr>
              <w:spacing w:line="360" w:lineRule="auto"/>
              <w:ind w:firstLine="480" w:firstLineChars="200"/>
              <w:rPr>
                <w:sz w:val="24"/>
                <w:szCs w:val="24"/>
              </w:rPr>
            </w:pPr>
            <w:r>
              <w:rPr>
                <w:sz w:val="24"/>
                <w:szCs w:val="24"/>
              </w:rPr>
              <w:t>环境监测是环境保护中最重要的环节和技术支持，其目的在于：</w:t>
            </w:r>
          </w:p>
          <w:p w14:paraId="0914A34A">
            <w:pPr>
              <w:spacing w:line="360" w:lineRule="auto"/>
              <w:ind w:firstLine="480" w:firstLineChars="200"/>
              <w:rPr>
                <w:sz w:val="24"/>
                <w:szCs w:val="24"/>
              </w:rPr>
            </w:pPr>
            <w:r>
              <w:rPr>
                <w:sz w:val="24"/>
                <w:szCs w:val="24"/>
              </w:rPr>
              <w:t>①检查、跟踪项目投产后运行过程中减噪措施的实施情况和效果，掌握环境质量的变化动态；</w:t>
            </w:r>
          </w:p>
          <w:p w14:paraId="482C12E3">
            <w:pPr>
              <w:spacing w:line="360" w:lineRule="auto"/>
              <w:ind w:firstLine="480" w:firstLineChars="200"/>
              <w:rPr>
                <w:sz w:val="24"/>
                <w:szCs w:val="24"/>
              </w:rPr>
            </w:pPr>
            <w:r>
              <w:rPr>
                <w:sz w:val="24"/>
                <w:szCs w:val="24"/>
              </w:rPr>
              <w:t>②了解项目环境工程设施的运行状况，确保设施的正常运行；</w:t>
            </w:r>
          </w:p>
          <w:p w14:paraId="4D613709">
            <w:pPr>
              <w:spacing w:line="360" w:lineRule="auto"/>
              <w:ind w:firstLine="480" w:firstLineChars="200"/>
              <w:rPr>
                <w:sz w:val="24"/>
                <w:szCs w:val="24"/>
              </w:rPr>
            </w:pPr>
            <w:r>
              <w:rPr>
                <w:sz w:val="24"/>
                <w:szCs w:val="24"/>
              </w:rPr>
              <w:t>③了解项目有关的环境质量监控实施情况；</w:t>
            </w:r>
          </w:p>
          <w:p w14:paraId="27479673">
            <w:pPr>
              <w:spacing w:line="360" w:lineRule="auto"/>
              <w:ind w:firstLine="480" w:firstLineChars="200"/>
              <w:rPr>
                <w:sz w:val="24"/>
                <w:szCs w:val="24"/>
              </w:rPr>
            </w:pPr>
            <w:r>
              <w:rPr>
                <w:sz w:val="24"/>
                <w:szCs w:val="24"/>
              </w:rPr>
              <w:t>④为改善项目周围区域环境质量提供技术支持。</w:t>
            </w:r>
          </w:p>
          <w:p w14:paraId="3054B572">
            <w:pPr>
              <w:spacing w:line="360" w:lineRule="auto"/>
              <w:ind w:firstLine="480" w:firstLineChars="200"/>
              <w:rPr>
                <w:sz w:val="24"/>
                <w:szCs w:val="24"/>
              </w:rPr>
            </w:pPr>
            <w:r>
              <w:rPr>
                <w:rFonts w:hint="eastAsia"/>
                <w:sz w:val="24"/>
                <w:szCs w:val="24"/>
              </w:rPr>
              <w:t>3.</w:t>
            </w:r>
            <w:r>
              <w:rPr>
                <w:rFonts w:hint="eastAsia"/>
                <w:sz w:val="24"/>
                <w:szCs w:val="24"/>
                <w:lang w:val="en-US" w:eastAsia="zh-CN"/>
              </w:rPr>
              <w:t>4</w:t>
            </w:r>
            <w:r>
              <w:rPr>
                <w:rFonts w:hint="eastAsia"/>
                <w:sz w:val="24"/>
                <w:szCs w:val="24"/>
              </w:rPr>
              <w:t>.2</w:t>
            </w:r>
            <w:r>
              <w:rPr>
                <w:sz w:val="24"/>
                <w:szCs w:val="24"/>
              </w:rPr>
              <w:t>监测内容</w:t>
            </w:r>
          </w:p>
          <w:p w14:paraId="11FCFEB8">
            <w:pPr>
              <w:spacing w:line="360" w:lineRule="auto"/>
              <w:ind w:firstLine="480" w:firstLineChars="200"/>
              <w:rPr>
                <w:sz w:val="24"/>
                <w:szCs w:val="24"/>
              </w:rPr>
            </w:pPr>
            <w:r>
              <w:rPr>
                <w:sz w:val="24"/>
                <w:szCs w:val="24"/>
              </w:rPr>
              <w:t>对项目运营过程中产生的污染物进行监测，监测点的选取、监测项目确定均按《排污单位自行监测指南》执行。建设单位现不具备单独进行环境监测的能力，委托有资质的环境监测机构进行监测工作。</w:t>
            </w:r>
          </w:p>
          <w:p w14:paraId="7221E196">
            <w:pPr>
              <w:spacing w:line="360" w:lineRule="auto"/>
              <w:ind w:firstLine="480" w:firstLineChars="200"/>
              <w:rPr>
                <w:sz w:val="24"/>
                <w:szCs w:val="24"/>
              </w:rPr>
            </w:pPr>
            <w:r>
              <w:rPr>
                <w:sz w:val="24"/>
                <w:szCs w:val="24"/>
              </w:rPr>
              <w:t>依据《排污许可证申请与核发技术规范 总则》（HJ942-2018）和项目内容、企业实际情况，制定相应的监测方案。噪声监测计划具体如</w:t>
            </w:r>
            <w:r>
              <w:rPr>
                <w:rFonts w:hint="eastAsia"/>
                <w:sz w:val="24"/>
                <w:szCs w:val="24"/>
              </w:rPr>
              <w:t>下表</w:t>
            </w:r>
            <w:r>
              <w:rPr>
                <w:sz w:val="24"/>
                <w:szCs w:val="24"/>
              </w:rPr>
              <w:t>所示</w:t>
            </w:r>
          </w:p>
          <w:p w14:paraId="19AF2BEF">
            <w:pPr>
              <w:jc w:val="center"/>
            </w:pPr>
            <w:r>
              <w:rPr>
                <w:b/>
                <w:bCs/>
              </w:rPr>
              <w:t>表</w:t>
            </w:r>
            <w:r>
              <w:rPr>
                <w:rFonts w:hint="eastAsia"/>
                <w:b/>
                <w:bCs/>
              </w:rPr>
              <w:t>4-1</w:t>
            </w:r>
            <w:r>
              <w:rPr>
                <w:rFonts w:hint="eastAsia"/>
                <w:b/>
                <w:bCs/>
                <w:lang w:val="en-US" w:eastAsia="zh-CN"/>
              </w:rPr>
              <w:t xml:space="preserve">2 </w:t>
            </w:r>
            <w:r>
              <w:rPr>
                <w:b/>
                <w:bCs/>
              </w:rPr>
              <w:t xml:space="preserve"> 项目环境监测计划表</w:t>
            </w:r>
          </w:p>
          <w:tbl>
            <w:tblPr>
              <w:tblStyle w:val="24"/>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1549"/>
              <w:gridCol w:w="1579"/>
              <w:gridCol w:w="1613"/>
              <w:gridCol w:w="2832"/>
            </w:tblGrid>
            <w:tr w14:paraId="5F97DE3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53" w:type="pct"/>
                  <w:tcBorders>
                    <w:tl2br w:val="nil"/>
                    <w:tr2bl w:val="nil"/>
                  </w:tcBorders>
                  <w:vAlign w:val="center"/>
                </w:tcPr>
                <w:p w14:paraId="22F9B643">
                  <w:pPr>
                    <w:jc w:val="center"/>
                    <w:rPr>
                      <w:b/>
                      <w:bCs/>
                    </w:rPr>
                  </w:pPr>
                  <w:r>
                    <w:rPr>
                      <w:b/>
                      <w:bCs/>
                    </w:rPr>
                    <w:t>监测点</w:t>
                  </w:r>
                </w:p>
              </w:tc>
              <w:tc>
                <w:tcPr>
                  <w:tcW w:w="848" w:type="pct"/>
                  <w:tcBorders>
                    <w:tl2br w:val="nil"/>
                    <w:tr2bl w:val="nil"/>
                  </w:tcBorders>
                  <w:vAlign w:val="center"/>
                </w:tcPr>
                <w:p w14:paraId="3F838DF7">
                  <w:pPr>
                    <w:jc w:val="center"/>
                    <w:rPr>
                      <w:b/>
                      <w:bCs/>
                    </w:rPr>
                  </w:pPr>
                  <w:r>
                    <w:rPr>
                      <w:b/>
                      <w:bCs/>
                    </w:rPr>
                    <w:t>监测频次</w:t>
                  </w:r>
                </w:p>
              </w:tc>
              <w:tc>
                <w:tcPr>
                  <w:tcW w:w="864" w:type="pct"/>
                  <w:tcBorders>
                    <w:tl2br w:val="nil"/>
                    <w:tr2bl w:val="nil"/>
                  </w:tcBorders>
                  <w:vAlign w:val="center"/>
                </w:tcPr>
                <w:p w14:paraId="0FB9B7DA">
                  <w:pPr>
                    <w:jc w:val="center"/>
                    <w:rPr>
                      <w:rFonts w:hint="eastAsia" w:eastAsia="宋体"/>
                      <w:b/>
                      <w:bCs/>
                      <w:lang w:eastAsia="zh-CN"/>
                    </w:rPr>
                  </w:pPr>
                  <w:r>
                    <w:rPr>
                      <w:b/>
                      <w:bCs/>
                    </w:rPr>
                    <w:t>监测</w:t>
                  </w:r>
                  <w:r>
                    <w:rPr>
                      <w:rFonts w:hint="eastAsia"/>
                      <w:b/>
                      <w:bCs/>
                      <w:lang w:val="en-US" w:eastAsia="zh-CN"/>
                    </w:rPr>
                    <w:t>时间</w:t>
                  </w:r>
                </w:p>
              </w:tc>
              <w:tc>
                <w:tcPr>
                  <w:tcW w:w="883" w:type="pct"/>
                  <w:tcBorders>
                    <w:tl2br w:val="nil"/>
                    <w:tr2bl w:val="nil"/>
                  </w:tcBorders>
                  <w:vAlign w:val="center"/>
                </w:tcPr>
                <w:p w14:paraId="1E92FDE7">
                  <w:pPr>
                    <w:jc w:val="center"/>
                    <w:rPr>
                      <w:b/>
                      <w:bCs/>
                    </w:rPr>
                  </w:pPr>
                  <w:r>
                    <w:rPr>
                      <w:b/>
                      <w:bCs/>
                    </w:rPr>
                    <w:t>监测项目</w:t>
                  </w:r>
                </w:p>
              </w:tc>
              <w:tc>
                <w:tcPr>
                  <w:tcW w:w="1550" w:type="pct"/>
                  <w:tcBorders>
                    <w:tl2br w:val="nil"/>
                    <w:tr2bl w:val="nil"/>
                  </w:tcBorders>
                  <w:vAlign w:val="center"/>
                </w:tcPr>
                <w:p w14:paraId="186190DC">
                  <w:pPr>
                    <w:jc w:val="center"/>
                    <w:rPr>
                      <w:b/>
                      <w:bCs/>
                    </w:rPr>
                  </w:pPr>
                  <w:r>
                    <w:rPr>
                      <w:b/>
                      <w:bCs/>
                    </w:rPr>
                    <w:t>执行标准</w:t>
                  </w:r>
                </w:p>
              </w:tc>
            </w:tr>
            <w:tr w14:paraId="31385C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3" w:type="pct"/>
                  <w:tcBorders>
                    <w:tl2br w:val="nil"/>
                    <w:tr2bl w:val="nil"/>
                  </w:tcBorders>
                  <w:vAlign w:val="center"/>
                </w:tcPr>
                <w:p w14:paraId="3E6B038B">
                  <w:pPr>
                    <w:jc w:val="center"/>
                    <w:rPr>
                      <w:rFonts w:hint="default" w:eastAsia="宋体"/>
                      <w:lang w:val="en-US" w:eastAsia="zh-CN"/>
                    </w:rPr>
                  </w:pPr>
                  <w:r>
                    <w:t>厂界</w:t>
                  </w:r>
                  <w:r>
                    <w:rPr>
                      <w:rFonts w:hint="eastAsia"/>
                      <w:lang w:val="en-US" w:eastAsia="zh-CN"/>
                    </w:rPr>
                    <w:t>四周边界</w:t>
                  </w:r>
                </w:p>
              </w:tc>
              <w:tc>
                <w:tcPr>
                  <w:tcW w:w="848" w:type="pct"/>
                  <w:tcBorders>
                    <w:tl2br w:val="nil"/>
                    <w:tr2bl w:val="nil"/>
                  </w:tcBorders>
                  <w:vAlign w:val="center"/>
                </w:tcPr>
                <w:p w14:paraId="1B395366">
                  <w:pPr>
                    <w:jc w:val="center"/>
                    <w:rPr>
                      <w:rFonts w:hint="eastAsia" w:eastAsia="宋体"/>
                      <w:lang w:val="en-US" w:eastAsia="zh-CN"/>
                    </w:rPr>
                  </w:pPr>
                  <w:r>
                    <w:t>1次</w:t>
                  </w:r>
                  <w:r>
                    <w:rPr>
                      <w:rFonts w:hint="eastAsia"/>
                      <w:lang w:val="en-US" w:eastAsia="zh-CN"/>
                    </w:rPr>
                    <w:t>/</w:t>
                  </w:r>
                  <w:r>
                    <w:t>季</w:t>
                  </w:r>
                  <w:r>
                    <w:rPr>
                      <w:rFonts w:hint="eastAsia"/>
                      <w:lang w:val="en-US" w:eastAsia="zh-CN"/>
                    </w:rPr>
                    <w:t>度</w:t>
                  </w:r>
                </w:p>
              </w:tc>
              <w:tc>
                <w:tcPr>
                  <w:tcW w:w="864" w:type="pct"/>
                  <w:tcBorders>
                    <w:tl2br w:val="nil"/>
                    <w:tr2bl w:val="nil"/>
                  </w:tcBorders>
                  <w:vAlign w:val="center"/>
                </w:tcPr>
                <w:p w14:paraId="2E586369">
                  <w:pPr>
                    <w:jc w:val="center"/>
                    <w:rPr>
                      <w:rFonts w:hint="default" w:eastAsia="宋体"/>
                      <w:lang w:val="en-US" w:eastAsia="zh-CN"/>
                    </w:rPr>
                  </w:pPr>
                  <w:r>
                    <w:rPr>
                      <w:rFonts w:hint="eastAsia"/>
                      <w:lang w:val="en-US" w:eastAsia="zh-CN"/>
                    </w:rPr>
                    <w:t>昼间、夜间各一次</w:t>
                  </w:r>
                </w:p>
              </w:tc>
              <w:tc>
                <w:tcPr>
                  <w:tcW w:w="883" w:type="pct"/>
                  <w:tcBorders>
                    <w:tl2br w:val="nil"/>
                    <w:tr2bl w:val="nil"/>
                  </w:tcBorders>
                  <w:vAlign w:val="center"/>
                </w:tcPr>
                <w:p w14:paraId="7A124D2D">
                  <w:pPr>
                    <w:jc w:val="center"/>
                  </w:pPr>
                  <w:r>
                    <w:t>等效连续A声级</w:t>
                  </w:r>
                </w:p>
              </w:tc>
              <w:tc>
                <w:tcPr>
                  <w:tcW w:w="1550" w:type="pct"/>
                  <w:tcBorders>
                    <w:tl2br w:val="nil"/>
                    <w:tr2bl w:val="nil"/>
                  </w:tcBorders>
                  <w:vAlign w:val="center"/>
                </w:tcPr>
                <w:p w14:paraId="3C770709">
                  <w:pPr>
                    <w:jc w:val="center"/>
                  </w:pPr>
                  <w:r>
                    <w:t>《工业企业厂界环境噪声排放标准》（GB12348-2008）中</w:t>
                  </w:r>
                  <w:r>
                    <w:rPr>
                      <w:rFonts w:hint="eastAsia"/>
                    </w:rPr>
                    <w:t>3</w:t>
                  </w:r>
                  <w:r>
                    <w:t>类标准</w:t>
                  </w:r>
                </w:p>
              </w:tc>
            </w:tr>
          </w:tbl>
          <w:p w14:paraId="00522EFD">
            <w:pPr>
              <w:pStyle w:val="4"/>
              <w:rPr>
                <w:sz w:val="24"/>
                <w:szCs w:val="24"/>
              </w:rPr>
            </w:pPr>
            <w:r>
              <w:rPr>
                <w:sz w:val="24"/>
                <w:szCs w:val="24"/>
              </w:rPr>
              <w:t>4</w:t>
            </w:r>
            <w:r>
              <w:rPr>
                <w:rFonts w:hint="eastAsia"/>
                <w:sz w:val="24"/>
                <w:szCs w:val="24"/>
              </w:rPr>
              <w:t>.</w:t>
            </w:r>
            <w:r>
              <w:rPr>
                <w:sz w:val="24"/>
                <w:szCs w:val="24"/>
              </w:rPr>
              <w:t>固体废弃物影响分析</w:t>
            </w:r>
          </w:p>
          <w:p w14:paraId="4283E0FC">
            <w:pPr>
              <w:pStyle w:val="5"/>
              <w:ind w:firstLine="420"/>
              <w:rPr>
                <w:b w:val="0"/>
                <w:bCs/>
                <w:sz w:val="24"/>
                <w:szCs w:val="24"/>
              </w:rPr>
            </w:pPr>
            <w:r>
              <w:rPr>
                <w:b w:val="0"/>
                <w:bCs/>
                <w:sz w:val="24"/>
                <w:szCs w:val="24"/>
              </w:rPr>
              <w:t>项目所产固废包括生产固废和生活垃圾</w:t>
            </w:r>
            <w:r>
              <w:rPr>
                <w:rFonts w:hint="eastAsia"/>
                <w:b w:val="0"/>
                <w:bCs/>
                <w:sz w:val="24"/>
                <w:szCs w:val="24"/>
              </w:rPr>
              <w:t>。</w:t>
            </w:r>
          </w:p>
          <w:p w14:paraId="4B1536E2">
            <w:pPr>
              <w:pStyle w:val="5"/>
              <w:ind w:firstLine="422"/>
              <w:rPr>
                <w:sz w:val="24"/>
                <w:szCs w:val="24"/>
              </w:rPr>
            </w:pPr>
            <w:r>
              <w:rPr>
                <w:rFonts w:hint="eastAsia"/>
                <w:sz w:val="24"/>
                <w:szCs w:val="24"/>
              </w:rPr>
              <w:t>4.1</w:t>
            </w:r>
            <w:r>
              <w:rPr>
                <w:sz w:val="24"/>
                <w:szCs w:val="24"/>
              </w:rPr>
              <w:t>生产固废</w:t>
            </w:r>
          </w:p>
          <w:p w14:paraId="3BF4EFFA">
            <w:pPr>
              <w:topLinePunct/>
              <w:spacing w:line="360" w:lineRule="auto"/>
              <w:ind w:firstLine="480" w:firstLineChars="200"/>
              <w:rPr>
                <w:rFonts w:hint="eastAsia"/>
                <w:sz w:val="24"/>
                <w:szCs w:val="24"/>
              </w:rPr>
            </w:pPr>
            <w:r>
              <w:rPr>
                <w:sz w:val="24"/>
                <w:szCs w:val="24"/>
              </w:rPr>
              <w:t>本项目生产固废主要</w:t>
            </w:r>
            <w:r>
              <w:rPr>
                <w:rFonts w:hint="eastAsia"/>
                <w:sz w:val="24"/>
                <w:szCs w:val="24"/>
              </w:rPr>
              <w:t>为除尘器收集的粉尘</w:t>
            </w:r>
            <w:r>
              <w:rPr>
                <w:rFonts w:hint="eastAsia"/>
                <w:sz w:val="24"/>
                <w:szCs w:val="24"/>
                <w:lang w:eastAsia="zh-CN"/>
              </w:rPr>
              <w:t>、</w:t>
            </w:r>
            <w:r>
              <w:rPr>
                <w:rFonts w:hint="eastAsia"/>
                <w:sz w:val="24"/>
                <w:szCs w:val="24"/>
              </w:rPr>
              <w:t>混凝土渣、废钢筋、废包装袋</w:t>
            </w:r>
            <w:r>
              <w:rPr>
                <w:rFonts w:hint="eastAsia"/>
                <w:sz w:val="24"/>
                <w:szCs w:val="24"/>
                <w:lang w:val="en-US" w:eastAsia="zh-CN"/>
              </w:rPr>
              <w:t>和一般固体废物</w:t>
            </w:r>
            <w:r>
              <w:rPr>
                <w:rFonts w:hint="eastAsia"/>
                <w:sz w:val="24"/>
                <w:szCs w:val="24"/>
              </w:rPr>
              <w:t>。</w:t>
            </w:r>
          </w:p>
          <w:p w14:paraId="0C4746CE">
            <w:pPr>
              <w:topLinePunct/>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lang w:val="en-US" w:eastAsia="zh-CN"/>
              </w:rPr>
              <w:t>收集粉尘：</w:t>
            </w:r>
            <w:r>
              <w:rPr>
                <w:rFonts w:hint="eastAsia"/>
                <w:sz w:val="24"/>
                <w:szCs w:val="24"/>
              </w:rPr>
              <w:t>除尘器收集的粉尘量为合计</w:t>
            </w:r>
            <w:r>
              <w:rPr>
                <w:rFonts w:hint="eastAsia"/>
                <w:sz w:val="24"/>
                <w:szCs w:val="24"/>
                <w:lang w:val="en-US" w:eastAsia="zh-CN"/>
              </w:rPr>
              <w:t>为23.4</w:t>
            </w:r>
            <w:r>
              <w:rPr>
                <w:rFonts w:hint="eastAsia"/>
                <w:sz w:val="24"/>
                <w:szCs w:val="24"/>
              </w:rPr>
              <w:t>t</w:t>
            </w:r>
            <w:r>
              <w:rPr>
                <w:sz w:val="24"/>
                <w:szCs w:val="24"/>
              </w:rPr>
              <w:t>/a</w:t>
            </w:r>
            <w:r>
              <w:rPr>
                <w:rFonts w:hint="eastAsia"/>
                <w:sz w:val="24"/>
                <w:szCs w:val="24"/>
              </w:rPr>
              <w:t>，</w:t>
            </w:r>
            <w:r>
              <w:rPr>
                <w:sz w:val="24"/>
                <w:szCs w:val="24"/>
              </w:rPr>
              <w:t>由本厂集中收集</w:t>
            </w:r>
            <w:r>
              <w:rPr>
                <w:rFonts w:hint="eastAsia"/>
                <w:sz w:val="24"/>
                <w:szCs w:val="24"/>
              </w:rPr>
              <w:t>后回用于生产。</w:t>
            </w:r>
          </w:p>
          <w:p w14:paraId="6F76E6D4">
            <w:pPr>
              <w:topLinePunct/>
              <w:spacing w:line="360" w:lineRule="auto"/>
              <w:ind w:firstLine="480" w:firstLineChars="200"/>
              <w:rPr>
                <w:rFonts w:hint="eastAsia"/>
                <w:sz w:val="24"/>
                <w:szCs w:val="24"/>
                <w:lang w:val="en-US"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lang w:val="en-US" w:eastAsia="zh-CN"/>
              </w:rPr>
              <w:t>一般固体废物</w:t>
            </w:r>
          </w:p>
          <w:p w14:paraId="7B311BE7">
            <w:pPr>
              <w:topLinePunct/>
              <w:spacing w:line="360" w:lineRule="auto"/>
              <w:ind w:firstLine="480" w:firstLineChars="200"/>
              <w:rPr>
                <w:rFonts w:hint="eastAsia"/>
                <w:sz w:val="24"/>
                <w:szCs w:val="24"/>
              </w:rPr>
            </w:pPr>
            <w:r>
              <w:rPr>
                <w:rFonts w:hint="eastAsia" w:cs="Times New Roman"/>
                <w:color w:val="000000"/>
                <w:kern w:val="0"/>
                <w:sz w:val="24"/>
                <w:szCs w:val="24"/>
                <w:lang w:val="en-US" w:eastAsia="zh-CN" w:bidi="ar"/>
              </w:rPr>
              <w:t>根据</w:t>
            </w:r>
            <w:r>
              <w:rPr>
                <w:rFonts w:hint="default" w:ascii="Times New Roman" w:hAnsi="Times New Roman" w:eastAsia="宋体" w:cs="Times New Roman"/>
                <w:color w:val="000000"/>
                <w:kern w:val="0"/>
                <w:sz w:val="24"/>
                <w:szCs w:val="24"/>
                <w:lang w:val="en-US" w:eastAsia="zh-CN" w:bidi="ar"/>
              </w:rPr>
              <w:t>《排放源统计调查产排污核算方法和系数手册》中</w:t>
            </w: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3021水泥制品制造行业</w:t>
            </w:r>
            <w:r>
              <w:rPr>
                <w:rFonts w:hint="eastAsia" w:ascii="Times New Roman" w:hAnsi="Times New Roman" w:eastAsia="宋体" w:cs="Times New Roman"/>
                <w:color w:val="000000"/>
                <w:kern w:val="0"/>
                <w:sz w:val="24"/>
                <w:szCs w:val="24"/>
                <w:lang w:val="en-US" w:eastAsia="zh-CN" w:bidi="ar"/>
              </w:rPr>
              <w:t>”成型养护产</w:t>
            </w:r>
            <w:r>
              <w:rPr>
                <w:rFonts w:hint="default" w:ascii="Times New Roman" w:hAnsi="Times New Roman" w:eastAsia="宋体" w:cs="Times New Roman"/>
                <w:color w:val="000000"/>
                <w:kern w:val="0"/>
                <w:sz w:val="24"/>
                <w:szCs w:val="24"/>
                <w:lang w:val="en-US" w:eastAsia="zh-CN" w:bidi="ar"/>
              </w:rPr>
              <w:t>污系数为0.</w:t>
            </w:r>
            <w:r>
              <w:rPr>
                <w:rFonts w:hint="eastAsia" w:ascii="Times New Roman" w:hAnsi="Times New Roman" w:eastAsia="宋体" w:cs="Times New Roman"/>
                <w:color w:val="000000"/>
                <w:kern w:val="0"/>
                <w:sz w:val="24"/>
                <w:szCs w:val="24"/>
                <w:lang w:val="en-US" w:eastAsia="zh-CN" w:bidi="ar"/>
              </w:rPr>
              <w:t>00045</w:t>
            </w:r>
            <w:r>
              <w:rPr>
                <w:rFonts w:hint="eastAsia" w:cs="Times New Roman"/>
                <w:color w:val="000000"/>
                <w:kern w:val="0"/>
                <w:sz w:val="24"/>
                <w:szCs w:val="24"/>
                <w:lang w:val="en-US" w:eastAsia="zh-CN" w:bidi="ar"/>
              </w:rPr>
              <w:t>t</w:t>
            </w:r>
            <w:r>
              <w:rPr>
                <w:rFonts w:hint="default" w:ascii="Times New Roman" w:hAnsi="Times New Roman" w:eastAsia="宋体" w:cs="Times New Roman"/>
                <w:color w:val="000000"/>
                <w:kern w:val="0"/>
                <w:sz w:val="24"/>
                <w:szCs w:val="24"/>
                <w:lang w:val="en-US" w:eastAsia="zh-CN" w:bidi="ar"/>
              </w:rPr>
              <w:t>/t</w:t>
            </w:r>
            <w:r>
              <w:rPr>
                <w:rFonts w:hint="eastAsia" w:ascii="Times New Roman" w:hAnsi="Times New Roman" w:eastAsia="宋体" w:cs="Times New Roman"/>
                <w:color w:val="000000"/>
                <w:kern w:val="0"/>
                <w:sz w:val="24"/>
                <w:szCs w:val="24"/>
                <w:lang w:val="en-US" w:eastAsia="zh-CN" w:bidi="ar"/>
              </w:rPr>
              <w:t>产品</w:t>
            </w: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cs="Times New Roman"/>
                <w:color w:val="auto"/>
                <w:sz w:val="24"/>
                <w:szCs w:val="24"/>
                <w:shd w:val="clear" w:color="auto" w:fill="auto"/>
                <w:lang w:val="en-US" w:eastAsia="zh-CN"/>
              </w:rPr>
              <w:t>本项目年产</w:t>
            </w:r>
            <w:r>
              <w:rPr>
                <w:rFonts w:hint="eastAsia" w:cs="Times New Roman"/>
                <w:color w:val="auto"/>
                <w:sz w:val="24"/>
                <w:szCs w:val="24"/>
                <w:shd w:val="clear" w:color="auto" w:fill="auto"/>
                <w:lang w:val="en-US" w:eastAsia="zh-CN"/>
              </w:rPr>
              <w:t>量为2</w:t>
            </w:r>
            <w:r>
              <w:rPr>
                <w:rFonts w:hint="eastAsia" w:ascii="Times New Roman" w:hAnsi="Times New Roman" w:cs="Times New Roman"/>
                <w:color w:val="auto"/>
                <w:sz w:val="24"/>
                <w:szCs w:val="24"/>
                <w:shd w:val="clear" w:color="auto" w:fill="auto"/>
                <w:lang w:val="en-US" w:eastAsia="zh-CN"/>
              </w:rPr>
              <w:t>0万m</w:t>
            </w:r>
            <w:r>
              <w:rPr>
                <w:rFonts w:hint="eastAsia" w:ascii="Times New Roman" w:hAnsi="Times New Roman" w:cs="Times New Roman"/>
                <w:color w:val="auto"/>
                <w:sz w:val="24"/>
                <w:szCs w:val="24"/>
                <w:shd w:val="clear" w:color="auto" w:fill="auto"/>
                <w:vertAlign w:val="superscript"/>
                <w:lang w:val="en-US" w:eastAsia="zh-CN"/>
              </w:rPr>
              <w:t>3</w:t>
            </w:r>
            <w:r>
              <w:rPr>
                <w:rFonts w:hint="eastAsia" w:ascii="Times New Roman" w:hAnsi="Times New Roman" w:cs="Times New Roman"/>
                <w:color w:val="auto"/>
                <w:sz w:val="24"/>
                <w:szCs w:val="24"/>
                <w:shd w:val="clear" w:color="auto" w:fill="auto"/>
                <w:lang w:val="en-US" w:eastAsia="zh-CN"/>
              </w:rPr>
              <w:t>，按</w:t>
            </w:r>
            <w:r>
              <w:rPr>
                <w:rFonts w:hint="eastAsia" w:cs="Times New Roman"/>
                <w:color w:val="auto"/>
                <w:sz w:val="24"/>
                <w:szCs w:val="24"/>
                <w:shd w:val="clear" w:color="auto" w:fill="auto"/>
                <w:lang w:val="en-US" w:eastAsia="zh-CN"/>
              </w:rPr>
              <w:t>业主提供资料660kg</w:t>
            </w:r>
            <w:r>
              <w:rPr>
                <w:rFonts w:hint="eastAsia" w:ascii="Times New Roman" w:hAnsi="Times New Roman" w:cs="Times New Roman"/>
                <w:color w:val="auto"/>
                <w:sz w:val="24"/>
                <w:szCs w:val="24"/>
                <w:shd w:val="clear" w:color="auto" w:fill="auto"/>
                <w:lang w:val="en-US" w:eastAsia="zh-CN"/>
              </w:rPr>
              <w:t>等于1m</w:t>
            </w:r>
            <w:r>
              <w:rPr>
                <w:rFonts w:hint="eastAsia" w:ascii="Times New Roman" w:hAnsi="Times New Roman" w:cs="Times New Roman"/>
                <w:color w:val="auto"/>
                <w:sz w:val="24"/>
                <w:szCs w:val="24"/>
                <w:shd w:val="clear" w:color="auto" w:fill="auto"/>
                <w:vertAlign w:val="superscript"/>
                <w:lang w:val="en-US" w:eastAsia="zh-CN"/>
              </w:rPr>
              <w:t>3</w:t>
            </w:r>
            <w:r>
              <w:rPr>
                <w:rFonts w:hint="eastAsia" w:ascii="Times New Roman" w:hAnsi="Times New Roman" w:cs="Times New Roman"/>
                <w:color w:val="auto"/>
                <w:sz w:val="24"/>
                <w:szCs w:val="24"/>
                <w:shd w:val="clear" w:color="auto" w:fill="auto"/>
                <w:lang w:val="en-US" w:eastAsia="zh-CN"/>
              </w:rPr>
              <w:t>，本项目</w:t>
            </w:r>
            <w:r>
              <w:rPr>
                <w:rFonts w:hint="eastAsia" w:cs="Times New Roman"/>
                <w:color w:val="auto"/>
                <w:sz w:val="24"/>
                <w:szCs w:val="24"/>
                <w:shd w:val="clear" w:color="auto" w:fill="auto"/>
                <w:lang w:val="en-US" w:eastAsia="zh-CN"/>
              </w:rPr>
              <w:t>产品</w:t>
            </w:r>
            <w:r>
              <w:rPr>
                <w:rFonts w:hint="eastAsia" w:ascii="Times New Roman" w:hAnsi="Times New Roman" w:cs="Times New Roman"/>
                <w:color w:val="auto"/>
                <w:sz w:val="24"/>
                <w:szCs w:val="24"/>
                <w:shd w:val="clear" w:color="auto" w:fill="auto"/>
                <w:lang w:val="en-US" w:eastAsia="zh-CN"/>
              </w:rPr>
              <w:t>约</w:t>
            </w:r>
            <w:r>
              <w:rPr>
                <w:rFonts w:hint="eastAsia" w:cs="Times New Roman"/>
                <w:color w:val="auto"/>
                <w:sz w:val="24"/>
                <w:szCs w:val="24"/>
                <w:shd w:val="clear" w:color="auto" w:fill="auto"/>
                <w:lang w:val="en-US" w:eastAsia="zh-CN"/>
              </w:rPr>
              <w:t>132</w:t>
            </w:r>
            <w:r>
              <w:rPr>
                <w:rFonts w:hint="eastAsia" w:ascii="Times New Roman" w:hAnsi="Times New Roman" w:cs="Times New Roman"/>
                <w:color w:val="auto"/>
                <w:sz w:val="24"/>
                <w:szCs w:val="24"/>
                <w:shd w:val="clear" w:color="auto" w:fill="auto"/>
                <w:lang w:val="en-US" w:eastAsia="zh-CN"/>
              </w:rPr>
              <w:t>000t</w:t>
            </w:r>
            <w:r>
              <w:rPr>
                <w:rFonts w:hint="default" w:ascii="Times New Roman" w:hAnsi="Times New Roman" w:eastAsia="宋体" w:cs="Times New Roman"/>
                <w:color w:val="000000"/>
                <w:kern w:val="0"/>
                <w:sz w:val="24"/>
                <w:szCs w:val="24"/>
                <w:lang w:val="en-US" w:eastAsia="zh-CN" w:bidi="ar"/>
              </w:rPr>
              <w:t>，则</w:t>
            </w:r>
            <w:r>
              <w:rPr>
                <w:rFonts w:hint="eastAsia" w:ascii="Times New Roman" w:hAnsi="Times New Roman" w:eastAsia="宋体" w:cs="Times New Roman"/>
                <w:color w:val="000000"/>
                <w:kern w:val="0"/>
                <w:sz w:val="24"/>
                <w:szCs w:val="24"/>
                <w:lang w:val="en-US" w:eastAsia="zh-CN" w:bidi="ar"/>
              </w:rPr>
              <w:t>一般固体废物</w:t>
            </w:r>
            <w:r>
              <w:rPr>
                <w:rFonts w:hint="default" w:ascii="Times New Roman" w:hAnsi="Times New Roman" w:eastAsia="宋体" w:cs="Times New Roman"/>
                <w:color w:val="000000"/>
                <w:kern w:val="0"/>
                <w:sz w:val="24"/>
                <w:szCs w:val="24"/>
                <w:lang w:val="en-US" w:eastAsia="zh-CN" w:bidi="ar"/>
              </w:rPr>
              <w:t>产生量为</w:t>
            </w:r>
            <w:r>
              <w:rPr>
                <w:rFonts w:hint="eastAsia" w:cs="Times New Roman"/>
                <w:color w:val="000000"/>
                <w:kern w:val="0"/>
                <w:sz w:val="24"/>
                <w:szCs w:val="24"/>
                <w:lang w:val="en-US" w:eastAsia="zh-CN" w:bidi="ar"/>
              </w:rPr>
              <w:t>59.4</w:t>
            </w:r>
            <w:r>
              <w:rPr>
                <w:rFonts w:hint="default" w:ascii="Times New Roman" w:hAnsi="Times New Roman" w:eastAsia="宋体" w:cs="Times New Roman"/>
                <w:color w:val="000000"/>
                <w:kern w:val="0"/>
                <w:sz w:val="24"/>
                <w:szCs w:val="24"/>
                <w:lang w:val="en-US" w:eastAsia="zh-CN" w:bidi="ar"/>
              </w:rPr>
              <w:t>t/a</w:t>
            </w:r>
            <w:r>
              <w:rPr>
                <w:rFonts w:hint="eastAsia" w:ascii="Times New Roman" w:hAnsi="Times New Roman" w:eastAsia="宋体" w:cs="Times New Roman"/>
                <w:color w:val="000000"/>
                <w:kern w:val="0"/>
                <w:sz w:val="24"/>
                <w:szCs w:val="24"/>
                <w:lang w:val="en-US" w:eastAsia="zh-CN" w:bidi="ar"/>
              </w:rPr>
              <w:t>，本项目一般固体废物为边角料、不合格品，集中收集后回用于生产</w:t>
            </w:r>
            <w:r>
              <w:rPr>
                <w:rFonts w:hint="default" w:ascii="Times New Roman" w:hAnsi="Times New Roman" w:eastAsia="宋体" w:cs="Times New Roman"/>
                <w:color w:val="000000"/>
                <w:kern w:val="0"/>
                <w:sz w:val="24"/>
                <w:szCs w:val="24"/>
                <w:lang w:val="en-US" w:eastAsia="zh-CN" w:bidi="ar"/>
              </w:rPr>
              <w:t>。</w:t>
            </w:r>
            <w:r>
              <w:rPr>
                <w:rFonts w:hint="eastAsia"/>
                <w:sz w:val="24"/>
                <w:szCs w:val="24"/>
              </w:rPr>
              <w:t>因此生产固废对周围环境影响不大。</w:t>
            </w:r>
          </w:p>
          <w:p w14:paraId="5E9A7BF2">
            <w:pPr>
              <w:topLinePunct/>
              <w:spacing w:line="360" w:lineRule="auto"/>
              <w:ind w:firstLine="480" w:firstLineChars="200"/>
              <w:rPr>
                <w:rFonts w:hint="default"/>
                <w:sz w:val="24"/>
                <w:szCs w:val="24"/>
                <w:lang w:val="en-US" w:eastAsia="zh-CN"/>
              </w:rPr>
            </w:pPr>
            <w:r>
              <w:rPr>
                <w:rFonts w:hint="eastAsia"/>
                <w:sz w:val="24"/>
                <w:szCs w:val="24"/>
                <w:lang w:val="en-US" w:eastAsia="zh-CN"/>
              </w:rPr>
              <w:t>（3）废钢筋</w:t>
            </w:r>
          </w:p>
          <w:p w14:paraId="0C097BC4">
            <w:pPr>
              <w:topLinePunct/>
              <w:spacing w:line="360" w:lineRule="auto"/>
              <w:ind w:firstLine="480" w:firstLineChars="200"/>
              <w:rPr>
                <w:rFonts w:hint="eastAsia"/>
                <w:sz w:val="24"/>
                <w:szCs w:val="24"/>
                <w:lang w:val="en-US" w:eastAsia="zh-CN"/>
              </w:rPr>
            </w:pPr>
            <w:r>
              <w:rPr>
                <w:rFonts w:hint="eastAsia"/>
                <w:sz w:val="24"/>
                <w:szCs w:val="24"/>
                <w:lang w:val="en-US" w:eastAsia="zh-CN"/>
              </w:rPr>
              <w:t>项目钢筋在下料焊接工序会产生少量的边角料，产生量约为1%，项目钢筋年用量为1000t/a，则钢筋边角料产生量为10t/a，由企业收集后出售。</w:t>
            </w:r>
          </w:p>
          <w:p w14:paraId="0E55141E">
            <w:pPr>
              <w:pStyle w:val="5"/>
              <w:ind w:firstLine="422"/>
              <w:rPr>
                <w:sz w:val="24"/>
                <w:szCs w:val="24"/>
              </w:rPr>
            </w:pPr>
            <w:r>
              <w:rPr>
                <w:rFonts w:hint="eastAsia"/>
                <w:sz w:val="24"/>
                <w:szCs w:val="24"/>
              </w:rPr>
              <w:t>4.2</w:t>
            </w:r>
            <w:r>
              <w:rPr>
                <w:sz w:val="24"/>
                <w:szCs w:val="24"/>
              </w:rPr>
              <w:t>生</w:t>
            </w:r>
            <w:r>
              <w:rPr>
                <w:rFonts w:hint="eastAsia"/>
                <w:sz w:val="24"/>
                <w:szCs w:val="24"/>
              </w:rPr>
              <w:t>活垃圾</w:t>
            </w:r>
          </w:p>
          <w:p w14:paraId="2F32A4EF">
            <w:pPr>
              <w:pStyle w:val="36"/>
              <w:adjustRightInd/>
              <w:snapToGrid/>
              <w:spacing w:after="0" w:line="360" w:lineRule="auto"/>
              <w:ind w:firstLine="480" w:firstLineChars="200"/>
              <w:jc w:val="left"/>
              <w:rPr>
                <w:rFonts w:eastAsia="宋体"/>
                <w:sz w:val="24"/>
                <w:szCs w:val="24"/>
              </w:rPr>
            </w:pPr>
            <w:r>
              <w:rPr>
                <w:rFonts w:eastAsia="宋体"/>
                <w:sz w:val="24"/>
                <w:szCs w:val="24"/>
              </w:rPr>
              <w:t>本项目劳动定员共计</w:t>
            </w:r>
            <w:r>
              <w:rPr>
                <w:rFonts w:hint="eastAsia" w:eastAsia="宋体"/>
                <w:sz w:val="24"/>
                <w:szCs w:val="24"/>
                <w:lang w:val="en-US" w:eastAsia="zh-CN"/>
              </w:rPr>
              <w:t>53</w:t>
            </w:r>
            <w:r>
              <w:rPr>
                <w:rFonts w:eastAsia="宋体"/>
                <w:sz w:val="24"/>
                <w:szCs w:val="24"/>
              </w:rPr>
              <w:t>人，均在厂区</w:t>
            </w:r>
            <w:r>
              <w:rPr>
                <w:rFonts w:hint="eastAsia" w:eastAsia="宋体"/>
                <w:sz w:val="24"/>
                <w:szCs w:val="24"/>
              </w:rPr>
              <w:t>食</w:t>
            </w:r>
            <w:r>
              <w:rPr>
                <w:rFonts w:eastAsia="宋体"/>
                <w:sz w:val="24"/>
                <w:szCs w:val="24"/>
              </w:rPr>
              <w:t>宿，产生的生活垃圾按</w:t>
            </w:r>
            <w:r>
              <w:rPr>
                <w:rFonts w:hint="eastAsia" w:eastAsia="宋体"/>
                <w:sz w:val="24"/>
                <w:szCs w:val="24"/>
                <w:lang w:val="en-US" w:eastAsia="zh-CN"/>
              </w:rPr>
              <w:t>1.0</w:t>
            </w:r>
            <w:r>
              <w:rPr>
                <w:rFonts w:eastAsia="宋体"/>
                <w:sz w:val="24"/>
                <w:szCs w:val="24"/>
              </w:rPr>
              <w:t>kg/d·人计，年工作天数为</w:t>
            </w:r>
            <w:r>
              <w:rPr>
                <w:rFonts w:hint="eastAsia" w:eastAsia="宋体"/>
                <w:sz w:val="24"/>
                <w:szCs w:val="24"/>
                <w:lang w:val="en-US" w:eastAsia="zh-CN"/>
              </w:rPr>
              <w:t>240</w:t>
            </w:r>
            <w:r>
              <w:rPr>
                <w:rFonts w:eastAsia="宋体"/>
                <w:sz w:val="24"/>
                <w:szCs w:val="24"/>
              </w:rPr>
              <w:t>d，则产生的生活垃圾为</w:t>
            </w:r>
            <w:r>
              <w:rPr>
                <w:rFonts w:hint="eastAsia" w:eastAsia="宋体"/>
                <w:sz w:val="24"/>
                <w:szCs w:val="24"/>
              </w:rPr>
              <w:t>1</w:t>
            </w:r>
            <w:r>
              <w:rPr>
                <w:rFonts w:hint="eastAsia" w:eastAsia="宋体"/>
                <w:sz w:val="24"/>
                <w:szCs w:val="24"/>
                <w:lang w:val="en-US" w:eastAsia="zh-CN"/>
              </w:rPr>
              <w:t>2.72</w:t>
            </w:r>
            <w:r>
              <w:rPr>
                <w:rFonts w:hint="eastAsia" w:eastAsia="宋体"/>
                <w:sz w:val="24"/>
                <w:szCs w:val="24"/>
              </w:rPr>
              <w:t>t</w:t>
            </w:r>
            <w:r>
              <w:rPr>
                <w:rFonts w:eastAsia="宋体"/>
                <w:sz w:val="24"/>
                <w:szCs w:val="24"/>
              </w:rPr>
              <w:t>/a。本项目生活垃圾集中收集，由</w:t>
            </w:r>
            <w:r>
              <w:rPr>
                <w:rFonts w:hint="eastAsia" w:eastAsia="宋体"/>
                <w:sz w:val="24"/>
                <w:szCs w:val="24"/>
              </w:rPr>
              <w:t>当地</w:t>
            </w:r>
            <w:r>
              <w:rPr>
                <w:rFonts w:eastAsia="宋体"/>
                <w:sz w:val="24"/>
                <w:szCs w:val="24"/>
              </w:rPr>
              <w:t>环卫部门清运。</w:t>
            </w:r>
          </w:p>
          <w:p w14:paraId="3939EEC5">
            <w:pPr>
              <w:pStyle w:val="36"/>
              <w:adjustRightInd/>
              <w:snapToGrid/>
              <w:spacing w:after="0" w:line="360" w:lineRule="auto"/>
              <w:ind w:firstLine="482" w:firstLineChars="200"/>
              <w:jc w:val="left"/>
              <w:rPr>
                <w:rFonts w:hint="eastAsia" w:eastAsia="宋体"/>
                <w:b/>
                <w:bCs/>
                <w:color w:val="auto"/>
                <w:sz w:val="24"/>
                <w:szCs w:val="24"/>
                <w:lang w:val="en-US" w:eastAsia="zh-CN"/>
              </w:rPr>
            </w:pPr>
            <w:r>
              <w:rPr>
                <w:rFonts w:hint="eastAsia" w:eastAsia="宋体"/>
                <w:b/>
                <w:bCs/>
                <w:color w:val="auto"/>
                <w:sz w:val="24"/>
                <w:szCs w:val="24"/>
                <w:lang w:val="en-US" w:eastAsia="zh-CN"/>
              </w:rPr>
              <w:t>4.3危险废物</w:t>
            </w:r>
          </w:p>
          <w:p w14:paraId="7A9A8DD4">
            <w:pPr>
              <w:pStyle w:val="36"/>
              <w:adjustRightInd/>
              <w:snapToGrid/>
              <w:spacing w:after="0" w:line="360" w:lineRule="auto"/>
              <w:ind w:firstLine="480" w:firstLineChars="200"/>
              <w:jc w:val="left"/>
              <w:rPr>
                <w:rFonts w:hint="default" w:eastAsia="宋体"/>
                <w:b w:val="0"/>
                <w:bCs w:val="0"/>
                <w:color w:val="auto"/>
                <w:sz w:val="24"/>
                <w:szCs w:val="24"/>
                <w:lang w:val="en-US" w:eastAsia="zh-CN"/>
              </w:rPr>
            </w:pPr>
            <w:r>
              <w:rPr>
                <w:rFonts w:hint="eastAsia" w:eastAsia="宋体"/>
                <w:b w:val="0"/>
                <w:bCs w:val="0"/>
                <w:color w:val="auto"/>
                <w:sz w:val="24"/>
                <w:szCs w:val="24"/>
                <w:lang w:val="en-US" w:eastAsia="zh-CN"/>
              </w:rPr>
              <w:t>（1）废机油</w:t>
            </w:r>
          </w:p>
          <w:p w14:paraId="0B7BF6C3">
            <w:pPr>
              <w:pStyle w:val="36"/>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default" w:eastAsia="宋体"/>
                <w:b w:val="0"/>
                <w:bCs w:val="0"/>
                <w:color w:val="auto"/>
                <w:sz w:val="24"/>
                <w:szCs w:val="24"/>
                <w:lang w:val="en-US" w:eastAsia="zh-CN"/>
              </w:rPr>
            </w:pPr>
            <w:r>
              <w:rPr>
                <w:rFonts w:hint="eastAsia" w:eastAsia="宋体"/>
                <w:b w:val="0"/>
                <w:bCs w:val="0"/>
                <w:color w:val="auto"/>
                <w:sz w:val="24"/>
                <w:szCs w:val="24"/>
                <w:lang w:val="en-US" w:eastAsia="zh-CN"/>
              </w:rPr>
              <w:t>设备维修保养过程会产生废润滑油（约0.1</w:t>
            </w:r>
            <w:r>
              <w:rPr>
                <w:rFonts w:hint="eastAsia" w:eastAsia="宋体"/>
                <w:sz w:val="24"/>
                <w:szCs w:val="24"/>
              </w:rPr>
              <w:t>t</w:t>
            </w:r>
            <w:r>
              <w:rPr>
                <w:rFonts w:eastAsia="宋体"/>
                <w:sz w:val="24"/>
                <w:szCs w:val="24"/>
              </w:rPr>
              <w:t>/a</w:t>
            </w:r>
            <w:r>
              <w:rPr>
                <w:rFonts w:hint="eastAsia" w:eastAsia="宋体"/>
                <w:b w:val="0"/>
                <w:bCs w:val="0"/>
                <w:color w:val="auto"/>
                <w:sz w:val="24"/>
                <w:szCs w:val="24"/>
                <w:lang w:val="en-US" w:eastAsia="zh-CN"/>
              </w:rPr>
              <w:t>），废</w:t>
            </w:r>
            <w:r>
              <w:rPr>
                <w:rFonts w:hint="eastAsia" w:ascii="Times New Roman" w:hAnsi="Times New Roman" w:eastAsia="宋体" w:cs="Times New Roman"/>
                <w:color w:val="auto"/>
                <w:kern w:val="0"/>
                <w:sz w:val="24"/>
                <w:szCs w:val="24"/>
                <w:lang w:val="en-US" w:eastAsia="zh-CN" w:bidi="ar"/>
              </w:rPr>
              <w:t>润滑</w:t>
            </w:r>
            <w:r>
              <w:rPr>
                <w:rFonts w:hint="eastAsia" w:eastAsia="宋体" w:cs="Times New Roman"/>
                <w:color w:val="auto"/>
                <w:kern w:val="0"/>
                <w:sz w:val="24"/>
                <w:szCs w:val="24"/>
                <w:lang w:val="en-US" w:eastAsia="zh-CN" w:bidi="ar"/>
              </w:rPr>
              <w:t>油</w:t>
            </w:r>
            <w:r>
              <w:rPr>
                <w:rFonts w:hint="default" w:ascii="Times New Roman" w:hAnsi="Times New Roman" w:eastAsia="宋体" w:cs="Times New Roman"/>
                <w:color w:val="auto"/>
                <w:kern w:val="0"/>
                <w:sz w:val="24"/>
                <w:szCs w:val="24"/>
                <w:lang w:val="en-US" w:eastAsia="zh-CN" w:bidi="ar"/>
              </w:rPr>
              <w:t>属于《国家危险废物名录》中</w:t>
            </w:r>
            <w:r>
              <w:rPr>
                <w:rFonts w:hint="eastAsia" w:ascii="Times New Roman" w:hAnsi="Times New Roman" w:eastAsia="宋体"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HW08废矿物油与含矿物油废物中900-2</w:t>
            </w:r>
            <w:r>
              <w:rPr>
                <w:rFonts w:hint="eastAsia" w:eastAsia="宋体" w:cs="Times New Roman"/>
                <w:color w:val="auto"/>
                <w:kern w:val="0"/>
                <w:sz w:val="24"/>
                <w:szCs w:val="24"/>
                <w:lang w:val="en-US" w:eastAsia="zh-CN" w:bidi="ar"/>
              </w:rPr>
              <w:t>49</w:t>
            </w:r>
            <w:r>
              <w:rPr>
                <w:rFonts w:hint="default" w:ascii="Times New Roman" w:hAnsi="Times New Roman" w:eastAsia="宋体" w:cs="Times New Roman"/>
                <w:color w:val="auto"/>
                <w:kern w:val="0"/>
                <w:sz w:val="24"/>
                <w:szCs w:val="24"/>
                <w:lang w:val="en-US" w:eastAsia="zh-CN" w:bidi="ar"/>
              </w:rPr>
              <w:t>-08生产、销售、使用过程中产生的含矿物油的废物</w:t>
            </w:r>
            <w:r>
              <w:rPr>
                <w:rFonts w:hint="eastAsia" w:ascii="Times New Roman" w:hAnsi="Times New Roman" w:eastAsia="宋体"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。因此</w:t>
            </w:r>
            <w:r>
              <w:rPr>
                <w:rFonts w:hint="eastAsia" w:eastAsia="宋体" w:cs="Times New Roman"/>
                <w:color w:val="auto"/>
                <w:kern w:val="0"/>
                <w:sz w:val="24"/>
                <w:szCs w:val="24"/>
                <w:lang w:val="en-US" w:eastAsia="zh-CN" w:bidi="ar"/>
              </w:rPr>
              <w:t>废</w:t>
            </w:r>
            <w:r>
              <w:rPr>
                <w:rFonts w:hint="eastAsia" w:ascii="Times New Roman" w:hAnsi="Times New Roman" w:eastAsia="宋体" w:cs="Times New Roman"/>
                <w:color w:val="auto"/>
                <w:kern w:val="0"/>
                <w:sz w:val="24"/>
                <w:szCs w:val="24"/>
                <w:lang w:val="en-US" w:eastAsia="zh-CN" w:bidi="ar"/>
              </w:rPr>
              <w:t>润滑</w:t>
            </w:r>
            <w:r>
              <w:rPr>
                <w:rFonts w:hint="eastAsia" w:eastAsia="宋体" w:cs="Times New Roman"/>
                <w:color w:val="auto"/>
                <w:kern w:val="0"/>
                <w:sz w:val="24"/>
                <w:szCs w:val="24"/>
                <w:lang w:val="en-US" w:eastAsia="zh-CN" w:bidi="ar"/>
              </w:rPr>
              <w:t>油</w:t>
            </w:r>
            <w:r>
              <w:rPr>
                <w:rFonts w:hint="default" w:ascii="Times New Roman" w:hAnsi="Times New Roman" w:eastAsia="宋体" w:cs="Times New Roman"/>
                <w:color w:val="auto"/>
                <w:kern w:val="0"/>
                <w:sz w:val="24"/>
                <w:szCs w:val="24"/>
                <w:lang w:val="en-US" w:eastAsia="zh-CN" w:bidi="ar"/>
              </w:rPr>
              <w:t>必须交由具有危险废物处理资质的单位进行安全处置。</w:t>
            </w:r>
          </w:p>
          <w:p w14:paraId="3604EBE8">
            <w:pPr>
              <w:keepNext w:val="0"/>
              <w:keepLines w:val="0"/>
              <w:pageBreakBefore w:val="0"/>
              <w:kinsoku/>
              <w:wordWrap/>
              <w:overflowPunct/>
              <w:topLinePunct/>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sz w:val="24"/>
                <w:szCs w:val="24"/>
              </w:rPr>
              <w:t>废包装</w:t>
            </w:r>
            <w:r>
              <w:rPr>
                <w:rFonts w:hint="eastAsia"/>
                <w:sz w:val="24"/>
                <w:szCs w:val="24"/>
                <w:lang w:val="en-US" w:eastAsia="zh-CN"/>
              </w:rPr>
              <w:t>桶</w:t>
            </w:r>
            <w:r>
              <w:rPr>
                <w:rFonts w:hint="eastAsia"/>
                <w:sz w:val="24"/>
                <w:szCs w:val="24"/>
                <w:lang w:eastAsia="zh-CN"/>
              </w:rPr>
              <w:t>：</w:t>
            </w:r>
            <w:r>
              <w:rPr>
                <w:rFonts w:hint="eastAsia"/>
                <w:sz w:val="24"/>
                <w:szCs w:val="24"/>
                <w:lang w:val="en-US" w:eastAsia="zh-CN"/>
              </w:rPr>
              <w:t>本</w:t>
            </w:r>
            <w:r>
              <w:rPr>
                <w:rFonts w:hint="eastAsia"/>
                <w:sz w:val="24"/>
                <w:szCs w:val="24"/>
              </w:rPr>
              <w:t>项目材料包装</w:t>
            </w:r>
            <w:r>
              <w:rPr>
                <w:rFonts w:hint="eastAsia"/>
                <w:sz w:val="24"/>
                <w:szCs w:val="24"/>
                <w:lang w:val="en-US" w:eastAsia="zh-CN"/>
              </w:rPr>
              <w:t>桶</w:t>
            </w:r>
            <w:r>
              <w:rPr>
                <w:rFonts w:hint="eastAsia"/>
                <w:sz w:val="24"/>
                <w:szCs w:val="24"/>
              </w:rPr>
              <w:t>（约</w:t>
            </w:r>
            <w:r>
              <w:rPr>
                <w:rFonts w:hint="eastAsia"/>
                <w:sz w:val="24"/>
                <w:szCs w:val="24"/>
                <w:lang w:val="en-US" w:eastAsia="zh-CN"/>
              </w:rPr>
              <w:t>1</w:t>
            </w:r>
            <w:r>
              <w:rPr>
                <w:rFonts w:hint="eastAsia"/>
                <w:sz w:val="24"/>
                <w:szCs w:val="24"/>
              </w:rPr>
              <w:t>.</w:t>
            </w:r>
            <w:r>
              <w:rPr>
                <w:rFonts w:hint="eastAsia"/>
                <w:sz w:val="24"/>
                <w:szCs w:val="24"/>
                <w:lang w:val="en-US" w:eastAsia="zh-CN"/>
              </w:rPr>
              <w:t>5</w:t>
            </w:r>
            <w:r>
              <w:rPr>
                <w:rFonts w:hint="eastAsia"/>
                <w:sz w:val="24"/>
                <w:szCs w:val="24"/>
              </w:rPr>
              <w:t>t</w:t>
            </w:r>
            <w:r>
              <w:rPr>
                <w:sz w:val="24"/>
                <w:szCs w:val="24"/>
              </w:rPr>
              <w:t>/a</w:t>
            </w:r>
            <w:r>
              <w:rPr>
                <w:rFonts w:hint="eastAsia"/>
                <w:sz w:val="24"/>
                <w:szCs w:val="24"/>
              </w:rPr>
              <w:t>）集中收集后分类存放</w:t>
            </w:r>
            <w:r>
              <w:rPr>
                <w:rFonts w:hint="eastAsia"/>
                <w:sz w:val="24"/>
                <w:szCs w:val="24"/>
                <w:lang w:val="en-US" w:eastAsia="zh-CN"/>
              </w:rPr>
              <w:t>于危废贮存库</w:t>
            </w:r>
            <w:r>
              <w:rPr>
                <w:rFonts w:hint="eastAsia"/>
                <w:sz w:val="24"/>
                <w:szCs w:val="24"/>
              </w:rPr>
              <w:t>，定期</w:t>
            </w:r>
            <w:r>
              <w:rPr>
                <w:rFonts w:hint="default" w:ascii="Times New Roman" w:hAnsi="Times New Roman" w:eastAsia="宋体" w:cs="Times New Roman"/>
                <w:color w:val="auto"/>
                <w:kern w:val="0"/>
                <w:sz w:val="24"/>
                <w:szCs w:val="24"/>
                <w:lang w:val="en-US" w:eastAsia="zh-CN" w:bidi="ar"/>
              </w:rPr>
              <w:t>交由具有危险废物处理资质的单位</w:t>
            </w:r>
            <w:r>
              <w:rPr>
                <w:rFonts w:hint="eastAsia" w:cs="Times New Roman"/>
                <w:color w:val="auto"/>
                <w:kern w:val="0"/>
                <w:sz w:val="24"/>
                <w:szCs w:val="24"/>
                <w:lang w:val="en-US" w:eastAsia="zh-CN" w:bidi="ar"/>
              </w:rPr>
              <w:t>处理。</w:t>
            </w:r>
          </w:p>
          <w:p w14:paraId="4BD9C90C">
            <w:pPr>
              <w:pStyle w:val="36"/>
              <w:keepNext w:val="0"/>
              <w:keepLines w:val="0"/>
              <w:pageBreakBefore w:val="0"/>
              <w:kinsoku/>
              <w:wordWrap/>
              <w:overflowPunct/>
              <w:autoSpaceDE/>
              <w:autoSpaceDN/>
              <w:bidi w:val="0"/>
              <w:adjustRightInd/>
              <w:snapToGrid/>
              <w:spacing w:after="0" w:line="360" w:lineRule="auto"/>
              <w:ind w:firstLine="480" w:firstLineChars="200"/>
              <w:jc w:val="left"/>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（3）废活性炭</w:t>
            </w:r>
          </w:p>
          <w:p w14:paraId="13B8DE6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000000"/>
                <w:sz w:val="24"/>
                <w:szCs w:val="24"/>
                <w:u w:val="none" w:color="auto"/>
                <w:lang w:val="en-US" w:eastAsia="zh-CN"/>
              </w:rPr>
            </w:pPr>
            <w:r>
              <w:rPr>
                <w:rFonts w:hint="eastAsia" w:ascii="Times New Roman" w:hAnsi="Times New Roman" w:eastAsia="宋体" w:cs="Times New Roman"/>
                <w:b w:val="0"/>
                <w:bCs w:val="0"/>
                <w:color w:val="000000"/>
                <w:sz w:val="24"/>
                <w:szCs w:val="24"/>
                <w:u w:val="none" w:color="auto"/>
                <w:lang w:val="en-US" w:eastAsia="zh-CN"/>
              </w:rPr>
              <w:t>本项目废活性炭主要产生于有机废气处理过程中。本项目废活性炭产生量为</w:t>
            </w:r>
            <w:r>
              <w:rPr>
                <w:rFonts w:hint="eastAsia" w:ascii="Times New Roman" w:hAnsi="Times New Roman" w:cs="Times New Roman"/>
                <w:b w:val="0"/>
                <w:bCs w:val="0"/>
                <w:color w:val="000000"/>
                <w:sz w:val="24"/>
                <w:szCs w:val="24"/>
                <w:u w:val="none" w:color="auto"/>
                <w:lang w:val="en-US" w:eastAsia="zh-CN"/>
              </w:rPr>
              <w:t>1.75</w:t>
            </w:r>
            <w:r>
              <w:rPr>
                <w:rFonts w:hint="eastAsia" w:ascii="Times New Roman" w:hAnsi="Times New Roman" w:eastAsia="宋体" w:cs="Times New Roman"/>
                <w:b w:val="0"/>
                <w:bCs w:val="0"/>
                <w:color w:val="000000"/>
                <w:sz w:val="24"/>
                <w:szCs w:val="24"/>
                <w:u w:val="none" w:color="auto"/>
                <w:lang w:val="en-US" w:eastAsia="zh-CN"/>
              </w:rPr>
              <w:t>t/a，收集后危废间暂存，交由有资质的单位拉运处置。废活性炭属于《国家危险废物名录》（202</w:t>
            </w:r>
            <w:r>
              <w:rPr>
                <w:rFonts w:hint="eastAsia" w:ascii="Times New Roman" w:hAnsi="Times New Roman" w:cs="Times New Roman"/>
                <w:b w:val="0"/>
                <w:bCs w:val="0"/>
                <w:color w:val="000000"/>
                <w:sz w:val="24"/>
                <w:szCs w:val="24"/>
                <w:u w:val="none" w:color="auto"/>
                <w:lang w:val="en-US" w:eastAsia="zh-CN"/>
              </w:rPr>
              <w:t>5</w:t>
            </w:r>
            <w:r>
              <w:rPr>
                <w:rFonts w:hint="eastAsia" w:ascii="Times New Roman" w:hAnsi="Times New Roman" w:eastAsia="宋体" w:cs="Times New Roman"/>
                <w:b w:val="0"/>
                <w:bCs w:val="0"/>
                <w:color w:val="000000"/>
                <w:sz w:val="24"/>
                <w:szCs w:val="24"/>
                <w:u w:val="none" w:color="auto"/>
                <w:lang w:val="en-US" w:eastAsia="zh-CN"/>
              </w:rPr>
              <w:t>版），HW49其他废物，危险废物代码：900-039-49。</w:t>
            </w:r>
          </w:p>
          <w:p w14:paraId="5D94BB26">
            <w:pPr>
              <w:pStyle w:val="36"/>
              <w:adjustRightInd/>
              <w:snapToGrid/>
              <w:spacing w:after="0"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本项目固废产生情况见下表：</w:t>
            </w:r>
          </w:p>
          <w:p w14:paraId="32009905">
            <w:pPr>
              <w:jc w:val="center"/>
            </w:pPr>
            <w:r>
              <w:rPr>
                <w:rFonts w:hint="eastAsia"/>
                <w:b/>
                <w:bCs/>
              </w:rPr>
              <w:t>表4-1</w:t>
            </w:r>
            <w:r>
              <w:rPr>
                <w:rFonts w:hint="eastAsia"/>
                <w:b/>
                <w:bCs/>
                <w:lang w:val="en-US" w:eastAsia="zh-CN"/>
              </w:rPr>
              <w:t xml:space="preserve">3 </w:t>
            </w:r>
            <w:r>
              <w:rPr>
                <w:rFonts w:hint="eastAsia"/>
                <w:b/>
                <w:bCs/>
              </w:rPr>
              <w:t xml:space="preserve">   固废产生情况表</w:t>
            </w:r>
          </w:p>
          <w:tbl>
            <w:tblPr>
              <w:tblStyle w:val="24"/>
              <w:tblW w:w="912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367"/>
              <w:gridCol w:w="1900"/>
              <w:gridCol w:w="1064"/>
              <w:gridCol w:w="1704"/>
              <w:gridCol w:w="2192"/>
            </w:tblGrid>
            <w:tr w14:paraId="6A2B28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7" w:type="dxa"/>
                  <w:tcBorders>
                    <w:tl2br w:val="nil"/>
                    <w:tr2bl w:val="nil"/>
                  </w:tcBorders>
                  <w:noWrap/>
                  <w:vAlign w:val="center"/>
                </w:tcPr>
                <w:p w14:paraId="23091405">
                  <w:pPr>
                    <w:jc w:val="center"/>
                    <w:rPr>
                      <w:b/>
                      <w:bCs/>
                    </w:rPr>
                  </w:pPr>
                  <w:r>
                    <w:rPr>
                      <w:rFonts w:hint="eastAsia"/>
                      <w:b/>
                      <w:bCs/>
                    </w:rPr>
                    <w:t>类别</w:t>
                  </w:r>
                </w:p>
              </w:tc>
              <w:tc>
                <w:tcPr>
                  <w:tcW w:w="1367" w:type="dxa"/>
                  <w:tcBorders>
                    <w:tl2br w:val="nil"/>
                    <w:tr2bl w:val="nil"/>
                  </w:tcBorders>
                  <w:noWrap/>
                  <w:vAlign w:val="center"/>
                </w:tcPr>
                <w:p w14:paraId="101D1907">
                  <w:pPr>
                    <w:jc w:val="center"/>
                    <w:rPr>
                      <w:b/>
                      <w:bCs/>
                    </w:rPr>
                  </w:pPr>
                  <w:r>
                    <w:rPr>
                      <w:rFonts w:hint="eastAsia"/>
                      <w:b/>
                      <w:bCs/>
                    </w:rPr>
                    <w:t>排放源</w:t>
                  </w:r>
                </w:p>
              </w:tc>
              <w:tc>
                <w:tcPr>
                  <w:tcW w:w="1900" w:type="dxa"/>
                  <w:tcBorders>
                    <w:tl2br w:val="nil"/>
                    <w:tr2bl w:val="nil"/>
                  </w:tcBorders>
                  <w:noWrap/>
                  <w:vAlign w:val="center"/>
                </w:tcPr>
                <w:p w14:paraId="2B2B9A42">
                  <w:pPr>
                    <w:jc w:val="center"/>
                    <w:rPr>
                      <w:b/>
                      <w:bCs/>
                    </w:rPr>
                  </w:pPr>
                  <w:r>
                    <w:rPr>
                      <w:rFonts w:hint="eastAsia"/>
                      <w:b/>
                      <w:bCs/>
                    </w:rPr>
                    <w:t>污染物名称</w:t>
                  </w:r>
                </w:p>
              </w:tc>
              <w:tc>
                <w:tcPr>
                  <w:tcW w:w="1064" w:type="dxa"/>
                  <w:tcBorders>
                    <w:tl2br w:val="nil"/>
                    <w:tr2bl w:val="nil"/>
                  </w:tcBorders>
                  <w:noWrap/>
                  <w:vAlign w:val="center"/>
                </w:tcPr>
                <w:p w14:paraId="2E787823">
                  <w:pPr>
                    <w:jc w:val="center"/>
                    <w:rPr>
                      <w:b/>
                      <w:bCs/>
                    </w:rPr>
                  </w:pPr>
                  <w:r>
                    <w:rPr>
                      <w:rFonts w:hint="eastAsia"/>
                      <w:b/>
                      <w:bCs/>
                    </w:rPr>
                    <w:t>产生量（</w:t>
                  </w:r>
                  <w:r>
                    <w:rPr>
                      <w:b/>
                      <w:bCs/>
                    </w:rPr>
                    <w:t>t/a</w:t>
                  </w:r>
                  <w:r>
                    <w:rPr>
                      <w:rFonts w:hint="eastAsia"/>
                      <w:b/>
                      <w:bCs/>
                    </w:rPr>
                    <w:t>）</w:t>
                  </w:r>
                </w:p>
              </w:tc>
              <w:tc>
                <w:tcPr>
                  <w:tcW w:w="1704" w:type="dxa"/>
                  <w:tcBorders>
                    <w:tl2br w:val="nil"/>
                    <w:tr2bl w:val="nil"/>
                  </w:tcBorders>
                  <w:noWrap/>
                  <w:vAlign w:val="center"/>
                </w:tcPr>
                <w:p w14:paraId="5763B8FE">
                  <w:pPr>
                    <w:jc w:val="center"/>
                    <w:rPr>
                      <w:b/>
                      <w:bCs/>
                    </w:rPr>
                  </w:pPr>
                  <w:r>
                    <w:rPr>
                      <w:rFonts w:hint="eastAsia"/>
                      <w:b/>
                      <w:bCs/>
                    </w:rPr>
                    <w:t>产生途径</w:t>
                  </w:r>
                </w:p>
              </w:tc>
              <w:tc>
                <w:tcPr>
                  <w:tcW w:w="2192" w:type="dxa"/>
                  <w:tcBorders>
                    <w:tl2br w:val="nil"/>
                    <w:tr2bl w:val="nil"/>
                  </w:tcBorders>
                  <w:noWrap/>
                  <w:vAlign w:val="center"/>
                </w:tcPr>
                <w:p w14:paraId="41C89717">
                  <w:pPr>
                    <w:jc w:val="center"/>
                    <w:rPr>
                      <w:b/>
                      <w:bCs/>
                    </w:rPr>
                  </w:pPr>
                  <w:r>
                    <w:rPr>
                      <w:rFonts w:hint="eastAsia"/>
                      <w:b/>
                      <w:bCs/>
                    </w:rPr>
                    <w:t>处置途径</w:t>
                  </w:r>
                </w:p>
              </w:tc>
            </w:tr>
            <w:tr w14:paraId="6D57C10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97" w:type="dxa"/>
                  <w:vMerge w:val="restart"/>
                  <w:tcBorders>
                    <w:tl2br w:val="nil"/>
                    <w:tr2bl w:val="nil"/>
                  </w:tcBorders>
                  <w:noWrap/>
                  <w:vAlign w:val="center"/>
                </w:tcPr>
                <w:p w14:paraId="63C7A399">
                  <w:pPr>
                    <w:jc w:val="center"/>
                  </w:pPr>
                  <w:r>
                    <w:rPr>
                      <w:rFonts w:hint="eastAsia"/>
                    </w:rPr>
                    <w:t>生产固废</w:t>
                  </w:r>
                </w:p>
              </w:tc>
              <w:tc>
                <w:tcPr>
                  <w:tcW w:w="1367" w:type="dxa"/>
                  <w:tcBorders>
                    <w:tl2br w:val="nil"/>
                    <w:tr2bl w:val="nil"/>
                  </w:tcBorders>
                  <w:noWrap/>
                  <w:vAlign w:val="center"/>
                </w:tcPr>
                <w:p w14:paraId="52643137">
                  <w:pPr>
                    <w:jc w:val="center"/>
                    <w:rPr>
                      <w:rFonts w:hint="eastAsia" w:eastAsia="宋体"/>
                      <w:lang w:val="en-US" w:eastAsia="zh-CN"/>
                    </w:rPr>
                  </w:pPr>
                  <w:r>
                    <w:rPr>
                      <w:rFonts w:hint="eastAsia"/>
                    </w:rPr>
                    <w:t>生产</w:t>
                  </w:r>
                  <w:r>
                    <w:rPr>
                      <w:rFonts w:hint="eastAsia"/>
                      <w:lang w:val="en-US" w:eastAsia="zh-CN"/>
                    </w:rPr>
                    <w:t>车间</w:t>
                  </w:r>
                </w:p>
              </w:tc>
              <w:tc>
                <w:tcPr>
                  <w:tcW w:w="1900" w:type="dxa"/>
                  <w:tcBorders>
                    <w:tl2br w:val="nil"/>
                    <w:tr2bl w:val="nil"/>
                  </w:tcBorders>
                  <w:noWrap/>
                  <w:vAlign w:val="center"/>
                </w:tcPr>
                <w:p w14:paraId="55079F92">
                  <w:pPr>
                    <w:jc w:val="center"/>
                  </w:pPr>
                  <w:r>
                    <w:rPr>
                      <w:rFonts w:hint="eastAsia"/>
                    </w:rPr>
                    <w:t>收集粉尘</w:t>
                  </w:r>
                </w:p>
              </w:tc>
              <w:tc>
                <w:tcPr>
                  <w:tcW w:w="1064" w:type="dxa"/>
                  <w:tcBorders>
                    <w:tl2br w:val="nil"/>
                    <w:tr2bl w:val="nil"/>
                  </w:tcBorders>
                  <w:noWrap/>
                  <w:vAlign w:val="center"/>
                </w:tcPr>
                <w:p w14:paraId="1BF756B7">
                  <w:pPr>
                    <w:jc w:val="center"/>
                    <w:rPr>
                      <w:rFonts w:hint="default" w:eastAsia="宋体"/>
                      <w:lang w:val="en-US" w:eastAsia="zh-CN"/>
                    </w:rPr>
                  </w:pPr>
                  <w:r>
                    <w:rPr>
                      <w:rFonts w:hint="eastAsia"/>
                      <w:lang w:val="en-US" w:eastAsia="zh-CN"/>
                    </w:rPr>
                    <w:t>23.4</w:t>
                  </w:r>
                </w:p>
              </w:tc>
              <w:tc>
                <w:tcPr>
                  <w:tcW w:w="1704" w:type="dxa"/>
                  <w:tcBorders>
                    <w:tl2br w:val="nil"/>
                    <w:tr2bl w:val="nil"/>
                  </w:tcBorders>
                  <w:noWrap/>
                  <w:vAlign w:val="center"/>
                </w:tcPr>
                <w:p w14:paraId="0FC10058">
                  <w:pPr>
                    <w:jc w:val="center"/>
                  </w:pPr>
                  <w:r>
                    <w:rPr>
                      <w:rFonts w:hint="eastAsia"/>
                      <w:lang w:val="en-US" w:eastAsia="zh-CN"/>
                    </w:rPr>
                    <w:t>粉尘收集</w:t>
                  </w:r>
                  <w:r>
                    <w:rPr>
                      <w:rFonts w:hint="eastAsia"/>
                    </w:rPr>
                    <w:t>过程</w:t>
                  </w:r>
                </w:p>
              </w:tc>
              <w:tc>
                <w:tcPr>
                  <w:tcW w:w="2192" w:type="dxa"/>
                  <w:tcBorders>
                    <w:tl2br w:val="nil"/>
                    <w:tr2bl w:val="nil"/>
                  </w:tcBorders>
                  <w:noWrap/>
                  <w:vAlign w:val="center"/>
                </w:tcPr>
                <w:p w14:paraId="64F33777">
                  <w:pPr>
                    <w:jc w:val="center"/>
                    <w:rPr>
                      <w:color w:val="C00000"/>
                    </w:rPr>
                  </w:pPr>
                  <w:r>
                    <w:rPr>
                      <w:rFonts w:hint="eastAsia"/>
                    </w:rPr>
                    <w:t>回用于生产</w:t>
                  </w:r>
                </w:p>
              </w:tc>
            </w:tr>
            <w:tr w14:paraId="47BA234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97" w:type="dxa"/>
                  <w:vMerge w:val="continue"/>
                  <w:tcBorders>
                    <w:tl2br w:val="nil"/>
                    <w:tr2bl w:val="nil"/>
                  </w:tcBorders>
                  <w:noWrap/>
                  <w:vAlign w:val="center"/>
                </w:tcPr>
                <w:p w14:paraId="1C57C76F">
                  <w:pPr>
                    <w:jc w:val="center"/>
                  </w:pPr>
                </w:p>
              </w:tc>
              <w:tc>
                <w:tcPr>
                  <w:tcW w:w="1367" w:type="dxa"/>
                  <w:tcBorders>
                    <w:tl2br w:val="nil"/>
                    <w:tr2bl w:val="nil"/>
                  </w:tcBorders>
                  <w:noWrap/>
                  <w:vAlign w:val="center"/>
                </w:tcPr>
                <w:p w14:paraId="6DD7A928">
                  <w:pPr>
                    <w:jc w:val="center"/>
                    <w:rPr>
                      <w:rFonts w:hint="eastAsia" w:eastAsia="宋体"/>
                      <w:lang w:eastAsia="zh-CN"/>
                    </w:rPr>
                  </w:pPr>
                  <w:r>
                    <w:rPr>
                      <w:rFonts w:hint="eastAsia"/>
                      <w:lang w:val="en-US" w:eastAsia="zh-CN"/>
                    </w:rPr>
                    <w:t>生产车间</w:t>
                  </w:r>
                </w:p>
              </w:tc>
              <w:tc>
                <w:tcPr>
                  <w:tcW w:w="1900" w:type="dxa"/>
                  <w:tcBorders>
                    <w:tl2br w:val="nil"/>
                    <w:tr2bl w:val="nil"/>
                  </w:tcBorders>
                  <w:noWrap/>
                  <w:vAlign w:val="center"/>
                </w:tcPr>
                <w:p w14:paraId="0EA9AC7B">
                  <w:pPr>
                    <w:jc w:val="center"/>
                    <w:rPr>
                      <w:rFonts w:hint="default" w:eastAsia="宋体"/>
                      <w:lang w:val="en-US" w:eastAsia="zh-CN"/>
                    </w:rPr>
                  </w:pPr>
                  <w:r>
                    <w:rPr>
                      <w:rFonts w:hint="eastAsia"/>
                      <w:lang w:val="en-US" w:eastAsia="zh-CN"/>
                    </w:rPr>
                    <w:t>边角料、不合格品</w:t>
                  </w:r>
                </w:p>
              </w:tc>
              <w:tc>
                <w:tcPr>
                  <w:tcW w:w="1064" w:type="dxa"/>
                  <w:tcBorders>
                    <w:tl2br w:val="nil"/>
                    <w:tr2bl w:val="nil"/>
                  </w:tcBorders>
                  <w:noWrap/>
                  <w:vAlign w:val="center"/>
                </w:tcPr>
                <w:p w14:paraId="56514523">
                  <w:pPr>
                    <w:jc w:val="center"/>
                    <w:rPr>
                      <w:rFonts w:hint="default" w:eastAsia="宋体"/>
                      <w:lang w:val="en-US" w:eastAsia="zh-CN"/>
                    </w:rPr>
                  </w:pPr>
                  <w:r>
                    <w:rPr>
                      <w:rFonts w:hint="eastAsia"/>
                      <w:lang w:val="en-US" w:eastAsia="zh-CN"/>
                    </w:rPr>
                    <w:t>59.4</w:t>
                  </w:r>
                </w:p>
              </w:tc>
              <w:tc>
                <w:tcPr>
                  <w:tcW w:w="1704" w:type="dxa"/>
                  <w:tcBorders>
                    <w:tl2br w:val="nil"/>
                    <w:tr2bl w:val="nil"/>
                  </w:tcBorders>
                  <w:noWrap/>
                  <w:vAlign w:val="center"/>
                </w:tcPr>
                <w:p w14:paraId="72E4D55D">
                  <w:pPr>
                    <w:jc w:val="center"/>
                  </w:pPr>
                  <w:r>
                    <w:rPr>
                      <w:rFonts w:hint="eastAsia"/>
                      <w:lang w:val="en-US" w:eastAsia="zh-CN"/>
                    </w:rPr>
                    <w:t>生产</w:t>
                  </w:r>
                  <w:r>
                    <w:rPr>
                      <w:rFonts w:hint="eastAsia"/>
                    </w:rPr>
                    <w:t>过程</w:t>
                  </w:r>
                </w:p>
              </w:tc>
              <w:tc>
                <w:tcPr>
                  <w:tcW w:w="2192" w:type="dxa"/>
                  <w:tcBorders>
                    <w:tl2br w:val="nil"/>
                    <w:tr2bl w:val="nil"/>
                  </w:tcBorders>
                  <w:noWrap/>
                  <w:vAlign w:val="center"/>
                </w:tcPr>
                <w:p w14:paraId="0A5A2A2A">
                  <w:pPr>
                    <w:jc w:val="center"/>
                  </w:pPr>
                  <w:r>
                    <w:rPr>
                      <w:rFonts w:hint="eastAsia"/>
                    </w:rPr>
                    <w:t>回用于生产</w:t>
                  </w:r>
                </w:p>
              </w:tc>
            </w:tr>
            <w:tr w14:paraId="35142E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97" w:type="dxa"/>
                  <w:vMerge w:val="continue"/>
                  <w:tcBorders>
                    <w:tl2br w:val="nil"/>
                    <w:tr2bl w:val="nil"/>
                  </w:tcBorders>
                  <w:noWrap/>
                  <w:vAlign w:val="center"/>
                </w:tcPr>
                <w:p w14:paraId="7B522B3B">
                  <w:pPr>
                    <w:jc w:val="center"/>
                  </w:pPr>
                </w:p>
              </w:tc>
              <w:tc>
                <w:tcPr>
                  <w:tcW w:w="1367" w:type="dxa"/>
                  <w:tcBorders>
                    <w:tl2br w:val="nil"/>
                    <w:tr2bl w:val="nil"/>
                  </w:tcBorders>
                  <w:noWrap/>
                  <w:vAlign w:val="center"/>
                </w:tcPr>
                <w:p w14:paraId="47294C20">
                  <w:pPr>
                    <w:jc w:val="center"/>
                    <w:rPr>
                      <w:rFonts w:hint="eastAsia"/>
                    </w:rPr>
                  </w:pPr>
                  <w:r>
                    <w:rPr>
                      <w:rFonts w:hint="eastAsia"/>
                      <w:lang w:val="en-US" w:eastAsia="zh-CN"/>
                    </w:rPr>
                    <w:t>钢筋调直</w:t>
                  </w:r>
                </w:p>
              </w:tc>
              <w:tc>
                <w:tcPr>
                  <w:tcW w:w="1900" w:type="dxa"/>
                  <w:tcBorders>
                    <w:tl2br w:val="nil"/>
                    <w:tr2bl w:val="nil"/>
                  </w:tcBorders>
                  <w:noWrap/>
                  <w:vAlign w:val="center"/>
                </w:tcPr>
                <w:p w14:paraId="7E6D0FD1">
                  <w:pPr>
                    <w:jc w:val="center"/>
                    <w:rPr>
                      <w:rFonts w:hint="eastAsia" w:eastAsia="宋体"/>
                      <w:lang w:val="en-US" w:eastAsia="zh-CN"/>
                    </w:rPr>
                  </w:pPr>
                  <w:r>
                    <w:rPr>
                      <w:rFonts w:hint="eastAsia"/>
                    </w:rPr>
                    <w:t>废</w:t>
                  </w:r>
                  <w:r>
                    <w:rPr>
                      <w:rFonts w:hint="eastAsia"/>
                      <w:lang w:val="en-US" w:eastAsia="zh-CN"/>
                    </w:rPr>
                    <w:t>钢筋</w:t>
                  </w:r>
                </w:p>
              </w:tc>
              <w:tc>
                <w:tcPr>
                  <w:tcW w:w="1064" w:type="dxa"/>
                  <w:tcBorders>
                    <w:tl2br w:val="nil"/>
                    <w:tr2bl w:val="nil"/>
                  </w:tcBorders>
                  <w:noWrap/>
                  <w:vAlign w:val="center"/>
                </w:tcPr>
                <w:p w14:paraId="462C8101">
                  <w:pPr>
                    <w:jc w:val="center"/>
                    <w:rPr>
                      <w:rFonts w:hint="eastAsia" w:eastAsia="宋体"/>
                      <w:lang w:eastAsia="zh-CN"/>
                    </w:rPr>
                  </w:pPr>
                  <w:r>
                    <w:rPr>
                      <w:rFonts w:hint="eastAsia"/>
                    </w:rPr>
                    <w:t>1</w:t>
                  </w:r>
                  <w:r>
                    <w:rPr>
                      <w:rFonts w:hint="eastAsia"/>
                      <w:lang w:val="en-US" w:eastAsia="zh-CN"/>
                    </w:rPr>
                    <w:t>0</w:t>
                  </w:r>
                </w:p>
              </w:tc>
              <w:tc>
                <w:tcPr>
                  <w:tcW w:w="1704" w:type="dxa"/>
                  <w:tcBorders>
                    <w:tl2br w:val="nil"/>
                    <w:tr2bl w:val="nil"/>
                  </w:tcBorders>
                  <w:noWrap/>
                  <w:vAlign w:val="center"/>
                </w:tcPr>
                <w:p w14:paraId="6D827130">
                  <w:pPr>
                    <w:jc w:val="center"/>
                    <w:rPr>
                      <w:rFonts w:hint="eastAsia"/>
                    </w:rPr>
                  </w:pPr>
                  <w:r>
                    <w:rPr>
                      <w:rFonts w:hint="eastAsia"/>
                      <w:lang w:val="en-US" w:eastAsia="zh-CN"/>
                    </w:rPr>
                    <w:t>钢筋调直</w:t>
                  </w:r>
                  <w:r>
                    <w:rPr>
                      <w:rFonts w:hint="eastAsia"/>
                    </w:rPr>
                    <w:t>过程</w:t>
                  </w:r>
                </w:p>
              </w:tc>
              <w:tc>
                <w:tcPr>
                  <w:tcW w:w="2192" w:type="dxa"/>
                  <w:tcBorders>
                    <w:tl2br w:val="nil"/>
                    <w:tr2bl w:val="nil"/>
                  </w:tcBorders>
                  <w:noWrap/>
                  <w:vAlign w:val="center"/>
                </w:tcPr>
                <w:p w14:paraId="71702AD6">
                  <w:pPr>
                    <w:jc w:val="center"/>
                    <w:rPr>
                      <w:rFonts w:hint="eastAsia" w:eastAsia="宋体"/>
                      <w:lang w:eastAsia="zh-CN"/>
                    </w:rPr>
                  </w:pPr>
                  <w:r>
                    <w:rPr>
                      <w:rFonts w:hint="eastAsia"/>
                    </w:rPr>
                    <w:t>分类定点存放，定期由</w:t>
                  </w:r>
                  <w:r>
                    <w:rPr>
                      <w:rFonts w:hint="eastAsia"/>
                      <w:lang w:val="en-US" w:eastAsia="zh-CN"/>
                    </w:rPr>
                    <w:t>外售</w:t>
                  </w:r>
                </w:p>
              </w:tc>
            </w:tr>
            <w:tr w14:paraId="3F1CDC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97" w:type="dxa"/>
                  <w:tcBorders>
                    <w:tl2br w:val="nil"/>
                    <w:tr2bl w:val="nil"/>
                  </w:tcBorders>
                  <w:noWrap/>
                  <w:vAlign w:val="center"/>
                </w:tcPr>
                <w:p w14:paraId="120E08F3">
                  <w:pPr>
                    <w:jc w:val="center"/>
                  </w:pPr>
                  <w:r>
                    <w:rPr>
                      <w:rFonts w:hint="eastAsia"/>
                    </w:rPr>
                    <w:t>生活垃圾</w:t>
                  </w:r>
                </w:p>
              </w:tc>
              <w:tc>
                <w:tcPr>
                  <w:tcW w:w="1367" w:type="dxa"/>
                  <w:tcBorders>
                    <w:tl2br w:val="nil"/>
                    <w:tr2bl w:val="nil"/>
                  </w:tcBorders>
                  <w:noWrap/>
                  <w:vAlign w:val="center"/>
                </w:tcPr>
                <w:p w14:paraId="5E1E3271">
                  <w:pPr>
                    <w:jc w:val="center"/>
                  </w:pPr>
                  <w:r>
                    <w:t>办公及生活</w:t>
                  </w:r>
                  <w:r>
                    <w:rPr>
                      <w:rFonts w:hint="eastAsia"/>
                    </w:rPr>
                    <w:t>场所</w:t>
                  </w:r>
                </w:p>
              </w:tc>
              <w:tc>
                <w:tcPr>
                  <w:tcW w:w="1900" w:type="dxa"/>
                  <w:tcBorders>
                    <w:tl2br w:val="nil"/>
                    <w:tr2bl w:val="nil"/>
                  </w:tcBorders>
                  <w:noWrap/>
                  <w:vAlign w:val="center"/>
                </w:tcPr>
                <w:p w14:paraId="6F35420D">
                  <w:pPr>
                    <w:jc w:val="center"/>
                  </w:pPr>
                  <w:r>
                    <w:rPr>
                      <w:rFonts w:hint="eastAsia"/>
                    </w:rPr>
                    <w:t>生活垃圾</w:t>
                  </w:r>
                </w:p>
              </w:tc>
              <w:tc>
                <w:tcPr>
                  <w:tcW w:w="1064" w:type="dxa"/>
                  <w:tcBorders>
                    <w:tl2br w:val="nil"/>
                    <w:tr2bl w:val="nil"/>
                  </w:tcBorders>
                  <w:noWrap/>
                  <w:vAlign w:val="center"/>
                </w:tcPr>
                <w:p w14:paraId="555B86CD">
                  <w:pPr>
                    <w:jc w:val="center"/>
                    <w:rPr>
                      <w:rFonts w:hint="default" w:eastAsia="宋体"/>
                      <w:lang w:val="en-US" w:eastAsia="zh-CN"/>
                    </w:rPr>
                  </w:pPr>
                  <w:r>
                    <w:rPr>
                      <w:rFonts w:hint="eastAsia"/>
                    </w:rPr>
                    <w:t>1</w:t>
                  </w:r>
                  <w:r>
                    <w:rPr>
                      <w:rFonts w:hint="eastAsia"/>
                      <w:lang w:val="en-US" w:eastAsia="zh-CN"/>
                    </w:rPr>
                    <w:t>2.72</w:t>
                  </w:r>
                </w:p>
              </w:tc>
              <w:tc>
                <w:tcPr>
                  <w:tcW w:w="1704" w:type="dxa"/>
                  <w:tcBorders>
                    <w:tl2br w:val="nil"/>
                    <w:tr2bl w:val="nil"/>
                  </w:tcBorders>
                  <w:noWrap/>
                  <w:vAlign w:val="center"/>
                </w:tcPr>
                <w:p w14:paraId="41BD3C03">
                  <w:pPr>
                    <w:jc w:val="center"/>
                  </w:pPr>
                  <w:r>
                    <w:rPr>
                      <w:rFonts w:hint="eastAsia"/>
                    </w:rPr>
                    <w:t>办公生活过程</w:t>
                  </w:r>
                </w:p>
              </w:tc>
              <w:tc>
                <w:tcPr>
                  <w:tcW w:w="2192" w:type="dxa"/>
                  <w:tcBorders>
                    <w:tl2br w:val="nil"/>
                    <w:tr2bl w:val="nil"/>
                  </w:tcBorders>
                  <w:noWrap/>
                  <w:vAlign w:val="center"/>
                </w:tcPr>
                <w:p w14:paraId="0B5AA28C">
                  <w:pPr>
                    <w:jc w:val="center"/>
                  </w:pPr>
                  <w:r>
                    <w:rPr>
                      <w:rFonts w:hint="eastAsia"/>
                    </w:rPr>
                    <w:t>统一收集后</w:t>
                  </w:r>
                  <w:r>
                    <w:t>委托环卫部门统一清运处理</w:t>
                  </w:r>
                </w:p>
              </w:tc>
            </w:tr>
            <w:tr w14:paraId="3E494D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897" w:type="dxa"/>
                  <w:vMerge w:val="restart"/>
                  <w:tcBorders>
                    <w:tl2br w:val="nil"/>
                    <w:tr2bl w:val="nil"/>
                  </w:tcBorders>
                  <w:noWrap/>
                  <w:vAlign w:val="center"/>
                </w:tcPr>
                <w:p w14:paraId="27A58951">
                  <w:pPr>
                    <w:keepNext w:val="0"/>
                    <w:keepLines w:val="0"/>
                    <w:pageBreakBefore w:val="0"/>
                    <w:widowControl w:val="0"/>
                    <w:kinsoku/>
                    <w:wordWrap/>
                    <w:overflowPunct/>
                    <w:topLinePunct w:val="0"/>
                    <w:autoSpaceDE/>
                    <w:autoSpaceDN/>
                    <w:bidi w:val="0"/>
                    <w:adjustRightInd/>
                    <w:snapToGrid/>
                    <w:jc w:val="center"/>
                    <w:textAlignment w:val="auto"/>
                    <w:rPr>
                      <w:rFonts w:hint="eastAsia"/>
                    </w:rPr>
                  </w:pPr>
                  <w:r>
                    <w:rPr>
                      <w:rFonts w:hint="eastAsia"/>
                      <w:color w:val="auto"/>
                      <w:sz w:val="21"/>
                      <w:szCs w:val="21"/>
                      <w:lang w:val="en-US" w:eastAsia="zh-CN"/>
                    </w:rPr>
                    <w:t>危险废物</w:t>
                  </w:r>
                </w:p>
              </w:tc>
              <w:tc>
                <w:tcPr>
                  <w:tcW w:w="1367" w:type="dxa"/>
                  <w:tcBorders>
                    <w:tl2br w:val="nil"/>
                    <w:tr2bl w:val="nil"/>
                  </w:tcBorders>
                  <w:noWrap/>
                  <w:vAlign w:val="center"/>
                </w:tcPr>
                <w:p w14:paraId="1ACC1187">
                  <w:pPr>
                    <w:keepNext w:val="0"/>
                    <w:keepLines w:val="0"/>
                    <w:pageBreakBefore w:val="0"/>
                    <w:widowControl w:val="0"/>
                    <w:kinsoku/>
                    <w:wordWrap/>
                    <w:overflowPunct/>
                    <w:topLinePunct w:val="0"/>
                    <w:autoSpaceDE/>
                    <w:autoSpaceDN/>
                    <w:bidi w:val="0"/>
                    <w:adjustRightInd/>
                    <w:snapToGrid/>
                    <w:jc w:val="center"/>
                    <w:textAlignment w:val="auto"/>
                  </w:pPr>
                  <w:r>
                    <w:rPr>
                      <w:rFonts w:hint="eastAsia"/>
                      <w:color w:val="auto"/>
                      <w:sz w:val="21"/>
                      <w:szCs w:val="21"/>
                      <w:lang w:val="en-US" w:eastAsia="zh-CN"/>
                    </w:rPr>
                    <w:t>设备维修过程</w:t>
                  </w:r>
                </w:p>
              </w:tc>
              <w:tc>
                <w:tcPr>
                  <w:tcW w:w="1900" w:type="dxa"/>
                  <w:tcBorders>
                    <w:tl2br w:val="nil"/>
                    <w:tr2bl w:val="nil"/>
                  </w:tcBorders>
                  <w:noWrap/>
                  <w:vAlign w:val="center"/>
                </w:tcPr>
                <w:p w14:paraId="434256F8">
                  <w:pPr>
                    <w:keepNext w:val="0"/>
                    <w:keepLines w:val="0"/>
                    <w:pageBreakBefore w:val="0"/>
                    <w:widowControl w:val="0"/>
                    <w:kinsoku/>
                    <w:wordWrap/>
                    <w:overflowPunct/>
                    <w:topLinePunct w:val="0"/>
                    <w:autoSpaceDE/>
                    <w:autoSpaceDN/>
                    <w:bidi w:val="0"/>
                    <w:adjustRightInd/>
                    <w:snapToGrid/>
                    <w:jc w:val="center"/>
                    <w:textAlignment w:val="auto"/>
                    <w:rPr>
                      <w:rFonts w:hint="eastAsia"/>
                    </w:rPr>
                  </w:pPr>
                  <w:r>
                    <w:rPr>
                      <w:rFonts w:hint="eastAsia" w:ascii="Times New Roman" w:hAnsi="Times New Roman" w:eastAsia="宋体" w:cs="Times New Roman"/>
                      <w:color w:val="auto"/>
                      <w:kern w:val="0"/>
                      <w:sz w:val="21"/>
                      <w:szCs w:val="21"/>
                      <w:lang w:val="en-US" w:eastAsia="zh-CN" w:bidi="ar"/>
                    </w:rPr>
                    <w:t>废</w:t>
                  </w:r>
                  <w:r>
                    <w:rPr>
                      <w:rFonts w:hint="eastAsia" w:cs="Times New Roman"/>
                      <w:color w:val="auto"/>
                      <w:kern w:val="0"/>
                      <w:sz w:val="21"/>
                      <w:szCs w:val="21"/>
                      <w:lang w:val="en-US" w:eastAsia="zh-CN" w:bidi="ar"/>
                    </w:rPr>
                    <w:t>机油</w:t>
                  </w:r>
                </w:p>
              </w:tc>
              <w:tc>
                <w:tcPr>
                  <w:tcW w:w="1064" w:type="dxa"/>
                  <w:tcBorders>
                    <w:tl2br w:val="nil"/>
                    <w:tr2bl w:val="nil"/>
                  </w:tcBorders>
                  <w:noWrap/>
                  <w:vAlign w:val="center"/>
                </w:tcPr>
                <w:p w14:paraId="245CCF38">
                  <w:pPr>
                    <w:keepNext w:val="0"/>
                    <w:keepLines w:val="0"/>
                    <w:pageBreakBefore w:val="0"/>
                    <w:widowControl w:val="0"/>
                    <w:kinsoku/>
                    <w:wordWrap/>
                    <w:overflowPunct/>
                    <w:topLinePunct w:val="0"/>
                    <w:autoSpaceDE/>
                    <w:autoSpaceDN/>
                    <w:bidi w:val="0"/>
                    <w:adjustRightInd/>
                    <w:snapToGrid/>
                    <w:jc w:val="center"/>
                    <w:textAlignment w:val="auto"/>
                    <w:rPr>
                      <w:rFonts w:hint="default"/>
                      <w:lang w:val="en-US"/>
                    </w:rPr>
                  </w:pPr>
                  <w:r>
                    <w:rPr>
                      <w:rFonts w:hint="eastAsia"/>
                      <w:color w:val="auto"/>
                      <w:sz w:val="21"/>
                      <w:szCs w:val="21"/>
                      <w:lang w:val="en-US" w:eastAsia="zh-CN"/>
                    </w:rPr>
                    <w:t>0.1</w:t>
                  </w:r>
                </w:p>
              </w:tc>
              <w:tc>
                <w:tcPr>
                  <w:tcW w:w="1704" w:type="dxa"/>
                  <w:tcBorders>
                    <w:tl2br w:val="nil"/>
                    <w:tr2bl w:val="nil"/>
                  </w:tcBorders>
                  <w:noWrap/>
                  <w:vAlign w:val="center"/>
                </w:tcPr>
                <w:p w14:paraId="5081DEA9">
                  <w:pPr>
                    <w:keepNext w:val="0"/>
                    <w:keepLines w:val="0"/>
                    <w:pageBreakBefore w:val="0"/>
                    <w:widowControl w:val="0"/>
                    <w:kinsoku/>
                    <w:wordWrap/>
                    <w:overflowPunct/>
                    <w:topLinePunct w:val="0"/>
                    <w:autoSpaceDE/>
                    <w:autoSpaceDN/>
                    <w:bidi w:val="0"/>
                    <w:adjustRightInd/>
                    <w:snapToGrid/>
                    <w:jc w:val="center"/>
                    <w:textAlignment w:val="auto"/>
                    <w:rPr>
                      <w:rFonts w:hint="eastAsia"/>
                    </w:rPr>
                  </w:pPr>
                  <w:r>
                    <w:rPr>
                      <w:rFonts w:hint="eastAsia"/>
                      <w:color w:val="auto"/>
                      <w:sz w:val="21"/>
                      <w:szCs w:val="21"/>
                      <w:lang w:val="en-US" w:eastAsia="zh-CN"/>
                    </w:rPr>
                    <w:t>设备维修过程</w:t>
                  </w:r>
                </w:p>
              </w:tc>
              <w:tc>
                <w:tcPr>
                  <w:tcW w:w="2192" w:type="dxa"/>
                  <w:vMerge w:val="restart"/>
                  <w:tcBorders>
                    <w:tl2br w:val="nil"/>
                    <w:tr2bl w:val="nil"/>
                  </w:tcBorders>
                  <w:noWrap/>
                  <w:vAlign w:val="center"/>
                </w:tcPr>
                <w:p w14:paraId="238FC73F">
                  <w:pPr>
                    <w:keepNext w:val="0"/>
                    <w:keepLines w:val="0"/>
                    <w:pageBreakBefore w:val="0"/>
                    <w:widowControl w:val="0"/>
                    <w:kinsoku/>
                    <w:wordWrap/>
                    <w:overflowPunct/>
                    <w:topLinePunct w:val="0"/>
                    <w:autoSpaceDE/>
                    <w:autoSpaceDN/>
                    <w:bidi w:val="0"/>
                    <w:adjustRightInd/>
                    <w:snapToGrid/>
                    <w:jc w:val="center"/>
                    <w:textAlignment w:val="auto"/>
                    <w:rPr>
                      <w:rFonts w:hint="eastAsia"/>
                    </w:rPr>
                  </w:pPr>
                  <w:r>
                    <w:rPr>
                      <w:rFonts w:hint="eastAsia"/>
                      <w:color w:val="auto"/>
                      <w:sz w:val="21"/>
                      <w:szCs w:val="21"/>
                      <w:lang w:val="en-US" w:eastAsia="zh-CN"/>
                    </w:rPr>
                    <w:t>暂存于危废间，定期交给有资质单位处置</w:t>
                  </w:r>
                </w:p>
              </w:tc>
            </w:tr>
            <w:tr w14:paraId="11AFBA7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897" w:type="dxa"/>
                  <w:vMerge w:val="continue"/>
                  <w:tcBorders>
                    <w:tl2br w:val="nil"/>
                    <w:tr2bl w:val="nil"/>
                  </w:tcBorders>
                  <w:noWrap/>
                  <w:vAlign w:val="center"/>
                </w:tcPr>
                <w:p w14:paraId="5BA54BCF">
                  <w:pPr>
                    <w:keepNext w:val="0"/>
                    <w:keepLines w:val="0"/>
                    <w:pageBreakBefore w:val="0"/>
                    <w:widowControl w:val="0"/>
                    <w:kinsoku/>
                    <w:wordWrap/>
                    <w:overflowPunct/>
                    <w:topLinePunct w:val="0"/>
                    <w:autoSpaceDE/>
                    <w:autoSpaceDN/>
                    <w:bidi w:val="0"/>
                    <w:adjustRightInd/>
                    <w:snapToGrid/>
                    <w:jc w:val="center"/>
                    <w:textAlignment w:val="auto"/>
                  </w:pPr>
                </w:p>
              </w:tc>
              <w:tc>
                <w:tcPr>
                  <w:tcW w:w="1367" w:type="dxa"/>
                  <w:tcBorders>
                    <w:tl2br w:val="nil"/>
                    <w:tr2bl w:val="nil"/>
                  </w:tcBorders>
                  <w:noWrap/>
                  <w:vAlign w:val="center"/>
                </w:tcPr>
                <w:p w14:paraId="7A1B00DC">
                  <w:pPr>
                    <w:jc w:val="center"/>
                    <w:rPr>
                      <w:rFonts w:hint="eastAsia"/>
                      <w:color w:val="auto"/>
                      <w:sz w:val="21"/>
                      <w:szCs w:val="21"/>
                      <w:lang w:val="en-US" w:eastAsia="zh-CN"/>
                    </w:rPr>
                  </w:pPr>
                  <w:r>
                    <w:rPr>
                      <w:rFonts w:hint="eastAsia"/>
                    </w:rPr>
                    <w:t>包装过程</w:t>
                  </w:r>
                </w:p>
              </w:tc>
              <w:tc>
                <w:tcPr>
                  <w:tcW w:w="1900" w:type="dxa"/>
                  <w:tcBorders>
                    <w:tl2br w:val="nil"/>
                    <w:tr2bl w:val="nil"/>
                  </w:tcBorders>
                  <w:noWrap/>
                  <w:vAlign w:val="center"/>
                </w:tcPr>
                <w:p w14:paraId="7547C27C">
                  <w:pPr>
                    <w:jc w:val="center"/>
                    <w:rPr>
                      <w:rFonts w:hint="eastAsia"/>
                      <w:color w:val="auto"/>
                      <w:sz w:val="21"/>
                      <w:szCs w:val="21"/>
                      <w:lang w:val="en-US" w:eastAsia="zh-CN"/>
                    </w:rPr>
                  </w:pPr>
                  <w:r>
                    <w:rPr>
                      <w:rFonts w:hint="eastAsia"/>
                    </w:rPr>
                    <w:t>废包装</w:t>
                  </w:r>
                  <w:r>
                    <w:rPr>
                      <w:rFonts w:hint="eastAsia"/>
                      <w:lang w:val="en-US" w:eastAsia="zh-CN"/>
                    </w:rPr>
                    <w:t>桶</w:t>
                  </w:r>
                </w:p>
              </w:tc>
              <w:tc>
                <w:tcPr>
                  <w:tcW w:w="1064" w:type="dxa"/>
                  <w:tcBorders>
                    <w:tl2br w:val="nil"/>
                    <w:tr2bl w:val="nil"/>
                  </w:tcBorders>
                  <w:noWrap/>
                  <w:vAlign w:val="center"/>
                </w:tcPr>
                <w:p w14:paraId="5C66BDCD">
                  <w:pPr>
                    <w:jc w:val="center"/>
                    <w:rPr>
                      <w:rFonts w:hint="eastAsia"/>
                      <w:color w:val="auto"/>
                      <w:sz w:val="21"/>
                      <w:szCs w:val="21"/>
                      <w:lang w:val="en-US" w:eastAsia="zh-CN"/>
                    </w:rPr>
                  </w:pPr>
                  <w:r>
                    <w:rPr>
                      <w:rFonts w:hint="eastAsia"/>
                    </w:rPr>
                    <w:t>1.</w:t>
                  </w:r>
                  <w:r>
                    <w:rPr>
                      <w:rFonts w:hint="eastAsia"/>
                      <w:lang w:val="en-US" w:eastAsia="zh-CN"/>
                    </w:rPr>
                    <w:t>5</w:t>
                  </w:r>
                </w:p>
              </w:tc>
              <w:tc>
                <w:tcPr>
                  <w:tcW w:w="1704" w:type="dxa"/>
                  <w:tcBorders>
                    <w:tl2br w:val="nil"/>
                    <w:tr2bl w:val="nil"/>
                  </w:tcBorders>
                  <w:noWrap/>
                  <w:vAlign w:val="center"/>
                </w:tcPr>
                <w:p w14:paraId="6019EE52">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 w:val="21"/>
                      <w:szCs w:val="21"/>
                      <w:lang w:val="en-US" w:eastAsia="zh-CN"/>
                    </w:rPr>
                  </w:pPr>
                  <w:r>
                    <w:rPr>
                      <w:rFonts w:hint="eastAsia"/>
                      <w:color w:val="auto"/>
                      <w:sz w:val="21"/>
                      <w:szCs w:val="21"/>
                      <w:lang w:val="en-US" w:eastAsia="zh-CN"/>
                    </w:rPr>
                    <w:t>脱模剂、羧基丁苯胶乳等原料包装工程</w:t>
                  </w:r>
                </w:p>
              </w:tc>
              <w:tc>
                <w:tcPr>
                  <w:tcW w:w="2192" w:type="dxa"/>
                  <w:vMerge w:val="continue"/>
                  <w:tcBorders>
                    <w:tl2br w:val="nil"/>
                    <w:tr2bl w:val="nil"/>
                  </w:tcBorders>
                  <w:noWrap/>
                  <w:vAlign w:val="center"/>
                </w:tcPr>
                <w:p w14:paraId="38D8051A">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p>
              </w:tc>
            </w:tr>
            <w:tr w14:paraId="4672A9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897" w:type="dxa"/>
                  <w:vMerge w:val="continue"/>
                  <w:tcBorders>
                    <w:tl2br w:val="nil"/>
                    <w:tr2bl w:val="nil"/>
                  </w:tcBorders>
                  <w:noWrap/>
                  <w:vAlign w:val="center"/>
                </w:tcPr>
                <w:p w14:paraId="70AE5142">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p>
              </w:tc>
              <w:tc>
                <w:tcPr>
                  <w:tcW w:w="1367" w:type="dxa"/>
                  <w:tcBorders>
                    <w:tl2br w:val="nil"/>
                    <w:tr2bl w:val="nil"/>
                  </w:tcBorders>
                  <w:noWrap/>
                  <w:vAlign w:val="center"/>
                </w:tcPr>
                <w:p w14:paraId="3D5A1644">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 w:val="21"/>
                      <w:szCs w:val="21"/>
                      <w:lang w:val="en-US" w:eastAsia="zh-CN"/>
                    </w:rPr>
                  </w:pPr>
                  <w:r>
                    <w:rPr>
                      <w:rFonts w:hint="eastAsia"/>
                      <w:color w:val="auto"/>
                      <w:sz w:val="21"/>
                      <w:szCs w:val="21"/>
                      <w:lang w:val="en-US" w:eastAsia="zh-CN"/>
                    </w:rPr>
                    <w:t>活性炭装置</w:t>
                  </w:r>
                </w:p>
              </w:tc>
              <w:tc>
                <w:tcPr>
                  <w:tcW w:w="1900" w:type="dxa"/>
                  <w:tcBorders>
                    <w:tl2br w:val="nil"/>
                    <w:tr2bl w:val="nil"/>
                  </w:tcBorders>
                  <w:noWrap/>
                  <w:vAlign w:val="center"/>
                </w:tcPr>
                <w:p w14:paraId="1B6EB4D1">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 w:val="21"/>
                      <w:szCs w:val="21"/>
                      <w:lang w:val="en-US" w:eastAsia="zh-CN"/>
                    </w:rPr>
                  </w:pPr>
                  <w:r>
                    <w:rPr>
                      <w:rFonts w:hint="eastAsia"/>
                      <w:color w:val="auto"/>
                      <w:sz w:val="21"/>
                      <w:szCs w:val="21"/>
                      <w:lang w:val="en-US" w:eastAsia="zh-CN"/>
                    </w:rPr>
                    <w:t>废活性炭</w:t>
                  </w:r>
                </w:p>
              </w:tc>
              <w:tc>
                <w:tcPr>
                  <w:tcW w:w="1064" w:type="dxa"/>
                  <w:tcBorders>
                    <w:tl2br w:val="nil"/>
                    <w:tr2bl w:val="nil"/>
                  </w:tcBorders>
                  <w:noWrap/>
                  <w:vAlign w:val="center"/>
                </w:tcPr>
                <w:p w14:paraId="03919645">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 w:val="21"/>
                      <w:szCs w:val="21"/>
                      <w:lang w:val="en-US" w:eastAsia="zh-CN"/>
                    </w:rPr>
                  </w:pPr>
                  <w:r>
                    <w:rPr>
                      <w:rFonts w:hint="eastAsia"/>
                      <w:color w:val="auto"/>
                      <w:sz w:val="21"/>
                      <w:szCs w:val="21"/>
                      <w:lang w:val="en-US" w:eastAsia="zh-CN"/>
                    </w:rPr>
                    <w:t>1.75</w:t>
                  </w:r>
                </w:p>
              </w:tc>
              <w:tc>
                <w:tcPr>
                  <w:tcW w:w="1704" w:type="dxa"/>
                  <w:tcBorders>
                    <w:tl2br w:val="nil"/>
                    <w:tr2bl w:val="nil"/>
                  </w:tcBorders>
                  <w:noWrap/>
                  <w:vAlign w:val="center"/>
                </w:tcPr>
                <w:p w14:paraId="7AFB927F">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 w:val="21"/>
                      <w:szCs w:val="21"/>
                      <w:lang w:val="en-US" w:eastAsia="zh-CN"/>
                    </w:rPr>
                  </w:pPr>
                  <w:r>
                    <w:rPr>
                      <w:rFonts w:hint="eastAsia"/>
                      <w:color w:val="auto"/>
                      <w:sz w:val="21"/>
                      <w:szCs w:val="21"/>
                      <w:lang w:val="en-US" w:eastAsia="zh-CN"/>
                    </w:rPr>
                    <w:t>有机废气处理过程</w:t>
                  </w:r>
                </w:p>
              </w:tc>
              <w:tc>
                <w:tcPr>
                  <w:tcW w:w="2192" w:type="dxa"/>
                  <w:vMerge w:val="continue"/>
                  <w:tcBorders>
                    <w:tl2br w:val="nil"/>
                    <w:tr2bl w:val="nil"/>
                  </w:tcBorders>
                  <w:noWrap/>
                  <w:vAlign w:val="center"/>
                </w:tcPr>
                <w:p w14:paraId="69D5BFCB">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p>
              </w:tc>
            </w:tr>
          </w:tbl>
          <w:p w14:paraId="7A581489">
            <w:pPr>
              <w:pStyle w:val="5"/>
              <w:ind w:firstLine="422"/>
              <w:rPr>
                <w:sz w:val="24"/>
                <w:szCs w:val="24"/>
              </w:rPr>
            </w:pPr>
            <w:r>
              <w:rPr>
                <w:rFonts w:hint="eastAsia"/>
                <w:sz w:val="24"/>
                <w:szCs w:val="24"/>
              </w:rPr>
              <w:t>4.3固废处置措施</w:t>
            </w:r>
          </w:p>
          <w:p w14:paraId="0A11430B">
            <w:pPr>
              <w:spacing w:line="360" w:lineRule="auto"/>
              <w:ind w:firstLine="480" w:firstLineChars="200"/>
              <w:rPr>
                <w:rFonts w:hint="eastAsia" w:eastAsia="宋体"/>
                <w:sz w:val="24"/>
                <w:szCs w:val="24"/>
                <w:lang w:eastAsia="zh-CN"/>
              </w:rPr>
            </w:pPr>
            <w:r>
              <w:rPr>
                <w:rFonts w:hint="eastAsia"/>
                <w:sz w:val="24"/>
                <w:szCs w:val="24"/>
              </w:rPr>
              <w:t>本项目运营过程中产生的固体废物主要为生产固废和生活垃圾。</w:t>
            </w:r>
            <w:r>
              <w:rPr>
                <w:rFonts w:hint="eastAsia"/>
                <w:sz w:val="24"/>
                <w:szCs w:val="24"/>
                <w:lang w:eastAsia="zh-CN"/>
              </w:rPr>
              <w:t>每年生产期结束后对一般固废和危险废物均进行清理，生产期结束后不在项目区存放固体废物。</w:t>
            </w:r>
          </w:p>
          <w:p w14:paraId="03A80A65">
            <w:pPr>
              <w:pStyle w:val="14"/>
              <w:numPr>
                <w:ilvl w:val="0"/>
                <w:numId w:val="0"/>
              </w:numPr>
              <w:spacing w:line="360" w:lineRule="auto"/>
              <w:ind w:firstLine="480" w:firstLineChars="200"/>
              <w:rPr>
                <w:sz w:val="24"/>
                <w:szCs w:val="24"/>
              </w:rPr>
            </w:pPr>
            <w:r>
              <w:rPr>
                <w:rFonts w:hint="eastAsia"/>
                <w:sz w:val="24"/>
                <w:szCs w:val="24"/>
              </w:rPr>
              <w:t>4.3.1生产固废处置措施</w:t>
            </w:r>
          </w:p>
          <w:p w14:paraId="1469C944">
            <w:pPr>
              <w:pStyle w:val="14"/>
              <w:numPr>
                <w:ilvl w:val="0"/>
                <w:numId w:val="0"/>
              </w:numPr>
              <w:spacing w:line="360" w:lineRule="auto"/>
              <w:ind w:firstLine="480" w:firstLineChars="200"/>
              <w:rPr>
                <w:rFonts w:hint="eastAsia" w:ascii="Times New Roman" w:hAnsi="Times New Roman" w:eastAsia="宋体" w:cs="Times New Roman"/>
                <w:color w:val="000000"/>
                <w:kern w:val="0"/>
                <w:sz w:val="24"/>
                <w:szCs w:val="24"/>
                <w:lang w:val="en-US" w:eastAsia="zh-CN" w:bidi="ar"/>
              </w:rPr>
            </w:pPr>
            <w:r>
              <w:rPr>
                <w:rFonts w:hint="eastAsia"/>
                <w:sz w:val="24"/>
                <w:szCs w:val="24"/>
              </w:rPr>
              <w:t>生产线布袋除尘器收集的粉尘回用于生产；包装过程中的废包装</w:t>
            </w:r>
            <w:r>
              <w:rPr>
                <w:rFonts w:hint="eastAsia"/>
                <w:sz w:val="24"/>
                <w:szCs w:val="24"/>
                <w:lang w:val="en-US" w:eastAsia="zh-CN"/>
              </w:rPr>
              <w:t>桶，维修、保养设备产生的废机油、有机废气处理过程产生的废活性炭</w:t>
            </w:r>
            <w:r>
              <w:rPr>
                <w:rFonts w:hint="eastAsia"/>
                <w:sz w:val="24"/>
                <w:szCs w:val="24"/>
              </w:rPr>
              <w:t>集中收集后暂存本厂</w:t>
            </w:r>
            <w:r>
              <w:rPr>
                <w:rFonts w:hint="eastAsia"/>
                <w:sz w:val="24"/>
                <w:szCs w:val="24"/>
                <w:lang w:val="en-US" w:eastAsia="zh-CN"/>
              </w:rPr>
              <w:t>危险贮存库、定期交由有资质单位处理；废钢筋</w:t>
            </w:r>
            <w:r>
              <w:rPr>
                <w:rFonts w:hint="eastAsia"/>
                <w:sz w:val="24"/>
                <w:szCs w:val="24"/>
              </w:rPr>
              <w:t>定期由</w:t>
            </w:r>
            <w:r>
              <w:rPr>
                <w:rFonts w:hint="eastAsia"/>
                <w:sz w:val="24"/>
                <w:szCs w:val="24"/>
                <w:lang w:val="en-US" w:eastAsia="zh-CN"/>
              </w:rPr>
              <w:t>企业外售</w:t>
            </w:r>
            <w:r>
              <w:rPr>
                <w:rFonts w:hint="eastAsia"/>
                <w:sz w:val="24"/>
                <w:szCs w:val="24"/>
                <w:lang w:eastAsia="zh-CN"/>
              </w:rPr>
              <w:t>，</w:t>
            </w:r>
            <w:r>
              <w:rPr>
                <w:rFonts w:hint="eastAsia" w:ascii="Times New Roman" w:hAnsi="Times New Roman" w:eastAsia="宋体" w:cs="Times New Roman"/>
                <w:color w:val="000000"/>
                <w:kern w:val="0"/>
                <w:sz w:val="24"/>
                <w:szCs w:val="24"/>
                <w:lang w:val="en-US" w:eastAsia="zh-CN" w:bidi="ar"/>
              </w:rPr>
              <w:t>本项目一般固体废物为边角料、不合格品，集中收集后回用于生产</w:t>
            </w:r>
            <w:r>
              <w:rPr>
                <w:rFonts w:hint="eastAsia" w:cs="Times New Roman"/>
                <w:color w:val="000000"/>
                <w:kern w:val="0"/>
                <w:sz w:val="24"/>
                <w:szCs w:val="24"/>
                <w:lang w:val="en-US" w:eastAsia="zh-CN" w:bidi="ar"/>
              </w:rPr>
              <w:t>。</w:t>
            </w:r>
          </w:p>
          <w:p w14:paraId="00BACB02">
            <w:pPr>
              <w:pStyle w:val="14"/>
              <w:numPr>
                <w:ilvl w:val="0"/>
                <w:numId w:val="0"/>
              </w:numPr>
              <w:spacing w:line="360" w:lineRule="auto"/>
              <w:ind w:firstLine="480" w:firstLineChars="200"/>
              <w:rPr>
                <w:sz w:val="24"/>
                <w:szCs w:val="24"/>
              </w:rPr>
            </w:pPr>
            <w:r>
              <w:rPr>
                <w:rFonts w:hint="eastAsia"/>
                <w:sz w:val="24"/>
                <w:szCs w:val="24"/>
              </w:rPr>
              <w:t>4.3.2生活垃圾处置措施</w:t>
            </w:r>
          </w:p>
          <w:p w14:paraId="6D7CDBB6">
            <w:pPr>
              <w:pStyle w:val="14"/>
              <w:numPr>
                <w:ilvl w:val="0"/>
                <w:numId w:val="0"/>
              </w:numPr>
              <w:spacing w:line="360" w:lineRule="auto"/>
              <w:ind w:firstLine="480" w:firstLineChars="200"/>
              <w:rPr>
                <w:sz w:val="24"/>
                <w:szCs w:val="24"/>
              </w:rPr>
            </w:pPr>
            <w:r>
              <w:rPr>
                <w:rFonts w:hint="eastAsia"/>
                <w:sz w:val="24"/>
                <w:szCs w:val="24"/>
              </w:rPr>
              <w:t>本项目员工生活垃圾集中放置于厂区内垃圾集中堆放点，交由环保部门统一清理。</w:t>
            </w:r>
          </w:p>
          <w:p w14:paraId="7ED19F34">
            <w:pPr>
              <w:pStyle w:val="14"/>
              <w:numPr>
                <w:ilvl w:val="0"/>
                <w:numId w:val="0"/>
              </w:numPr>
              <w:spacing w:line="360" w:lineRule="auto"/>
              <w:ind w:firstLine="480" w:firstLineChars="200"/>
              <w:rPr>
                <w:sz w:val="24"/>
                <w:szCs w:val="24"/>
              </w:rPr>
            </w:pPr>
            <w:r>
              <w:rPr>
                <w:rFonts w:hint="eastAsia"/>
                <w:sz w:val="24"/>
                <w:szCs w:val="24"/>
              </w:rPr>
              <w:t>综上所述，本项目产生的固废均得到相应治理，不会对周围环境造成影响。</w:t>
            </w:r>
          </w:p>
          <w:p w14:paraId="708870FA">
            <w:pPr>
              <w:pStyle w:val="5"/>
              <w:ind w:firstLine="422"/>
              <w:rPr>
                <w:sz w:val="24"/>
                <w:szCs w:val="24"/>
              </w:rPr>
            </w:pPr>
            <w:r>
              <w:rPr>
                <w:rFonts w:hint="eastAsia"/>
                <w:sz w:val="24"/>
                <w:szCs w:val="24"/>
              </w:rPr>
              <w:t>4.4固废处理可行性分析</w:t>
            </w:r>
          </w:p>
          <w:p w14:paraId="4C04AF13">
            <w:pPr>
              <w:pStyle w:val="2"/>
              <w:snapToGrid/>
              <w:spacing w:before="0" w:after="0" w:line="360" w:lineRule="auto"/>
              <w:ind w:right="0" w:firstLine="480" w:firstLineChars="200"/>
              <w:rPr>
                <w:sz w:val="24"/>
                <w:szCs w:val="24"/>
              </w:rPr>
            </w:pPr>
            <w:r>
              <w:rPr>
                <w:rFonts w:hint="eastAsia"/>
                <w:sz w:val="24"/>
                <w:szCs w:val="24"/>
              </w:rPr>
              <w:t>本项目产生的固体废弃物中，经集中收集后回用于生产，不会对周围环境造成影响。</w:t>
            </w:r>
          </w:p>
          <w:p w14:paraId="45C5DB70">
            <w:pPr>
              <w:pStyle w:val="14"/>
              <w:numPr>
                <w:ilvl w:val="0"/>
                <w:numId w:val="0"/>
              </w:numPr>
              <w:spacing w:line="360" w:lineRule="auto"/>
              <w:ind w:firstLine="480" w:firstLineChars="200"/>
              <w:rPr>
                <w:sz w:val="24"/>
                <w:szCs w:val="24"/>
              </w:rPr>
            </w:pPr>
            <w:r>
              <w:rPr>
                <w:rFonts w:hint="eastAsia"/>
                <w:sz w:val="24"/>
                <w:szCs w:val="24"/>
              </w:rPr>
              <w:t>根据《一般工业固体废物贮存和填埋污染控制标准》（GB18599-2020）中要求处置，</w:t>
            </w:r>
            <w:r>
              <w:rPr>
                <w:rFonts w:hint="eastAsia"/>
                <w:color w:val="auto"/>
                <w:sz w:val="24"/>
                <w:szCs w:val="24"/>
                <w:lang w:val="en-US" w:eastAsia="zh-CN"/>
              </w:rPr>
              <w:t>危险废物执行</w:t>
            </w:r>
            <w:r>
              <w:rPr>
                <w:rFonts w:hint="default" w:ascii="Times New Roman" w:hAnsi="Times New Roman" w:eastAsia="宋体" w:cs="Times New Roman"/>
                <w:b w:val="0"/>
                <w:bCs/>
                <w:color w:val="auto"/>
                <w:sz w:val="24"/>
                <w:szCs w:val="24"/>
                <w:lang w:eastAsia="zh-CN"/>
              </w:rPr>
              <w:t>《危险废物贮存污染控制标准》（GB18597-20</w:t>
            </w:r>
            <w:r>
              <w:rPr>
                <w:rFonts w:hint="eastAsia" w:cs="Times New Roman"/>
                <w:b w:val="0"/>
                <w:bCs/>
                <w:color w:val="auto"/>
                <w:sz w:val="24"/>
                <w:szCs w:val="24"/>
                <w:lang w:val="en-US" w:eastAsia="zh-CN"/>
              </w:rPr>
              <w:t>23</w:t>
            </w:r>
            <w:r>
              <w:rPr>
                <w:rFonts w:hint="default" w:ascii="Times New Roman" w:hAnsi="Times New Roman" w:eastAsia="宋体" w:cs="Times New Roman"/>
                <w:b w:val="0"/>
                <w:bCs/>
                <w:color w:val="auto"/>
                <w:sz w:val="24"/>
                <w:szCs w:val="24"/>
                <w:lang w:eastAsia="zh-CN"/>
              </w:rPr>
              <w:t>）有关规定</w:t>
            </w:r>
            <w:r>
              <w:rPr>
                <w:rFonts w:hint="eastAsia" w:ascii="Times New Roman" w:hAnsi="Times New Roman" w:eastAsia="宋体" w:cs="Times New Roman"/>
                <w:b w:val="0"/>
                <w:bCs/>
                <w:color w:val="auto"/>
                <w:sz w:val="24"/>
                <w:szCs w:val="24"/>
                <w:lang w:eastAsia="zh-CN"/>
              </w:rPr>
              <w:t>。</w:t>
            </w:r>
          </w:p>
          <w:p w14:paraId="3C9E9483">
            <w:pPr>
              <w:pStyle w:val="4"/>
              <w:ind w:firstLine="482" w:firstLineChars="200"/>
              <w:rPr>
                <w:sz w:val="24"/>
                <w:szCs w:val="24"/>
              </w:rPr>
            </w:pPr>
            <w:r>
              <w:rPr>
                <w:rFonts w:hint="eastAsia"/>
                <w:sz w:val="24"/>
                <w:szCs w:val="24"/>
              </w:rPr>
              <w:t>4.5</w:t>
            </w:r>
            <w:r>
              <w:rPr>
                <w:rFonts w:hint="eastAsia" w:ascii="宋体" w:hAnsi="宋体" w:cs="宋体"/>
                <w:sz w:val="24"/>
                <w:szCs w:val="24"/>
              </w:rPr>
              <w:t>固废代码</w:t>
            </w:r>
          </w:p>
          <w:p w14:paraId="419CDD35">
            <w:pPr>
              <w:pStyle w:val="14"/>
              <w:numPr>
                <w:ilvl w:val="0"/>
                <w:numId w:val="0"/>
              </w:numPr>
              <w:spacing w:line="360" w:lineRule="auto"/>
              <w:ind w:firstLine="480" w:firstLineChars="200"/>
              <w:rPr>
                <w:b/>
                <w:bCs/>
                <w:sz w:val="24"/>
                <w:szCs w:val="24"/>
              </w:rPr>
            </w:pPr>
            <w:r>
              <w:rPr>
                <w:rFonts w:hint="eastAsia"/>
                <w:sz w:val="24"/>
                <w:szCs w:val="24"/>
              </w:rPr>
              <w:t>根据《一般固体废物分类与代码》（GB∕T39198-2020），本项目产生的固体废物代码见下表。</w:t>
            </w:r>
          </w:p>
          <w:p w14:paraId="7B8593A4">
            <w:pPr>
              <w:pStyle w:val="14"/>
              <w:numPr>
                <w:ilvl w:val="0"/>
                <w:numId w:val="0"/>
              </w:numPr>
              <w:jc w:val="center"/>
              <w:rPr>
                <w:b/>
                <w:bCs/>
              </w:rPr>
            </w:pPr>
            <w:r>
              <w:rPr>
                <w:rFonts w:hint="eastAsia"/>
                <w:b/>
                <w:bCs/>
              </w:rPr>
              <w:t>表4-</w:t>
            </w:r>
            <w:r>
              <w:rPr>
                <w:rFonts w:hint="eastAsia"/>
                <w:b/>
                <w:bCs/>
                <w:lang w:val="en-US" w:eastAsia="zh-CN"/>
              </w:rPr>
              <w:t xml:space="preserve">14 </w:t>
            </w:r>
            <w:r>
              <w:rPr>
                <w:rFonts w:hint="eastAsia"/>
                <w:b/>
                <w:bCs/>
              </w:rPr>
              <w:t xml:space="preserve">   固废代码一览表</w:t>
            </w:r>
          </w:p>
          <w:tbl>
            <w:tblPr>
              <w:tblStyle w:val="25"/>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1760"/>
              <w:gridCol w:w="1493"/>
              <w:gridCol w:w="3767"/>
            </w:tblGrid>
            <w:tr w14:paraId="53749A4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56" w:type="pct"/>
                  <w:tcBorders>
                    <w:tl2br w:val="nil"/>
                    <w:tr2bl w:val="nil"/>
                  </w:tcBorders>
                  <w:noWrap/>
                  <w:vAlign w:val="center"/>
                </w:tcPr>
                <w:p w14:paraId="35583D02">
                  <w:pPr>
                    <w:pStyle w:val="14"/>
                    <w:numPr>
                      <w:ilvl w:val="0"/>
                      <w:numId w:val="0"/>
                    </w:numPr>
                    <w:jc w:val="center"/>
                    <w:rPr>
                      <w:b/>
                      <w:bCs/>
                    </w:rPr>
                  </w:pPr>
                  <w:r>
                    <w:rPr>
                      <w:rFonts w:hint="eastAsia"/>
                      <w:b/>
                      <w:bCs/>
                    </w:rPr>
                    <w:t>来源</w:t>
                  </w:r>
                </w:p>
              </w:tc>
              <w:tc>
                <w:tcPr>
                  <w:tcW w:w="963" w:type="pct"/>
                  <w:tcBorders>
                    <w:tl2br w:val="nil"/>
                    <w:tr2bl w:val="nil"/>
                  </w:tcBorders>
                  <w:noWrap/>
                  <w:vAlign w:val="center"/>
                </w:tcPr>
                <w:p w14:paraId="2CFC61D4">
                  <w:pPr>
                    <w:pStyle w:val="14"/>
                    <w:numPr>
                      <w:ilvl w:val="0"/>
                      <w:numId w:val="0"/>
                    </w:numPr>
                    <w:jc w:val="center"/>
                    <w:rPr>
                      <w:b/>
                      <w:bCs/>
                    </w:rPr>
                  </w:pPr>
                  <w:r>
                    <w:rPr>
                      <w:rFonts w:hint="eastAsia"/>
                      <w:b/>
                      <w:bCs/>
                    </w:rPr>
                    <w:t>类别</w:t>
                  </w:r>
                </w:p>
              </w:tc>
              <w:tc>
                <w:tcPr>
                  <w:tcW w:w="817" w:type="pct"/>
                  <w:tcBorders>
                    <w:tl2br w:val="nil"/>
                    <w:tr2bl w:val="nil"/>
                  </w:tcBorders>
                  <w:noWrap/>
                  <w:vAlign w:val="center"/>
                </w:tcPr>
                <w:p w14:paraId="0DC4E2FE">
                  <w:pPr>
                    <w:pStyle w:val="14"/>
                    <w:numPr>
                      <w:ilvl w:val="0"/>
                      <w:numId w:val="0"/>
                    </w:numPr>
                    <w:jc w:val="center"/>
                    <w:rPr>
                      <w:b/>
                      <w:bCs/>
                    </w:rPr>
                  </w:pPr>
                  <w:r>
                    <w:rPr>
                      <w:rFonts w:hint="eastAsia"/>
                      <w:b/>
                      <w:bCs/>
                    </w:rPr>
                    <w:t>类别代码</w:t>
                  </w:r>
                </w:p>
              </w:tc>
              <w:tc>
                <w:tcPr>
                  <w:tcW w:w="2062" w:type="pct"/>
                  <w:tcBorders>
                    <w:tl2br w:val="nil"/>
                    <w:tr2bl w:val="nil"/>
                  </w:tcBorders>
                  <w:noWrap/>
                  <w:vAlign w:val="center"/>
                </w:tcPr>
                <w:p w14:paraId="2681140A">
                  <w:pPr>
                    <w:pStyle w:val="14"/>
                    <w:numPr>
                      <w:ilvl w:val="0"/>
                      <w:numId w:val="0"/>
                    </w:numPr>
                    <w:jc w:val="center"/>
                    <w:rPr>
                      <w:b/>
                      <w:bCs/>
                    </w:rPr>
                  </w:pPr>
                  <w:r>
                    <w:rPr>
                      <w:rFonts w:hint="eastAsia"/>
                      <w:b/>
                      <w:bCs/>
                    </w:rPr>
                    <w:t>处置方式</w:t>
                  </w:r>
                </w:p>
              </w:tc>
            </w:tr>
            <w:tr w14:paraId="0E27A7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56" w:type="pct"/>
                  <w:tcBorders>
                    <w:tl2br w:val="nil"/>
                    <w:tr2bl w:val="nil"/>
                  </w:tcBorders>
                  <w:noWrap/>
                  <w:vAlign w:val="center"/>
                </w:tcPr>
                <w:p w14:paraId="527C6D07">
                  <w:pPr>
                    <w:pStyle w:val="14"/>
                    <w:numPr>
                      <w:ilvl w:val="0"/>
                      <w:numId w:val="0"/>
                    </w:numPr>
                    <w:jc w:val="center"/>
                  </w:pPr>
                  <w:r>
                    <w:rPr>
                      <w:rFonts w:hint="eastAsia"/>
                    </w:rPr>
                    <w:t>生产线收集粉尘</w:t>
                  </w:r>
                </w:p>
              </w:tc>
              <w:tc>
                <w:tcPr>
                  <w:tcW w:w="963" w:type="pct"/>
                  <w:tcBorders>
                    <w:tl2br w:val="nil"/>
                    <w:tr2bl w:val="nil"/>
                  </w:tcBorders>
                  <w:noWrap/>
                  <w:vAlign w:val="center"/>
                </w:tcPr>
                <w:p w14:paraId="5AF047A3">
                  <w:pPr>
                    <w:pStyle w:val="14"/>
                    <w:numPr>
                      <w:ilvl w:val="0"/>
                      <w:numId w:val="0"/>
                    </w:numPr>
                    <w:jc w:val="center"/>
                  </w:pPr>
                  <w:r>
                    <w:rPr>
                      <w:rFonts w:hint="eastAsia"/>
                    </w:rPr>
                    <w:t>工业粉尘</w:t>
                  </w:r>
                </w:p>
              </w:tc>
              <w:tc>
                <w:tcPr>
                  <w:tcW w:w="817" w:type="pct"/>
                  <w:tcBorders>
                    <w:tl2br w:val="nil"/>
                    <w:tr2bl w:val="nil"/>
                  </w:tcBorders>
                  <w:noWrap/>
                  <w:vAlign w:val="center"/>
                </w:tcPr>
                <w:p w14:paraId="7EEB8E4A">
                  <w:pPr>
                    <w:pStyle w:val="14"/>
                    <w:numPr>
                      <w:ilvl w:val="0"/>
                      <w:numId w:val="0"/>
                    </w:numPr>
                    <w:jc w:val="center"/>
                  </w:pPr>
                  <w:r>
                    <w:rPr>
                      <w:rFonts w:hint="eastAsia"/>
                    </w:rPr>
                    <w:t>900-999-66</w:t>
                  </w:r>
                </w:p>
              </w:tc>
              <w:tc>
                <w:tcPr>
                  <w:tcW w:w="2062" w:type="pct"/>
                  <w:tcBorders>
                    <w:tl2br w:val="nil"/>
                    <w:tr2bl w:val="nil"/>
                  </w:tcBorders>
                  <w:noWrap/>
                  <w:vAlign w:val="center"/>
                </w:tcPr>
                <w:p w14:paraId="0AA7ED43">
                  <w:pPr>
                    <w:pStyle w:val="14"/>
                    <w:numPr>
                      <w:ilvl w:val="0"/>
                      <w:numId w:val="0"/>
                    </w:numPr>
                    <w:jc w:val="center"/>
                  </w:pPr>
                  <w:r>
                    <w:rPr>
                      <w:rFonts w:hint="eastAsia"/>
                    </w:rPr>
                    <w:t>集中收集，回用于生产</w:t>
                  </w:r>
                </w:p>
              </w:tc>
            </w:tr>
            <w:tr w14:paraId="7EFE70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56" w:type="pct"/>
                  <w:tcBorders>
                    <w:tl2br w:val="nil"/>
                    <w:tr2bl w:val="nil"/>
                  </w:tcBorders>
                  <w:noWrap/>
                  <w:vAlign w:val="center"/>
                </w:tcPr>
                <w:p w14:paraId="6AB291A5">
                  <w:pPr>
                    <w:pStyle w:val="14"/>
                    <w:numPr>
                      <w:ilvl w:val="0"/>
                      <w:numId w:val="0"/>
                    </w:numPr>
                    <w:jc w:val="center"/>
                    <w:rPr>
                      <w:rFonts w:hint="default" w:eastAsia="宋体"/>
                      <w:lang w:val="en-US" w:eastAsia="zh-CN"/>
                    </w:rPr>
                  </w:pPr>
                  <w:r>
                    <w:rPr>
                      <w:rFonts w:hint="eastAsia"/>
                      <w:lang w:val="en-US" w:eastAsia="zh-CN"/>
                    </w:rPr>
                    <w:t>边角料、不合格品</w:t>
                  </w:r>
                </w:p>
              </w:tc>
              <w:tc>
                <w:tcPr>
                  <w:tcW w:w="963" w:type="pct"/>
                  <w:tcBorders>
                    <w:tl2br w:val="nil"/>
                    <w:tr2bl w:val="nil"/>
                  </w:tcBorders>
                  <w:noWrap/>
                  <w:vAlign w:val="center"/>
                </w:tcPr>
                <w:p w14:paraId="512F2BF7">
                  <w:pPr>
                    <w:pStyle w:val="14"/>
                    <w:numPr>
                      <w:ilvl w:val="0"/>
                      <w:numId w:val="0"/>
                    </w:numPr>
                    <w:jc w:val="center"/>
                    <w:rPr>
                      <w:rFonts w:hint="default" w:eastAsia="宋体"/>
                      <w:lang w:val="en-US" w:eastAsia="zh-CN"/>
                    </w:rPr>
                  </w:pPr>
                  <w:r>
                    <w:rPr>
                      <w:rFonts w:hint="eastAsia"/>
                      <w:lang w:val="en-US" w:eastAsia="zh-CN"/>
                    </w:rPr>
                    <w:t>一般固体废物</w:t>
                  </w:r>
                </w:p>
              </w:tc>
              <w:tc>
                <w:tcPr>
                  <w:tcW w:w="817" w:type="pct"/>
                  <w:tcBorders>
                    <w:tl2br w:val="nil"/>
                    <w:tr2bl w:val="nil"/>
                  </w:tcBorders>
                  <w:noWrap/>
                  <w:vAlign w:val="center"/>
                </w:tcPr>
                <w:p w14:paraId="257DD6BB">
                  <w:pPr>
                    <w:pStyle w:val="14"/>
                    <w:numPr>
                      <w:ilvl w:val="0"/>
                      <w:numId w:val="0"/>
                    </w:numPr>
                    <w:jc w:val="center"/>
                    <w:rPr>
                      <w:rFonts w:hint="default" w:eastAsia="宋体"/>
                      <w:lang w:val="en-US" w:eastAsia="zh-CN"/>
                    </w:rPr>
                  </w:pPr>
                  <w:r>
                    <w:rPr>
                      <w:rFonts w:hint="eastAsia"/>
                      <w:lang w:val="en-US" w:eastAsia="zh-CN"/>
                    </w:rPr>
                    <w:t>900-999-99</w:t>
                  </w:r>
                </w:p>
              </w:tc>
              <w:tc>
                <w:tcPr>
                  <w:tcW w:w="2062" w:type="pct"/>
                  <w:tcBorders>
                    <w:tl2br w:val="nil"/>
                    <w:tr2bl w:val="nil"/>
                  </w:tcBorders>
                  <w:noWrap/>
                  <w:vAlign w:val="center"/>
                </w:tcPr>
                <w:p w14:paraId="4A140BE0">
                  <w:pPr>
                    <w:pStyle w:val="14"/>
                    <w:numPr>
                      <w:ilvl w:val="0"/>
                      <w:numId w:val="0"/>
                    </w:numPr>
                    <w:jc w:val="center"/>
                    <w:rPr>
                      <w:rFonts w:hint="eastAsia"/>
                    </w:rPr>
                  </w:pPr>
                  <w:r>
                    <w:rPr>
                      <w:rFonts w:hint="eastAsia"/>
                    </w:rPr>
                    <w:t>集中收集，回用于生产</w:t>
                  </w:r>
                </w:p>
              </w:tc>
            </w:tr>
            <w:tr w14:paraId="29E73E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56" w:type="pct"/>
                  <w:tcBorders>
                    <w:tl2br w:val="nil"/>
                    <w:tr2bl w:val="nil"/>
                  </w:tcBorders>
                  <w:noWrap/>
                  <w:vAlign w:val="center"/>
                </w:tcPr>
                <w:p w14:paraId="1F7B1599">
                  <w:pPr>
                    <w:pStyle w:val="14"/>
                    <w:numPr>
                      <w:ilvl w:val="0"/>
                      <w:numId w:val="0"/>
                    </w:numPr>
                    <w:jc w:val="center"/>
                    <w:rPr>
                      <w:rFonts w:hint="default" w:eastAsia="宋体"/>
                      <w:lang w:val="en-US" w:eastAsia="zh-CN"/>
                    </w:rPr>
                  </w:pPr>
                  <w:r>
                    <w:rPr>
                      <w:rFonts w:hint="eastAsia"/>
                      <w:lang w:val="en-US" w:eastAsia="zh-CN"/>
                    </w:rPr>
                    <w:t>废钢筋</w:t>
                  </w:r>
                </w:p>
              </w:tc>
              <w:tc>
                <w:tcPr>
                  <w:tcW w:w="963" w:type="pct"/>
                  <w:tcBorders>
                    <w:tl2br w:val="nil"/>
                    <w:tr2bl w:val="nil"/>
                  </w:tcBorders>
                  <w:noWrap/>
                  <w:vAlign w:val="center"/>
                </w:tcPr>
                <w:p w14:paraId="74F0ADFA">
                  <w:pPr>
                    <w:pStyle w:val="14"/>
                    <w:numPr>
                      <w:ilvl w:val="0"/>
                      <w:numId w:val="0"/>
                    </w:numPr>
                    <w:ind w:left="0" w:leftChars="0" w:firstLine="0" w:firstLineChars="0"/>
                    <w:jc w:val="center"/>
                    <w:rPr>
                      <w:rFonts w:hint="eastAsia"/>
                    </w:rPr>
                  </w:pPr>
                  <w:r>
                    <w:rPr>
                      <w:rFonts w:hint="eastAsia"/>
                      <w:lang w:val="en-US" w:eastAsia="zh-CN"/>
                    </w:rPr>
                    <w:t>一般固体废物</w:t>
                  </w:r>
                </w:p>
              </w:tc>
              <w:tc>
                <w:tcPr>
                  <w:tcW w:w="817" w:type="pct"/>
                  <w:tcBorders>
                    <w:tl2br w:val="nil"/>
                    <w:tr2bl w:val="nil"/>
                  </w:tcBorders>
                  <w:noWrap/>
                  <w:vAlign w:val="center"/>
                </w:tcPr>
                <w:p w14:paraId="4C128971">
                  <w:pPr>
                    <w:pStyle w:val="14"/>
                    <w:numPr>
                      <w:ilvl w:val="0"/>
                      <w:numId w:val="0"/>
                    </w:numPr>
                    <w:ind w:left="0" w:leftChars="0" w:firstLine="0" w:firstLineChars="0"/>
                    <w:jc w:val="center"/>
                    <w:rPr>
                      <w:rFonts w:hint="eastAsia"/>
                    </w:rPr>
                  </w:pPr>
                  <w:r>
                    <w:rPr>
                      <w:rFonts w:hint="eastAsia"/>
                      <w:lang w:val="en-US" w:eastAsia="zh-CN"/>
                    </w:rPr>
                    <w:t>900-999-99</w:t>
                  </w:r>
                </w:p>
              </w:tc>
              <w:tc>
                <w:tcPr>
                  <w:tcW w:w="2062" w:type="pct"/>
                  <w:tcBorders>
                    <w:tl2br w:val="nil"/>
                    <w:tr2bl w:val="nil"/>
                  </w:tcBorders>
                  <w:noWrap/>
                  <w:vAlign w:val="center"/>
                </w:tcPr>
                <w:p w14:paraId="4D7AC78B">
                  <w:pPr>
                    <w:pStyle w:val="14"/>
                    <w:numPr>
                      <w:ilvl w:val="0"/>
                      <w:numId w:val="0"/>
                    </w:numPr>
                    <w:jc w:val="center"/>
                    <w:rPr>
                      <w:rFonts w:hint="eastAsia"/>
                    </w:rPr>
                  </w:pPr>
                  <w:r>
                    <w:rPr>
                      <w:rFonts w:hint="eastAsia" w:ascii="Times New Roman" w:hAnsi="Times New Roman" w:eastAsia="宋体" w:cs="Times New Roman"/>
                      <w:color w:val="000000"/>
                      <w:kern w:val="0"/>
                      <w:sz w:val="21"/>
                      <w:szCs w:val="21"/>
                      <w:lang w:val="en-US" w:eastAsia="zh-CN" w:bidi="ar"/>
                    </w:rPr>
                    <w:t>集中收集后厂家回收</w:t>
                  </w:r>
                </w:p>
              </w:tc>
            </w:tr>
            <w:tr w14:paraId="10B40C5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56" w:type="pct"/>
                  <w:tcBorders>
                    <w:tl2br w:val="nil"/>
                    <w:tr2bl w:val="nil"/>
                  </w:tcBorders>
                  <w:noWrap/>
                  <w:vAlign w:val="center"/>
                </w:tcPr>
                <w:p w14:paraId="4E591C6D">
                  <w:pPr>
                    <w:pStyle w:val="14"/>
                    <w:numPr>
                      <w:ilvl w:val="0"/>
                      <w:numId w:val="0"/>
                    </w:numPr>
                    <w:jc w:val="center"/>
                  </w:pPr>
                  <w:r>
                    <w:rPr>
                      <w:rFonts w:hint="eastAsia"/>
                    </w:rPr>
                    <w:t>生活垃圾</w:t>
                  </w:r>
                </w:p>
              </w:tc>
              <w:tc>
                <w:tcPr>
                  <w:tcW w:w="963" w:type="pct"/>
                  <w:tcBorders>
                    <w:tl2br w:val="nil"/>
                    <w:tr2bl w:val="nil"/>
                  </w:tcBorders>
                  <w:noWrap/>
                  <w:vAlign w:val="center"/>
                </w:tcPr>
                <w:p w14:paraId="0D703540">
                  <w:pPr>
                    <w:pStyle w:val="14"/>
                    <w:numPr>
                      <w:ilvl w:val="0"/>
                      <w:numId w:val="0"/>
                    </w:numPr>
                    <w:jc w:val="center"/>
                  </w:pPr>
                  <w:r>
                    <w:rPr>
                      <w:rFonts w:hint="eastAsia"/>
                    </w:rPr>
                    <w:t>生活垃圾</w:t>
                  </w:r>
                </w:p>
              </w:tc>
              <w:tc>
                <w:tcPr>
                  <w:tcW w:w="817" w:type="pct"/>
                  <w:tcBorders>
                    <w:tl2br w:val="nil"/>
                    <w:tr2bl w:val="nil"/>
                  </w:tcBorders>
                  <w:noWrap/>
                  <w:vAlign w:val="center"/>
                </w:tcPr>
                <w:p w14:paraId="7A9CF8FC">
                  <w:pPr>
                    <w:pStyle w:val="14"/>
                    <w:numPr>
                      <w:ilvl w:val="0"/>
                      <w:numId w:val="0"/>
                    </w:numPr>
                    <w:jc w:val="center"/>
                  </w:pPr>
                  <w:r>
                    <w:rPr>
                      <w:rFonts w:hint="eastAsia"/>
                    </w:rPr>
                    <w:t>/</w:t>
                  </w:r>
                </w:p>
              </w:tc>
              <w:tc>
                <w:tcPr>
                  <w:tcW w:w="2062" w:type="pct"/>
                  <w:tcBorders>
                    <w:tl2br w:val="nil"/>
                    <w:tr2bl w:val="nil"/>
                  </w:tcBorders>
                  <w:noWrap/>
                  <w:vAlign w:val="center"/>
                </w:tcPr>
                <w:p w14:paraId="0B9CFA22">
                  <w:pPr>
                    <w:pStyle w:val="14"/>
                    <w:numPr>
                      <w:ilvl w:val="0"/>
                      <w:numId w:val="0"/>
                    </w:numPr>
                    <w:jc w:val="center"/>
                  </w:pPr>
                  <w:r>
                    <w:rPr>
                      <w:rFonts w:hint="eastAsia"/>
                    </w:rPr>
                    <w:t>暂存于垃圾临时堆放处，交由环卫部门统一处理</w:t>
                  </w:r>
                </w:p>
              </w:tc>
            </w:tr>
            <w:tr w14:paraId="6DC7BD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56" w:type="pct"/>
                  <w:tcBorders>
                    <w:tl2br w:val="nil"/>
                    <w:tr2bl w:val="nil"/>
                  </w:tcBorders>
                  <w:noWrap/>
                  <w:vAlign w:val="center"/>
                </w:tcPr>
                <w:p w14:paraId="3CF488A8">
                  <w:pPr>
                    <w:pStyle w:val="14"/>
                    <w:numPr>
                      <w:ilvl w:val="0"/>
                      <w:numId w:val="0"/>
                    </w:numPr>
                    <w:jc w:val="center"/>
                    <w:rPr>
                      <w:rFonts w:hint="default" w:eastAsia="宋体"/>
                      <w:lang w:val="en-US" w:eastAsia="zh-CN"/>
                    </w:rPr>
                  </w:pPr>
                  <w:r>
                    <w:rPr>
                      <w:rFonts w:hint="eastAsia"/>
                      <w:lang w:val="en-US" w:eastAsia="zh-CN"/>
                    </w:rPr>
                    <w:t>设备维修保养废机油</w:t>
                  </w:r>
                </w:p>
              </w:tc>
              <w:tc>
                <w:tcPr>
                  <w:tcW w:w="963" w:type="pct"/>
                  <w:tcBorders>
                    <w:tl2br w:val="nil"/>
                    <w:tr2bl w:val="nil"/>
                  </w:tcBorders>
                  <w:noWrap/>
                  <w:vAlign w:val="center"/>
                </w:tcPr>
                <w:p w14:paraId="7DFD0FAE">
                  <w:pPr>
                    <w:pStyle w:val="14"/>
                    <w:numPr>
                      <w:ilvl w:val="0"/>
                      <w:numId w:val="0"/>
                    </w:numPr>
                    <w:ind w:left="0" w:leftChars="0" w:firstLine="0" w:firstLineChars="0"/>
                    <w:jc w:val="center"/>
                    <w:rPr>
                      <w:rFonts w:hint="eastAsia"/>
                    </w:rPr>
                  </w:pPr>
                  <w:r>
                    <w:rPr>
                      <w:rFonts w:hint="eastAsia"/>
                      <w:color w:val="auto"/>
                      <w:sz w:val="21"/>
                      <w:szCs w:val="21"/>
                      <w:lang w:val="en-US" w:eastAsia="zh-CN"/>
                    </w:rPr>
                    <w:t>HW08</w:t>
                  </w:r>
                </w:p>
              </w:tc>
              <w:tc>
                <w:tcPr>
                  <w:tcW w:w="817" w:type="pct"/>
                  <w:tcBorders>
                    <w:tl2br w:val="nil"/>
                    <w:tr2bl w:val="nil"/>
                  </w:tcBorders>
                  <w:noWrap/>
                  <w:vAlign w:val="center"/>
                </w:tcPr>
                <w:p w14:paraId="3718B47F">
                  <w:pPr>
                    <w:pStyle w:val="14"/>
                    <w:numPr>
                      <w:ilvl w:val="0"/>
                      <w:numId w:val="0"/>
                    </w:numPr>
                    <w:ind w:left="0" w:leftChars="0" w:firstLine="0" w:firstLineChars="0"/>
                    <w:jc w:val="center"/>
                    <w:rPr>
                      <w:rFonts w:hint="eastAsia"/>
                    </w:rPr>
                  </w:pPr>
                  <w:r>
                    <w:rPr>
                      <w:rFonts w:hint="eastAsia"/>
                      <w:color w:val="auto"/>
                      <w:sz w:val="21"/>
                      <w:szCs w:val="21"/>
                      <w:lang w:val="en-US" w:eastAsia="zh-CN"/>
                    </w:rPr>
                    <w:t>900-249-08</w:t>
                  </w:r>
                </w:p>
              </w:tc>
              <w:tc>
                <w:tcPr>
                  <w:tcW w:w="2062" w:type="pct"/>
                  <w:vMerge w:val="restart"/>
                  <w:tcBorders>
                    <w:tl2br w:val="nil"/>
                    <w:tr2bl w:val="nil"/>
                  </w:tcBorders>
                  <w:noWrap/>
                  <w:vAlign w:val="center"/>
                </w:tcPr>
                <w:p w14:paraId="51D92FE8">
                  <w:pPr>
                    <w:pStyle w:val="14"/>
                    <w:numPr>
                      <w:ilvl w:val="0"/>
                      <w:numId w:val="0"/>
                    </w:numPr>
                    <w:ind w:left="0" w:leftChars="0" w:firstLine="0" w:firstLineChars="0"/>
                    <w:jc w:val="center"/>
                    <w:rPr>
                      <w:rFonts w:hint="eastAsia"/>
                    </w:rPr>
                  </w:pPr>
                  <w:r>
                    <w:rPr>
                      <w:rFonts w:hint="eastAsia"/>
                      <w:color w:val="auto"/>
                      <w:sz w:val="21"/>
                      <w:szCs w:val="21"/>
                      <w:lang w:val="en-US" w:eastAsia="zh-CN"/>
                    </w:rPr>
                    <w:t>暂存于危废间，定期交给有资质单位处置</w:t>
                  </w:r>
                </w:p>
              </w:tc>
            </w:tr>
            <w:tr w14:paraId="0DAFB2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56" w:type="pct"/>
                  <w:tcBorders>
                    <w:tl2br w:val="nil"/>
                    <w:tr2bl w:val="nil"/>
                  </w:tcBorders>
                  <w:noWrap/>
                  <w:vAlign w:val="center"/>
                </w:tcPr>
                <w:p w14:paraId="16BDAF99">
                  <w:pPr>
                    <w:pStyle w:val="14"/>
                    <w:numPr>
                      <w:ilvl w:val="0"/>
                      <w:numId w:val="0"/>
                    </w:numPr>
                    <w:jc w:val="center"/>
                    <w:rPr>
                      <w:rFonts w:hint="default"/>
                      <w:lang w:val="en-US" w:eastAsia="zh-CN"/>
                    </w:rPr>
                  </w:pPr>
                  <w:r>
                    <w:rPr>
                      <w:rFonts w:hint="eastAsia"/>
                      <w:lang w:val="en-US" w:eastAsia="zh-CN"/>
                    </w:rPr>
                    <w:t>废包装桶</w:t>
                  </w:r>
                </w:p>
              </w:tc>
              <w:tc>
                <w:tcPr>
                  <w:tcW w:w="963" w:type="pct"/>
                  <w:tcBorders>
                    <w:tl2br w:val="nil"/>
                    <w:tr2bl w:val="nil"/>
                  </w:tcBorders>
                  <w:noWrap/>
                  <w:vAlign w:val="center"/>
                </w:tcPr>
                <w:p w14:paraId="4040B470">
                  <w:pPr>
                    <w:pStyle w:val="14"/>
                    <w:numPr>
                      <w:ilvl w:val="0"/>
                      <w:numId w:val="0"/>
                    </w:numPr>
                    <w:ind w:left="0" w:leftChars="0" w:firstLine="0" w:firstLineChars="0"/>
                    <w:jc w:val="center"/>
                    <w:rPr>
                      <w:rFonts w:hint="default"/>
                      <w:color w:val="auto"/>
                      <w:sz w:val="21"/>
                      <w:szCs w:val="21"/>
                      <w:lang w:val="en-US" w:eastAsia="zh-CN"/>
                    </w:rPr>
                  </w:pPr>
                  <w:r>
                    <w:rPr>
                      <w:rFonts w:hint="eastAsia"/>
                      <w:color w:val="auto"/>
                      <w:sz w:val="21"/>
                      <w:szCs w:val="21"/>
                      <w:lang w:val="en-US" w:eastAsia="zh-CN"/>
                    </w:rPr>
                    <w:t>HW49</w:t>
                  </w:r>
                </w:p>
              </w:tc>
              <w:tc>
                <w:tcPr>
                  <w:tcW w:w="817" w:type="pct"/>
                  <w:tcBorders>
                    <w:tl2br w:val="nil"/>
                    <w:tr2bl w:val="nil"/>
                  </w:tcBorders>
                  <w:noWrap/>
                  <w:vAlign w:val="center"/>
                </w:tcPr>
                <w:p w14:paraId="54C8EA3D">
                  <w:pPr>
                    <w:pStyle w:val="14"/>
                    <w:numPr>
                      <w:ilvl w:val="0"/>
                      <w:numId w:val="0"/>
                    </w:numPr>
                    <w:ind w:left="0" w:leftChars="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900-041-49</w:t>
                  </w:r>
                </w:p>
              </w:tc>
              <w:tc>
                <w:tcPr>
                  <w:tcW w:w="2062" w:type="pct"/>
                  <w:vMerge w:val="continue"/>
                  <w:tcBorders>
                    <w:tl2br w:val="nil"/>
                    <w:tr2bl w:val="nil"/>
                  </w:tcBorders>
                  <w:noWrap/>
                  <w:vAlign w:val="center"/>
                </w:tcPr>
                <w:p w14:paraId="74290F67">
                  <w:pPr>
                    <w:pStyle w:val="14"/>
                    <w:numPr>
                      <w:ilvl w:val="0"/>
                      <w:numId w:val="0"/>
                    </w:numPr>
                    <w:ind w:left="0" w:leftChars="0" w:firstLine="0" w:firstLineChars="0"/>
                    <w:jc w:val="center"/>
                    <w:rPr>
                      <w:rFonts w:hint="eastAsia"/>
                      <w:color w:val="auto"/>
                      <w:sz w:val="21"/>
                      <w:szCs w:val="21"/>
                      <w:lang w:val="en-US" w:eastAsia="zh-CN"/>
                    </w:rPr>
                  </w:pPr>
                </w:p>
              </w:tc>
            </w:tr>
            <w:tr w14:paraId="25103E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56" w:type="pct"/>
                  <w:tcBorders>
                    <w:tl2br w:val="nil"/>
                    <w:tr2bl w:val="nil"/>
                  </w:tcBorders>
                  <w:noWrap/>
                  <w:vAlign w:val="center"/>
                </w:tcPr>
                <w:p w14:paraId="4664D2B1">
                  <w:pPr>
                    <w:pStyle w:val="14"/>
                    <w:numPr>
                      <w:ilvl w:val="0"/>
                      <w:numId w:val="0"/>
                    </w:numPr>
                    <w:jc w:val="center"/>
                    <w:rPr>
                      <w:rFonts w:hint="default"/>
                      <w:lang w:val="en-US" w:eastAsia="zh-CN"/>
                    </w:rPr>
                  </w:pPr>
                  <w:r>
                    <w:rPr>
                      <w:rFonts w:hint="eastAsia"/>
                      <w:lang w:val="en-US" w:eastAsia="zh-CN"/>
                    </w:rPr>
                    <w:t>废活性炭</w:t>
                  </w:r>
                </w:p>
              </w:tc>
              <w:tc>
                <w:tcPr>
                  <w:tcW w:w="963" w:type="pct"/>
                  <w:tcBorders>
                    <w:tl2br w:val="nil"/>
                    <w:tr2bl w:val="nil"/>
                  </w:tcBorders>
                  <w:noWrap/>
                  <w:vAlign w:val="center"/>
                </w:tcPr>
                <w:p w14:paraId="73B84A59">
                  <w:pPr>
                    <w:pStyle w:val="14"/>
                    <w:numPr>
                      <w:ilvl w:val="0"/>
                      <w:numId w:val="0"/>
                    </w:numPr>
                    <w:ind w:left="0" w:leftChars="0" w:firstLine="0" w:firstLineChars="0"/>
                    <w:jc w:val="center"/>
                    <w:rPr>
                      <w:rFonts w:hint="default"/>
                      <w:color w:val="auto"/>
                      <w:sz w:val="21"/>
                      <w:szCs w:val="21"/>
                      <w:lang w:val="en-US" w:eastAsia="zh-CN"/>
                    </w:rPr>
                  </w:pPr>
                  <w:r>
                    <w:rPr>
                      <w:rFonts w:hint="eastAsia"/>
                      <w:color w:val="auto"/>
                      <w:sz w:val="21"/>
                      <w:szCs w:val="21"/>
                      <w:lang w:val="en-US" w:eastAsia="zh-CN"/>
                    </w:rPr>
                    <w:t>HW49</w:t>
                  </w:r>
                </w:p>
              </w:tc>
              <w:tc>
                <w:tcPr>
                  <w:tcW w:w="817" w:type="pct"/>
                  <w:tcBorders>
                    <w:tl2br w:val="nil"/>
                    <w:tr2bl w:val="nil"/>
                  </w:tcBorders>
                  <w:noWrap/>
                  <w:vAlign w:val="center"/>
                </w:tcPr>
                <w:p w14:paraId="2BBFA7AD">
                  <w:pPr>
                    <w:pStyle w:val="14"/>
                    <w:numPr>
                      <w:ilvl w:val="0"/>
                      <w:numId w:val="0"/>
                    </w:numPr>
                    <w:ind w:left="0" w:leftChars="0" w:firstLine="0" w:firstLine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900-039-49</w:t>
                  </w:r>
                </w:p>
              </w:tc>
              <w:tc>
                <w:tcPr>
                  <w:tcW w:w="2062" w:type="pct"/>
                  <w:vMerge w:val="continue"/>
                  <w:tcBorders>
                    <w:tl2br w:val="nil"/>
                    <w:tr2bl w:val="nil"/>
                  </w:tcBorders>
                  <w:noWrap/>
                  <w:vAlign w:val="center"/>
                </w:tcPr>
                <w:p w14:paraId="42BDCF5F">
                  <w:pPr>
                    <w:pStyle w:val="14"/>
                    <w:numPr>
                      <w:ilvl w:val="0"/>
                      <w:numId w:val="0"/>
                    </w:numPr>
                    <w:ind w:left="0" w:leftChars="0" w:firstLine="0" w:firstLineChars="0"/>
                    <w:jc w:val="center"/>
                    <w:rPr>
                      <w:rFonts w:hint="eastAsia"/>
                      <w:color w:val="auto"/>
                      <w:sz w:val="21"/>
                      <w:szCs w:val="21"/>
                      <w:lang w:val="en-US" w:eastAsia="zh-CN"/>
                    </w:rPr>
                  </w:pPr>
                </w:p>
              </w:tc>
            </w:tr>
          </w:tbl>
          <w:p w14:paraId="7138F4C8">
            <w:pPr>
              <w:pStyle w:val="5"/>
              <w:ind w:firstLine="422"/>
              <w:rPr>
                <w:sz w:val="24"/>
                <w:szCs w:val="24"/>
              </w:rPr>
            </w:pPr>
            <w:r>
              <w:rPr>
                <w:rFonts w:hint="eastAsia"/>
                <w:sz w:val="24"/>
                <w:szCs w:val="24"/>
              </w:rPr>
              <w:t>4.6固体废物管理要求</w:t>
            </w:r>
          </w:p>
          <w:p w14:paraId="5D36929E">
            <w:pPr>
              <w:spacing w:line="360" w:lineRule="auto"/>
              <w:ind w:firstLine="482" w:firstLineChars="200"/>
              <w:rPr>
                <w:rFonts w:hint="default"/>
                <w:sz w:val="24"/>
                <w:szCs w:val="24"/>
                <w:lang w:val="en-US" w:eastAsia="zh-CN"/>
              </w:rPr>
            </w:pPr>
            <w:r>
              <w:rPr>
                <w:rFonts w:hint="eastAsia"/>
                <w:b/>
                <w:bCs/>
                <w:sz w:val="24"/>
                <w:szCs w:val="24"/>
                <w:lang w:val="en-US" w:eastAsia="zh-CN"/>
              </w:rPr>
              <w:t>1、一般工业固体废物</w:t>
            </w:r>
          </w:p>
          <w:p w14:paraId="0174387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b w:val="0"/>
                <w:bCs w:val="0"/>
                <w:color w:val="auto"/>
                <w:sz w:val="24"/>
                <w:u w:val="none"/>
                <w:lang w:val="en-US" w:eastAsia="zh-CN"/>
              </w:rPr>
            </w:pPr>
            <w:r>
              <w:rPr>
                <w:rFonts w:hint="default" w:ascii="Times New Roman" w:hAnsi="Times New Roman" w:cs="Times New Roman"/>
                <w:b w:val="0"/>
                <w:bCs w:val="0"/>
                <w:color w:val="auto"/>
                <w:sz w:val="24"/>
                <w:u w:val="none"/>
                <w:lang w:val="en-US" w:eastAsia="zh-CN"/>
              </w:rPr>
              <w:t>根据《排污许可证申请与核发技术规范工业固体废物（试行）》（HJ1200-2021）、《一般工业固体废物管理台账制定指南（试行）》要求，本项目固体废物管理要求如下：</w:t>
            </w:r>
          </w:p>
          <w:p w14:paraId="6A11C21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b w:val="0"/>
                <w:bCs w:val="0"/>
                <w:color w:val="auto"/>
                <w:sz w:val="24"/>
                <w:u w:val="none"/>
                <w:lang w:val="en-US" w:eastAsia="zh-CN"/>
              </w:rPr>
            </w:pPr>
            <w:bookmarkStart w:id="7" w:name="_Toc30248"/>
            <w:r>
              <w:rPr>
                <w:rFonts w:hint="default" w:ascii="Times New Roman" w:hAnsi="Times New Roman" w:cs="Times New Roman"/>
                <w:b w:val="0"/>
                <w:bCs w:val="0"/>
                <w:color w:val="auto"/>
                <w:sz w:val="24"/>
                <w:u w:val="none"/>
                <w:lang w:val="en-US" w:eastAsia="zh-CN"/>
              </w:rPr>
              <w:t>（1）一般工业固体废物堆放区按《一般工业固体废物贮存和填埋污染控制标准》（GB18599-2020）中相关要求建设，“一般工业固废其贮存过程应满足相应防渗漏、防雨淋、防扬尘等环境保护要求”。</w:t>
            </w:r>
            <w:bookmarkEnd w:id="7"/>
          </w:p>
          <w:p w14:paraId="7F796E9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b w:val="0"/>
                <w:bCs w:val="0"/>
                <w:color w:val="auto"/>
                <w:sz w:val="24"/>
                <w:u w:val="none"/>
                <w:lang w:val="en-US" w:eastAsia="zh-CN"/>
              </w:rPr>
            </w:pPr>
            <w:bookmarkStart w:id="8" w:name="_Toc2568"/>
            <w:r>
              <w:rPr>
                <w:rFonts w:hint="default" w:ascii="Times New Roman" w:hAnsi="Times New Roman" w:cs="Times New Roman"/>
                <w:b w:val="0"/>
                <w:bCs w:val="0"/>
                <w:color w:val="auto"/>
                <w:sz w:val="24"/>
                <w:u w:val="none"/>
                <w:lang w:val="en-US" w:eastAsia="zh-CN"/>
              </w:rPr>
              <w:t>（2）一般工业固体废物信息填报</w:t>
            </w:r>
            <w:bookmarkEnd w:id="8"/>
          </w:p>
          <w:p w14:paraId="5BF71F1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b w:val="0"/>
                <w:bCs w:val="0"/>
                <w:color w:val="auto"/>
                <w:sz w:val="24"/>
                <w:u w:val="none"/>
                <w:lang w:val="en-US" w:eastAsia="zh-CN"/>
              </w:rPr>
            </w:pPr>
            <w:bookmarkStart w:id="9" w:name="_Toc3099"/>
            <w:r>
              <w:rPr>
                <w:rFonts w:hint="default" w:ascii="Times New Roman" w:hAnsi="Times New Roman" w:cs="Times New Roman"/>
                <w:b w:val="0"/>
                <w:bCs w:val="0"/>
                <w:color w:val="auto"/>
                <w:sz w:val="24"/>
                <w:u w:val="none"/>
                <w:lang w:val="en-US" w:eastAsia="zh-CN"/>
              </w:rPr>
              <w:t>①一般工业固体废物基础信息包括一般工业固体废物的名称、代码、类别、物理性状、产生环节、去向等信息</w:t>
            </w:r>
            <w:bookmarkEnd w:id="9"/>
          </w:p>
          <w:p w14:paraId="50970A9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b w:val="0"/>
                <w:bCs w:val="0"/>
                <w:color w:val="auto"/>
                <w:sz w:val="24"/>
                <w:u w:val="none"/>
                <w:lang w:val="en-US" w:eastAsia="zh-CN"/>
              </w:rPr>
            </w:pPr>
            <w:bookmarkStart w:id="10" w:name="_Toc13370"/>
            <w:r>
              <w:rPr>
                <w:rFonts w:hint="default" w:ascii="Times New Roman" w:hAnsi="Times New Roman" w:cs="Times New Roman"/>
                <w:b w:val="0"/>
                <w:bCs w:val="0"/>
                <w:color w:val="auto"/>
                <w:sz w:val="24"/>
                <w:u w:val="none"/>
                <w:lang w:val="en-US" w:eastAsia="zh-CN"/>
              </w:rPr>
              <w:t>②一般工业固体废物自行贮存设施信息包括贮存设施名称、编号、类型、位置、是否符合贮存相关标准要求、贮存一般工业固体废物能力、面积，贮存一般工业固体废物的名称、代码、类别、物理性状、产生环节等信息。</w:t>
            </w:r>
            <w:bookmarkEnd w:id="10"/>
          </w:p>
          <w:p w14:paraId="412EEBD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b w:val="0"/>
                <w:bCs w:val="0"/>
                <w:color w:val="auto"/>
                <w:sz w:val="24"/>
                <w:u w:val="none"/>
                <w:lang w:val="en-US" w:eastAsia="zh-CN"/>
              </w:rPr>
            </w:pPr>
            <w:bookmarkStart w:id="11" w:name="_Toc14984"/>
            <w:r>
              <w:rPr>
                <w:rFonts w:hint="default" w:ascii="Times New Roman" w:hAnsi="Times New Roman" w:cs="Times New Roman"/>
                <w:b w:val="0"/>
                <w:bCs w:val="0"/>
                <w:color w:val="auto"/>
                <w:sz w:val="24"/>
                <w:u w:val="none"/>
                <w:lang w:val="en-US" w:eastAsia="zh-CN"/>
              </w:rPr>
              <w:t>③一般工业固体废物自行利用/处置设施信息包括设施名称、编号、类型、位置、利用/处置方式、利用/处置一般工业固体废物能力，利用/处置一般工业固体废物的名称、代码、类别、物理性状、产生环节等信息。</w:t>
            </w:r>
          </w:p>
          <w:p w14:paraId="05AB8BF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b w:val="0"/>
                <w:bCs w:val="0"/>
                <w:color w:val="auto"/>
                <w:sz w:val="24"/>
                <w:u w:val="none"/>
                <w:lang w:val="en-US" w:eastAsia="zh-CN"/>
              </w:rPr>
            </w:pPr>
            <w:r>
              <w:rPr>
                <w:rFonts w:hint="default" w:ascii="Times New Roman" w:hAnsi="Times New Roman" w:cs="Times New Roman"/>
                <w:b w:val="0"/>
                <w:bCs w:val="0"/>
                <w:color w:val="auto"/>
                <w:sz w:val="24"/>
                <w:u w:val="none"/>
                <w:lang w:val="en-US" w:eastAsia="zh-CN"/>
              </w:rPr>
              <w:t>（3）一般工业固体废物污染防控技术要求一般工业固体废物的贮存过程应满足相应防渗漏、防雨淋、防扬尘等环境保护要求；危险废物和生活垃圾不得进入一般工业固体废物贮存场及填埋场；不相容的一般工业固体废物应设置不同的分区进行贮存和填埋作业；贮存场应设置清晰、完整的一般工业固体废物标志牌。</w:t>
            </w:r>
            <w:bookmarkEnd w:id="11"/>
          </w:p>
          <w:p w14:paraId="344185A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b w:val="0"/>
                <w:bCs w:val="0"/>
                <w:color w:val="auto"/>
                <w:sz w:val="24"/>
                <w:u w:val="none"/>
                <w:lang w:val="en-US" w:eastAsia="zh-CN"/>
              </w:rPr>
            </w:pPr>
            <w:bookmarkStart w:id="12" w:name="_Toc20107"/>
            <w:r>
              <w:rPr>
                <w:rFonts w:hint="default" w:ascii="Times New Roman" w:hAnsi="Times New Roman" w:cs="Times New Roman"/>
                <w:b w:val="0"/>
                <w:bCs w:val="0"/>
                <w:color w:val="auto"/>
                <w:sz w:val="24"/>
                <w:u w:val="none"/>
                <w:lang w:val="en-US" w:eastAsia="zh-CN"/>
              </w:rPr>
              <w:t>（4）一般工业固体废物环境管理台账要求排污单位应建立环境管理台账制度，一般工业固体废物环境管理台账记录应符合生态环境部规定的一般工业固体废物环境管理台账相关标准及管理文件要求。</w:t>
            </w:r>
            <w:bookmarkEnd w:id="12"/>
          </w:p>
          <w:p w14:paraId="7879D25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b w:val="0"/>
                <w:bCs w:val="0"/>
                <w:color w:val="auto"/>
                <w:sz w:val="24"/>
                <w:u w:val="none"/>
                <w:lang w:val="en-US" w:eastAsia="zh-CN"/>
              </w:rPr>
            </w:pPr>
            <w:bookmarkStart w:id="13" w:name="_Toc29935"/>
            <w:r>
              <w:rPr>
                <w:rFonts w:hint="default" w:ascii="Times New Roman" w:hAnsi="Times New Roman" w:cs="Times New Roman"/>
                <w:b w:val="0"/>
                <w:bCs w:val="0"/>
                <w:color w:val="auto"/>
                <w:sz w:val="24"/>
                <w:u w:val="none"/>
                <w:lang w:val="en-US" w:eastAsia="zh-CN"/>
              </w:rPr>
              <w:t>①一般工业固体废物管理台账实施分级管理。主要记录固体废物的基础信息及流向信息，所有产废单位均应当填写。结合环境影响评价、排污许可等材料，根据实际生产运营情况记录固体废物产生信息，生产工艺发生重大变动等原因导致固体废物产生种类等发生变化的，应当及时另行填写。</w:t>
            </w:r>
            <w:bookmarkEnd w:id="13"/>
          </w:p>
          <w:p w14:paraId="37622E3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b w:val="0"/>
                <w:bCs w:val="0"/>
                <w:color w:val="auto"/>
                <w:sz w:val="24"/>
                <w:u w:val="none"/>
                <w:lang w:val="en-US" w:eastAsia="zh-CN"/>
              </w:rPr>
            </w:pPr>
            <w:bookmarkStart w:id="14" w:name="_Toc5359"/>
            <w:r>
              <w:rPr>
                <w:rFonts w:hint="default" w:ascii="Times New Roman" w:hAnsi="Times New Roman" w:cs="Times New Roman"/>
                <w:b w:val="0"/>
                <w:bCs w:val="0"/>
                <w:color w:val="auto"/>
                <w:sz w:val="24"/>
                <w:u w:val="none"/>
                <w:lang w:val="en-US" w:eastAsia="zh-CN"/>
              </w:rPr>
              <w:t>②鼓励产废单位采用国家建立的一般工业固体废物管理电子台账，简化数据填写、台账管理等工作。地方和企业自行开发的电子台账要实现与国家系统对接。建立电子台账的产废单位，可不再记录纸质台账。③台账记录表各表单的负责人对记录信息的真实性、完整性和规范性负责。</w:t>
            </w:r>
            <w:bookmarkEnd w:id="14"/>
          </w:p>
          <w:p w14:paraId="5FB1135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b w:val="0"/>
                <w:bCs w:val="0"/>
                <w:color w:val="auto"/>
                <w:sz w:val="24"/>
                <w:u w:val="none"/>
                <w:lang w:val="en-US" w:eastAsia="zh-CN"/>
              </w:rPr>
            </w:pPr>
            <w:bookmarkStart w:id="15" w:name="_Toc3098"/>
            <w:r>
              <w:rPr>
                <w:rFonts w:hint="default" w:ascii="Times New Roman" w:hAnsi="Times New Roman" w:cs="Times New Roman"/>
                <w:b w:val="0"/>
                <w:bCs w:val="0"/>
                <w:color w:val="auto"/>
                <w:sz w:val="24"/>
                <w:u w:val="none"/>
                <w:lang w:val="en-US" w:eastAsia="zh-CN"/>
              </w:rPr>
              <w:t>④产废单位应当设立专人负责台账的管理与归档，一般工业固体废物管理台账保存期限不少于5年。</w:t>
            </w:r>
            <w:bookmarkEnd w:id="15"/>
          </w:p>
          <w:p w14:paraId="5716F02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b w:val="0"/>
                <w:bCs w:val="0"/>
                <w:color w:val="auto"/>
                <w:sz w:val="24"/>
                <w:u w:val="none"/>
                <w:lang w:val="en-US" w:eastAsia="zh-CN"/>
              </w:rPr>
            </w:pPr>
            <w:bookmarkStart w:id="16" w:name="_Toc12041"/>
            <w:r>
              <w:rPr>
                <w:rFonts w:hint="default" w:ascii="Times New Roman" w:hAnsi="Times New Roman" w:cs="Times New Roman"/>
                <w:b w:val="0"/>
                <w:bCs w:val="0"/>
                <w:color w:val="auto"/>
                <w:sz w:val="24"/>
                <w:u w:val="none"/>
                <w:lang w:val="en-US" w:eastAsia="zh-CN"/>
              </w:rPr>
              <w:t>⑤鼓励有条件的产废单位在固体废物产生场所、贮存场所及磅秤位置等关键点位设置视频监控，提高台账记录信息的准确性。</w:t>
            </w:r>
            <w:bookmarkEnd w:id="16"/>
          </w:p>
          <w:p w14:paraId="4D858AD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 w:val="0"/>
                <w:bCs w:val="0"/>
                <w:color w:val="auto"/>
                <w:sz w:val="24"/>
                <w:u w:val="none"/>
                <w:lang w:val="en-US" w:eastAsia="zh-CN"/>
              </w:rPr>
            </w:pPr>
            <w:bookmarkStart w:id="17" w:name="_Toc17180"/>
            <w:r>
              <w:rPr>
                <w:rFonts w:hint="default" w:ascii="Times New Roman" w:hAnsi="Times New Roman" w:cs="Times New Roman"/>
                <w:b w:val="0"/>
                <w:bCs w:val="0"/>
                <w:color w:val="auto"/>
                <w:sz w:val="24"/>
                <w:u w:val="none"/>
              </w:rPr>
              <w:t>综上所述，项目固体废物的收集、贮运和转运环节参照《一般工业固体废物贮存和填埋污染控制标准》（GB18599-2020）等相关规范进行。在加强管理并落实好各项污染防治措施和固体废物安全处置措施的前提下，项目产生的固体废物对周围环境的影响较小。</w:t>
            </w:r>
            <w:bookmarkEnd w:id="17"/>
          </w:p>
          <w:p w14:paraId="4C060415">
            <w:pPr>
              <w:widowControl/>
              <w:spacing w:line="360" w:lineRule="auto"/>
              <w:ind w:firstLine="482" w:firstLineChars="200"/>
              <w:jc w:val="left"/>
              <w:rPr>
                <w:rFonts w:hint="eastAsia" w:ascii="宋体" w:hAnsi="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2、危险废物</w:t>
            </w:r>
          </w:p>
          <w:p w14:paraId="3FA9505E">
            <w:pPr>
              <w:pStyle w:val="36"/>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snapToGrid/>
                <w:color w:val="000000" w:themeColor="text1"/>
                <w:kern w:val="2"/>
                <w:sz w:val="24"/>
                <w:szCs w:val="24"/>
                <w:highlight w:val="none"/>
                <w:lang w:val="en-US" w:eastAsia="zh-CN" w:bidi="zh-CN"/>
              </w:rPr>
            </w:pPr>
            <w:r>
              <w:rPr>
                <w:rFonts w:hint="default" w:ascii="Times New Roman" w:hAnsi="Times New Roman" w:eastAsia="宋体" w:cs="Times New Roman"/>
                <w:snapToGrid/>
                <w:color w:val="000000" w:themeColor="text1"/>
                <w:kern w:val="2"/>
                <w:sz w:val="24"/>
                <w:szCs w:val="24"/>
                <w:highlight w:val="none"/>
                <w:lang w:val="en-US" w:eastAsia="zh-CN" w:bidi="zh-CN"/>
              </w:rPr>
              <w:t>（1）危险废物临时贮存及管理</w:t>
            </w:r>
          </w:p>
          <w:p w14:paraId="3A7E11AB">
            <w:pPr>
              <w:pStyle w:val="36"/>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snapToGrid/>
                <w:color w:val="000000" w:themeColor="text1"/>
                <w:kern w:val="2"/>
                <w:sz w:val="24"/>
                <w:szCs w:val="24"/>
                <w:highlight w:val="none"/>
                <w:lang w:val="en-US" w:eastAsia="zh-CN" w:bidi="zh-CN"/>
              </w:rPr>
            </w:pPr>
            <w:r>
              <w:rPr>
                <w:rFonts w:hint="eastAsia" w:ascii="Times New Roman" w:hAnsi="Times New Roman" w:eastAsia="宋体" w:cs="Times New Roman"/>
                <w:snapToGrid/>
                <w:color w:val="000000" w:themeColor="text1"/>
                <w:kern w:val="2"/>
                <w:sz w:val="24"/>
                <w:szCs w:val="24"/>
                <w:highlight w:val="none"/>
                <w:lang w:val="en-US" w:eastAsia="zh-CN" w:bidi="zh-CN"/>
              </w:rPr>
              <w:t>厂</w:t>
            </w:r>
            <w:r>
              <w:rPr>
                <w:rFonts w:hint="default" w:ascii="Times New Roman" w:hAnsi="Times New Roman" w:eastAsia="宋体" w:cs="Times New Roman"/>
                <w:snapToGrid/>
                <w:color w:val="000000" w:themeColor="text1"/>
                <w:kern w:val="2"/>
                <w:sz w:val="24"/>
                <w:szCs w:val="24"/>
                <w:highlight w:val="none"/>
                <w:lang w:val="en-US" w:eastAsia="zh-CN" w:bidi="zh-CN"/>
              </w:rPr>
              <w:t>区</w:t>
            </w:r>
            <w:r>
              <w:rPr>
                <w:rFonts w:hint="eastAsia" w:ascii="Times New Roman" w:hAnsi="Times New Roman" w:eastAsia="宋体" w:cs="Times New Roman"/>
                <w:snapToGrid/>
                <w:color w:val="000000" w:themeColor="text1"/>
                <w:kern w:val="2"/>
                <w:sz w:val="24"/>
                <w:szCs w:val="24"/>
                <w:highlight w:val="none"/>
                <w:lang w:val="en-US" w:eastAsia="zh-CN" w:bidi="zh-CN"/>
              </w:rPr>
              <w:t>建设1处危废贮存库，危废贮存库应按照《危险废物贮存污染控制标准》（GB18597-2023）的相关要求建设</w:t>
            </w:r>
            <w:r>
              <w:rPr>
                <w:rFonts w:hint="default" w:ascii="Times New Roman" w:hAnsi="Times New Roman" w:eastAsia="宋体" w:cs="Times New Roman"/>
                <w:snapToGrid/>
                <w:color w:val="000000" w:themeColor="text1"/>
                <w:kern w:val="2"/>
                <w:sz w:val="24"/>
                <w:szCs w:val="24"/>
                <w:highlight w:val="none"/>
                <w:lang w:val="en-US" w:eastAsia="zh-CN" w:bidi="zh-CN"/>
              </w:rPr>
              <w:t>。项目危险废物包括液体和固体，环评要求废机油采用密封危险废物专用收集桶收集，危废废物根据属性分区暂存于</w:t>
            </w:r>
            <w:r>
              <w:rPr>
                <w:rFonts w:hint="eastAsia" w:ascii="Times New Roman" w:hAnsi="Times New Roman" w:eastAsia="宋体" w:cs="Times New Roman"/>
                <w:snapToGrid/>
                <w:color w:val="000000" w:themeColor="text1"/>
                <w:kern w:val="2"/>
                <w:sz w:val="24"/>
                <w:szCs w:val="24"/>
                <w:highlight w:val="none"/>
                <w:lang w:val="en-US" w:eastAsia="zh-CN" w:bidi="zh-CN"/>
              </w:rPr>
              <w:t>危废贮存库</w:t>
            </w:r>
            <w:r>
              <w:rPr>
                <w:rFonts w:hint="default" w:ascii="Times New Roman" w:hAnsi="Times New Roman" w:eastAsia="宋体" w:cs="Times New Roman"/>
                <w:snapToGrid/>
                <w:color w:val="000000" w:themeColor="text1"/>
                <w:kern w:val="2"/>
                <w:sz w:val="24"/>
                <w:szCs w:val="24"/>
                <w:highlight w:val="none"/>
                <w:lang w:val="en-US" w:eastAsia="zh-CN" w:bidi="zh-CN"/>
              </w:rPr>
              <w:t>。</w:t>
            </w:r>
            <w:r>
              <w:rPr>
                <w:rFonts w:hint="eastAsia" w:ascii="Times New Roman" w:hAnsi="Times New Roman" w:eastAsia="宋体" w:cs="Times New Roman"/>
                <w:snapToGrid/>
                <w:color w:val="000000" w:themeColor="text1"/>
                <w:kern w:val="2"/>
                <w:sz w:val="24"/>
                <w:szCs w:val="24"/>
                <w:highlight w:val="none"/>
                <w:lang w:val="en-US" w:eastAsia="zh-CN" w:bidi="zh-CN"/>
              </w:rPr>
              <w:t>危废贮存库</w:t>
            </w:r>
            <w:r>
              <w:rPr>
                <w:rFonts w:hint="default" w:ascii="Times New Roman" w:hAnsi="Times New Roman" w:eastAsia="宋体" w:cs="Times New Roman"/>
                <w:snapToGrid/>
                <w:color w:val="000000" w:themeColor="text1"/>
                <w:kern w:val="2"/>
                <w:sz w:val="24"/>
                <w:szCs w:val="24"/>
                <w:highlight w:val="none"/>
                <w:lang w:val="en-US" w:eastAsia="zh-CN" w:bidi="zh-CN"/>
              </w:rPr>
              <w:t>可分为</w:t>
            </w:r>
            <w:r>
              <w:rPr>
                <w:rFonts w:hint="eastAsia" w:ascii="Times New Roman" w:hAnsi="Times New Roman" w:eastAsia="宋体" w:cs="Times New Roman"/>
                <w:snapToGrid/>
                <w:color w:val="000000" w:themeColor="text1"/>
                <w:kern w:val="2"/>
                <w:sz w:val="24"/>
                <w:szCs w:val="24"/>
                <w:highlight w:val="none"/>
                <w:lang w:val="en-US" w:eastAsia="zh-CN" w:bidi="zh-CN"/>
              </w:rPr>
              <w:t>3</w:t>
            </w:r>
            <w:r>
              <w:rPr>
                <w:rFonts w:hint="default" w:ascii="Times New Roman" w:hAnsi="Times New Roman" w:eastAsia="宋体" w:cs="Times New Roman"/>
                <w:snapToGrid/>
                <w:color w:val="000000" w:themeColor="text1"/>
                <w:kern w:val="2"/>
                <w:sz w:val="24"/>
                <w:szCs w:val="24"/>
                <w:highlight w:val="none"/>
                <w:lang w:val="en-US" w:eastAsia="zh-CN" w:bidi="zh-CN"/>
              </w:rPr>
              <w:t>个区，其中废活性炭储存于一个区，</w:t>
            </w:r>
            <w:r>
              <w:rPr>
                <w:rFonts w:hint="eastAsia" w:ascii="Times New Roman" w:hAnsi="Times New Roman" w:eastAsia="宋体" w:cs="Times New Roman"/>
                <w:snapToGrid/>
                <w:color w:val="000000" w:themeColor="text1"/>
                <w:kern w:val="2"/>
                <w:sz w:val="24"/>
                <w:szCs w:val="24"/>
                <w:highlight w:val="none"/>
                <w:lang w:val="en-US" w:eastAsia="zh-CN" w:bidi="zh-CN"/>
              </w:rPr>
              <w:t>废包装</w:t>
            </w:r>
            <w:r>
              <w:rPr>
                <w:rFonts w:hint="default" w:ascii="Times New Roman" w:hAnsi="Times New Roman" w:eastAsia="宋体" w:cs="Times New Roman"/>
                <w:snapToGrid/>
                <w:color w:val="000000" w:themeColor="text1"/>
                <w:kern w:val="2"/>
                <w:sz w:val="24"/>
                <w:szCs w:val="24"/>
                <w:highlight w:val="none"/>
                <w:lang w:val="en-US" w:eastAsia="zh-CN" w:bidi="zh-CN"/>
              </w:rPr>
              <w:t>储存于一个区</w:t>
            </w:r>
            <w:r>
              <w:rPr>
                <w:rFonts w:hint="eastAsia" w:ascii="Times New Roman" w:hAnsi="Times New Roman" w:eastAsia="宋体" w:cs="Times New Roman"/>
                <w:snapToGrid/>
                <w:color w:val="000000" w:themeColor="text1"/>
                <w:kern w:val="2"/>
                <w:sz w:val="24"/>
                <w:szCs w:val="24"/>
                <w:highlight w:val="none"/>
                <w:lang w:val="en-US" w:eastAsia="zh-CN" w:bidi="zh-CN"/>
              </w:rPr>
              <w:t>，</w:t>
            </w:r>
            <w:r>
              <w:rPr>
                <w:rFonts w:hint="default" w:ascii="Times New Roman" w:hAnsi="Times New Roman" w:eastAsia="宋体" w:cs="Times New Roman"/>
                <w:snapToGrid/>
                <w:color w:val="000000" w:themeColor="text1"/>
                <w:kern w:val="2"/>
                <w:sz w:val="24"/>
                <w:szCs w:val="24"/>
                <w:highlight w:val="none"/>
                <w:lang w:val="en-US" w:eastAsia="zh-CN" w:bidi="zh-CN"/>
              </w:rPr>
              <w:t>废机油收集桶单独暂存于一个区。</w:t>
            </w:r>
            <w:r>
              <w:rPr>
                <w:rFonts w:hint="eastAsia" w:ascii="Times New Roman" w:hAnsi="Times New Roman" w:eastAsia="宋体" w:cs="Times New Roman"/>
                <w:snapToGrid/>
                <w:color w:val="000000" w:themeColor="text1"/>
                <w:kern w:val="2"/>
                <w:sz w:val="24"/>
                <w:szCs w:val="24"/>
                <w:highlight w:val="none"/>
                <w:lang w:val="en-US" w:eastAsia="zh-CN" w:bidi="zh-CN"/>
              </w:rPr>
              <w:t>不同贮存分区采取溢油导流槽隔开，导流槽与应急收集池相连接，用于收集泄漏的废机油。事故状态下，危废贮存库内贮存的废机油若发生泄漏，可通过导流槽进入应急池内。</w:t>
            </w:r>
          </w:p>
          <w:p w14:paraId="083C6360">
            <w:pPr>
              <w:pStyle w:val="36"/>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snapToGrid w:val="0"/>
                <w:color w:val="000000" w:themeColor="text1"/>
                <w:kern w:val="2"/>
                <w:sz w:val="24"/>
                <w:szCs w:val="24"/>
                <w:highlight w:val="none"/>
                <w:lang w:val="en-US" w:eastAsia="zh-CN" w:bidi="ar-SA"/>
              </w:rPr>
            </w:pPr>
            <w:r>
              <w:rPr>
                <w:rFonts w:hint="default" w:ascii="Times New Roman" w:hAnsi="Times New Roman" w:eastAsia="宋体" w:cs="Times New Roman"/>
                <w:snapToGrid/>
                <w:color w:val="000000" w:themeColor="text1"/>
                <w:kern w:val="2"/>
                <w:sz w:val="24"/>
                <w:szCs w:val="24"/>
                <w:highlight w:val="none"/>
                <w:lang w:val="en-US" w:eastAsia="zh-CN" w:bidi="zh-CN"/>
              </w:rPr>
              <w:t>建设单位应按照《危险废物贮存污染控制标准》</w:t>
            </w:r>
            <w:r>
              <w:rPr>
                <w:rFonts w:hint="eastAsia" w:ascii="Times New Roman" w:hAnsi="Times New Roman" w:eastAsia="宋体" w:cs="Times New Roman"/>
                <w:snapToGrid/>
                <w:color w:val="000000" w:themeColor="text1"/>
                <w:kern w:val="2"/>
                <w:sz w:val="24"/>
                <w:szCs w:val="24"/>
                <w:highlight w:val="none"/>
                <w:lang w:val="en-US" w:eastAsia="zh-CN" w:bidi="zh-CN"/>
              </w:rPr>
              <w:t>（</w:t>
            </w:r>
            <w:r>
              <w:rPr>
                <w:rFonts w:hint="default" w:ascii="Times New Roman" w:hAnsi="Times New Roman" w:eastAsia="宋体" w:cs="Times New Roman"/>
                <w:snapToGrid/>
                <w:color w:val="000000" w:themeColor="text1"/>
                <w:kern w:val="2"/>
                <w:sz w:val="24"/>
                <w:szCs w:val="24"/>
                <w:highlight w:val="none"/>
                <w:lang w:val="en-US" w:eastAsia="zh-CN" w:bidi="zh-CN"/>
              </w:rPr>
              <w:t>GB18597-2023</w:t>
            </w:r>
            <w:r>
              <w:rPr>
                <w:rFonts w:hint="eastAsia" w:ascii="Times New Roman" w:hAnsi="Times New Roman" w:eastAsia="宋体" w:cs="Times New Roman"/>
                <w:snapToGrid/>
                <w:color w:val="000000" w:themeColor="text1"/>
                <w:kern w:val="2"/>
                <w:sz w:val="24"/>
                <w:szCs w:val="24"/>
                <w:highlight w:val="none"/>
                <w:lang w:val="en-US" w:eastAsia="zh-CN" w:bidi="zh-CN"/>
              </w:rPr>
              <w:t>）</w:t>
            </w:r>
            <w:r>
              <w:rPr>
                <w:rFonts w:hint="default" w:ascii="Times New Roman" w:hAnsi="Times New Roman" w:eastAsia="宋体" w:cs="Times New Roman"/>
                <w:snapToGrid/>
                <w:color w:val="000000" w:themeColor="text1"/>
                <w:kern w:val="2"/>
                <w:sz w:val="24"/>
                <w:szCs w:val="24"/>
                <w:highlight w:val="none"/>
                <w:lang w:val="en-US" w:eastAsia="zh-CN" w:bidi="zh-CN"/>
              </w:rPr>
              <w:t>的相关要求</w:t>
            </w:r>
            <w:r>
              <w:rPr>
                <w:rFonts w:hint="default" w:ascii="Times New Roman" w:hAnsi="Times New Roman" w:eastAsia="宋体" w:cs="Times New Roman"/>
                <w:snapToGrid w:val="0"/>
                <w:color w:val="000000" w:themeColor="text1"/>
                <w:kern w:val="2"/>
                <w:sz w:val="24"/>
                <w:szCs w:val="24"/>
                <w:highlight w:val="none"/>
                <w:lang w:val="en-US" w:eastAsia="zh-CN" w:bidi="ar-SA"/>
              </w:rPr>
              <w:t>进行防风、防晒、防雨、防漏、防渗、防腐以及其他环境污染防治措施，不应露天堆放危险废物。将危废对周边环境的影响降到最小，应遵循的设置要求如下：</w:t>
            </w:r>
          </w:p>
          <w:p w14:paraId="70D21846">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napToGrid w:val="0"/>
                <w:color w:val="000000" w:themeColor="text1"/>
                <w:kern w:val="2"/>
                <w:sz w:val="24"/>
                <w:szCs w:val="24"/>
                <w:highlight w:val="none"/>
                <w:lang w:val="en-US" w:eastAsia="zh-CN" w:bidi="ar-SA"/>
              </w:rPr>
            </w:pPr>
            <w:r>
              <w:rPr>
                <w:rFonts w:hint="default" w:ascii="Times New Roman" w:hAnsi="Times New Roman" w:eastAsia="宋体" w:cs="Times New Roman"/>
                <w:snapToGrid w:val="0"/>
                <w:color w:val="000000" w:themeColor="text1"/>
                <w:kern w:val="2"/>
                <w:sz w:val="24"/>
                <w:szCs w:val="24"/>
                <w:highlight w:val="none"/>
                <w:lang w:val="en-US" w:eastAsia="zh-CN" w:bidi="ar-SA"/>
              </w:rPr>
              <w:t>①贮存设施应根据危险废物的类别、数量、形态、物理化学性质和污染防治等要求设置必要贮存分区，避免不相容的危险废物接触、混合；</w:t>
            </w:r>
          </w:p>
          <w:p w14:paraId="052C440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napToGrid w:val="0"/>
                <w:color w:val="000000" w:themeColor="text1"/>
                <w:kern w:val="2"/>
                <w:sz w:val="24"/>
                <w:szCs w:val="24"/>
                <w:highlight w:val="none"/>
                <w:lang w:val="en-US" w:eastAsia="zh-CN" w:bidi="ar-SA"/>
              </w:rPr>
            </w:pPr>
            <w:r>
              <w:rPr>
                <w:rFonts w:hint="default" w:ascii="Times New Roman" w:hAnsi="Times New Roman" w:eastAsia="宋体" w:cs="Times New Roman"/>
                <w:snapToGrid w:val="0"/>
                <w:color w:val="000000" w:themeColor="text1"/>
                <w:kern w:val="2"/>
                <w:sz w:val="24"/>
                <w:szCs w:val="24"/>
                <w:highlight w:val="none"/>
                <w:lang w:val="en-US" w:eastAsia="zh-CN" w:bidi="ar-SA"/>
              </w:rPr>
              <w:t>②贮存设施地面、墙面裙脚、堵截泄漏的围堰、接触危险废物的隔板和墙体等应采用坚固的材料建造，表面无裂缝；</w:t>
            </w:r>
          </w:p>
          <w:p w14:paraId="4E1436C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napToGrid w:val="0"/>
                <w:color w:val="000000" w:themeColor="text1"/>
                <w:kern w:val="2"/>
                <w:sz w:val="24"/>
                <w:szCs w:val="24"/>
                <w:highlight w:val="none"/>
                <w:lang w:val="en-US" w:eastAsia="zh-CN" w:bidi="ar-SA"/>
              </w:rPr>
            </w:pPr>
            <w:r>
              <w:rPr>
                <w:rFonts w:hint="default" w:ascii="Times New Roman" w:hAnsi="Times New Roman" w:eastAsia="宋体" w:cs="Times New Roman"/>
                <w:snapToGrid w:val="0"/>
                <w:color w:val="000000" w:themeColor="text1"/>
                <w:kern w:val="2"/>
                <w:sz w:val="24"/>
                <w:szCs w:val="24"/>
                <w:highlight w:val="none"/>
                <w:lang w:val="en-US" w:eastAsia="zh-CN" w:bidi="ar-SA"/>
              </w:rPr>
              <w:t>③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w:t>
            </w:r>
            <w:r>
              <w:rPr>
                <w:rFonts w:hint="eastAsia" w:ascii="Times New Roman" w:hAnsi="Times New Roman" w:eastAsia="宋体" w:cs="Times New Roman"/>
                <w:snapToGrid w:val="0"/>
                <w:color w:val="000000" w:themeColor="text1"/>
                <w:kern w:val="2"/>
                <w:sz w:val="24"/>
                <w:szCs w:val="24"/>
                <w:highlight w:val="none"/>
                <w:lang w:val="en-US" w:eastAsia="zh-CN" w:bidi="ar-SA"/>
              </w:rPr>
              <w:t>米</w:t>
            </w:r>
            <w:r>
              <w:rPr>
                <w:rFonts w:hint="default" w:ascii="Times New Roman" w:hAnsi="Times New Roman" w:eastAsia="宋体" w:cs="Times New Roman"/>
                <w:snapToGrid w:val="0"/>
                <w:color w:val="000000" w:themeColor="text1"/>
                <w:kern w:val="2"/>
                <w:sz w:val="24"/>
                <w:szCs w:val="24"/>
                <w:highlight w:val="none"/>
                <w:lang w:val="en-US" w:eastAsia="zh-CN" w:bidi="ar-SA"/>
              </w:rPr>
              <w:t>厚黏土层（渗透系数不大于10</w:t>
            </w:r>
            <w:r>
              <w:rPr>
                <w:rFonts w:hint="default" w:ascii="Times New Roman" w:hAnsi="Times New Roman" w:eastAsia="宋体" w:cs="Times New Roman"/>
                <w:snapToGrid w:val="0"/>
                <w:color w:val="000000" w:themeColor="text1"/>
                <w:kern w:val="2"/>
                <w:sz w:val="24"/>
                <w:szCs w:val="24"/>
                <w:highlight w:val="none"/>
                <w:vertAlign w:val="superscript"/>
                <w:lang w:val="en-US" w:eastAsia="zh-CN" w:bidi="ar-SA"/>
              </w:rPr>
              <w:t>-7</w:t>
            </w:r>
            <w:r>
              <w:rPr>
                <w:rFonts w:hint="eastAsia" w:ascii="Times New Roman" w:hAnsi="Times New Roman" w:eastAsia="宋体" w:cs="Times New Roman"/>
                <w:snapToGrid w:val="0"/>
                <w:color w:val="000000" w:themeColor="text1"/>
                <w:kern w:val="2"/>
                <w:sz w:val="24"/>
                <w:szCs w:val="24"/>
                <w:highlight w:val="none"/>
                <w:lang w:val="en-US" w:eastAsia="zh-CN" w:bidi="ar-SA"/>
              </w:rPr>
              <w:t>厘米</w:t>
            </w:r>
            <w:r>
              <w:rPr>
                <w:rFonts w:hint="default" w:ascii="Times New Roman" w:hAnsi="Times New Roman" w:eastAsia="宋体" w:cs="Times New Roman"/>
                <w:snapToGrid w:val="0"/>
                <w:color w:val="000000" w:themeColor="text1"/>
                <w:kern w:val="2"/>
                <w:sz w:val="24"/>
                <w:szCs w:val="24"/>
                <w:highlight w:val="none"/>
                <w:lang w:val="en-US" w:eastAsia="zh-CN" w:bidi="ar-SA"/>
              </w:rPr>
              <w:t>/</w:t>
            </w:r>
            <w:r>
              <w:rPr>
                <w:rFonts w:hint="eastAsia" w:ascii="Times New Roman" w:hAnsi="Times New Roman" w:eastAsia="宋体" w:cs="Times New Roman"/>
                <w:snapToGrid w:val="0"/>
                <w:color w:val="000000" w:themeColor="text1"/>
                <w:kern w:val="2"/>
                <w:sz w:val="24"/>
                <w:szCs w:val="24"/>
                <w:highlight w:val="none"/>
                <w:lang w:val="en-US" w:eastAsia="zh-CN" w:bidi="ar-SA"/>
              </w:rPr>
              <w:t>秒</w:t>
            </w:r>
            <w:r>
              <w:rPr>
                <w:rFonts w:hint="default" w:ascii="Times New Roman" w:hAnsi="Times New Roman" w:eastAsia="宋体" w:cs="Times New Roman"/>
                <w:snapToGrid w:val="0"/>
                <w:color w:val="000000" w:themeColor="text1"/>
                <w:kern w:val="2"/>
                <w:sz w:val="24"/>
                <w:szCs w:val="24"/>
                <w:highlight w:val="none"/>
                <w:lang w:val="en-US" w:eastAsia="zh-CN" w:bidi="ar-SA"/>
              </w:rPr>
              <w:t>），或至少2</w:t>
            </w:r>
            <w:r>
              <w:rPr>
                <w:rFonts w:hint="eastAsia" w:ascii="Times New Roman" w:hAnsi="Times New Roman" w:eastAsia="宋体" w:cs="Times New Roman"/>
                <w:snapToGrid w:val="0"/>
                <w:color w:val="000000" w:themeColor="text1"/>
                <w:kern w:val="2"/>
                <w:sz w:val="24"/>
                <w:szCs w:val="24"/>
                <w:highlight w:val="none"/>
                <w:lang w:val="en-US" w:eastAsia="zh-CN" w:bidi="ar-SA"/>
              </w:rPr>
              <w:t>毫米</w:t>
            </w:r>
            <w:r>
              <w:rPr>
                <w:rFonts w:hint="default" w:ascii="Times New Roman" w:hAnsi="Times New Roman" w:eastAsia="宋体" w:cs="Times New Roman"/>
                <w:snapToGrid w:val="0"/>
                <w:color w:val="000000" w:themeColor="text1"/>
                <w:kern w:val="2"/>
                <w:sz w:val="24"/>
                <w:szCs w:val="24"/>
                <w:highlight w:val="none"/>
                <w:lang w:val="en-US" w:eastAsia="zh-CN" w:bidi="ar-SA"/>
              </w:rPr>
              <w:t>厚高密度聚乙烯膜等人工防渗材料（渗透系数不大于10</w:t>
            </w:r>
            <w:r>
              <w:rPr>
                <w:rFonts w:hint="default" w:ascii="Times New Roman" w:hAnsi="Times New Roman" w:eastAsia="宋体" w:cs="Times New Roman"/>
                <w:snapToGrid w:val="0"/>
                <w:color w:val="000000" w:themeColor="text1"/>
                <w:kern w:val="2"/>
                <w:sz w:val="24"/>
                <w:szCs w:val="24"/>
                <w:highlight w:val="none"/>
                <w:vertAlign w:val="superscript"/>
                <w:lang w:val="en-US" w:eastAsia="zh-CN" w:bidi="ar-SA"/>
              </w:rPr>
              <w:t>-10</w:t>
            </w:r>
            <w:r>
              <w:rPr>
                <w:rFonts w:hint="eastAsia" w:ascii="Times New Roman" w:hAnsi="Times New Roman" w:eastAsia="宋体" w:cs="Times New Roman"/>
                <w:snapToGrid w:val="0"/>
                <w:color w:val="000000" w:themeColor="text1"/>
                <w:kern w:val="2"/>
                <w:sz w:val="24"/>
                <w:szCs w:val="24"/>
                <w:highlight w:val="none"/>
                <w:lang w:val="en-US" w:eastAsia="zh-CN" w:bidi="ar-SA"/>
              </w:rPr>
              <w:t>厘米</w:t>
            </w:r>
            <w:r>
              <w:rPr>
                <w:rFonts w:hint="default" w:ascii="Times New Roman" w:hAnsi="Times New Roman" w:eastAsia="宋体" w:cs="Times New Roman"/>
                <w:snapToGrid w:val="0"/>
                <w:color w:val="000000" w:themeColor="text1"/>
                <w:kern w:val="2"/>
                <w:sz w:val="24"/>
                <w:szCs w:val="24"/>
                <w:highlight w:val="none"/>
                <w:lang w:val="en-US" w:eastAsia="zh-CN" w:bidi="ar-SA"/>
              </w:rPr>
              <w:t>/</w:t>
            </w:r>
            <w:r>
              <w:rPr>
                <w:rFonts w:hint="eastAsia" w:ascii="Times New Roman" w:hAnsi="Times New Roman" w:eastAsia="宋体" w:cs="Times New Roman"/>
                <w:snapToGrid w:val="0"/>
                <w:color w:val="000000" w:themeColor="text1"/>
                <w:kern w:val="2"/>
                <w:sz w:val="24"/>
                <w:szCs w:val="24"/>
                <w:highlight w:val="none"/>
                <w:lang w:val="en-US" w:eastAsia="zh-CN" w:bidi="ar-SA"/>
              </w:rPr>
              <w:t>秒</w:t>
            </w:r>
            <w:r>
              <w:rPr>
                <w:rFonts w:hint="default" w:ascii="Times New Roman" w:hAnsi="Times New Roman" w:eastAsia="宋体" w:cs="Times New Roman"/>
                <w:snapToGrid w:val="0"/>
                <w:color w:val="000000" w:themeColor="text1"/>
                <w:kern w:val="2"/>
                <w:sz w:val="24"/>
                <w:szCs w:val="24"/>
                <w:highlight w:val="none"/>
                <w:lang w:val="en-US" w:eastAsia="zh-CN" w:bidi="ar-SA"/>
              </w:rPr>
              <w:t>），或其他防渗性能等效的材料；</w:t>
            </w:r>
          </w:p>
          <w:p w14:paraId="11C31875">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napToGrid w:val="0"/>
                <w:color w:val="000000" w:themeColor="text1"/>
                <w:kern w:val="2"/>
                <w:sz w:val="24"/>
                <w:szCs w:val="24"/>
                <w:highlight w:val="none"/>
                <w:lang w:val="en-US" w:eastAsia="zh-CN" w:bidi="ar-SA"/>
              </w:rPr>
            </w:pPr>
            <w:r>
              <w:rPr>
                <w:rFonts w:hint="default" w:ascii="Times New Roman" w:hAnsi="Times New Roman" w:eastAsia="宋体" w:cs="Times New Roman"/>
                <w:snapToGrid w:val="0"/>
                <w:color w:val="000000" w:themeColor="text1"/>
                <w:kern w:val="2"/>
                <w:sz w:val="24"/>
                <w:szCs w:val="24"/>
                <w:highlight w:val="none"/>
                <w:lang w:val="en-US" w:eastAsia="zh-CN" w:bidi="ar-SA"/>
              </w:rPr>
              <w:t>④同一贮存设施宜采用相同的防渗、防腐工艺（包括防渗、防腐结构或材料），防渗、防腐材料应覆盖所有可能与废物及其渗滤液、渗漏液等接触的构筑物表面；采用不同防渗、防腐工艺应分别建设贮存分区。</w:t>
            </w:r>
          </w:p>
          <w:p w14:paraId="5F7633F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napToGrid w:val="0"/>
                <w:color w:val="000000" w:themeColor="text1"/>
                <w:kern w:val="2"/>
                <w:sz w:val="24"/>
                <w:szCs w:val="24"/>
                <w:highlight w:val="none"/>
                <w:lang w:val="en-US" w:eastAsia="zh-CN" w:bidi="ar-SA"/>
              </w:rPr>
            </w:pPr>
            <w:r>
              <w:rPr>
                <w:rFonts w:hint="default" w:ascii="Times New Roman" w:hAnsi="Times New Roman" w:eastAsia="宋体" w:cs="Times New Roman"/>
                <w:snapToGrid w:val="0"/>
                <w:color w:val="000000" w:themeColor="text1"/>
                <w:kern w:val="2"/>
                <w:sz w:val="24"/>
                <w:szCs w:val="24"/>
                <w:highlight w:val="none"/>
                <w:lang w:val="en-US" w:eastAsia="zh-CN" w:bidi="ar-SA"/>
              </w:rPr>
              <w:fldChar w:fldCharType="begin"/>
            </w:r>
            <w:r>
              <w:rPr>
                <w:rFonts w:hint="default" w:ascii="Times New Roman" w:hAnsi="Times New Roman" w:eastAsia="宋体" w:cs="Times New Roman"/>
                <w:snapToGrid w:val="0"/>
                <w:color w:val="000000" w:themeColor="text1"/>
                <w:kern w:val="2"/>
                <w:sz w:val="24"/>
                <w:szCs w:val="24"/>
                <w:highlight w:val="none"/>
                <w:lang w:val="en-US" w:eastAsia="zh-CN" w:bidi="ar-SA"/>
              </w:rPr>
              <w:instrText xml:space="preserve">= 5 \* GB3</w:instrText>
            </w:r>
            <w:r>
              <w:rPr>
                <w:rFonts w:hint="default" w:ascii="Times New Roman" w:hAnsi="Times New Roman" w:eastAsia="宋体" w:cs="Times New Roman"/>
                <w:snapToGrid w:val="0"/>
                <w:color w:val="000000" w:themeColor="text1"/>
                <w:kern w:val="2"/>
                <w:sz w:val="24"/>
                <w:szCs w:val="24"/>
                <w:highlight w:val="none"/>
                <w:lang w:val="en-US" w:eastAsia="zh-CN" w:bidi="ar-SA"/>
              </w:rPr>
              <w:fldChar w:fldCharType="separate"/>
            </w:r>
            <w:r>
              <w:rPr>
                <w:rFonts w:hint="default" w:ascii="Times New Roman" w:hAnsi="Times New Roman" w:eastAsia="宋体" w:cs="Times New Roman"/>
                <w:snapToGrid w:val="0"/>
                <w:color w:val="000000" w:themeColor="text1"/>
                <w:kern w:val="2"/>
                <w:sz w:val="24"/>
                <w:szCs w:val="24"/>
                <w:highlight w:val="none"/>
                <w:lang w:val="en-US" w:eastAsia="zh-CN" w:bidi="ar-SA"/>
              </w:rPr>
              <w:t>⑤</w:t>
            </w:r>
            <w:r>
              <w:rPr>
                <w:rFonts w:hint="default" w:ascii="Times New Roman" w:hAnsi="Times New Roman" w:eastAsia="宋体" w:cs="Times New Roman"/>
                <w:snapToGrid w:val="0"/>
                <w:color w:val="000000" w:themeColor="text1"/>
                <w:kern w:val="2"/>
                <w:sz w:val="24"/>
                <w:szCs w:val="24"/>
                <w:highlight w:val="none"/>
                <w:lang w:val="en-US" w:eastAsia="zh-CN" w:bidi="ar-SA"/>
              </w:rPr>
              <w:fldChar w:fldCharType="end"/>
            </w:r>
            <w:r>
              <w:rPr>
                <w:rFonts w:hint="default" w:ascii="Times New Roman" w:hAnsi="Times New Roman" w:eastAsia="宋体" w:cs="Times New Roman"/>
                <w:snapToGrid w:val="0"/>
                <w:color w:val="000000" w:themeColor="text1"/>
                <w:kern w:val="2"/>
                <w:sz w:val="24"/>
                <w:szCs w:val="24"/>
                <w:highlight w:val="none"/>
                <w:lang w:val="en-US" w:eastAsia="zh-CN" w:bidi="ar-SA"/>
              </w:rPr>
              <w:t>贮存设施应采取技术和管理措施防止无关人员进入。</w:t>
            </w:r>
          </w:p>
          <w:p w14:paraId="3EB1BE2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default" w:ascii="Times New Roman" w:hAnsi="Times New Roman" w:eastAsia="宋体" w:cs="Times New Roman"/>
                <w:snapToGrid w:val="0"/>
                <w:color w:val="000000" w:themeColor="text1"/>
                <w:kern w:val="0"/>
                <w:sz w:val="24"/>
                <w:szCs w:val="24"/>
                <w:highlight w:val="none"/>
                <w:lang w:val="en-US" w:eastAsia="zh-CN"/>
              </w:rPr>
            </w:pPr>
            <w:r>
              <w:rPr>
                <w:rFonts w:hint="default" w:ascii="Times New Roman" w:hAnsi="Times New Roman" w:eastAsia="宋体" w:cs="Times New Roman"/>
                <w:snapToGrid w:val="0"/>
                <w:color w:val="000000" w:themeColor="text1"/>
                <w:kern w:val="0"/>
                <w:sz w:val="24"/>
                <w:szCs w:val="24"/>
                <w:highlight w:val="none"/>
                <w:lang w:val="en-US" w:eastAsia="zh-CN"/>
              </w:rPr>
              <w:t>（2）过程管理</w:t>
            </w:r>
          </w:p>
          <w:p w14:paraId="6D457D2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default" w:ascii="Times New Roman" w:hAnsi="Times New Roman" w:eastAsia="宋体" w:cs="Times New Roman"/>
                <w:snapToGrid w:val="0"/>
                <w:color w:val="000000" w:themeColor="text1"/>
                <w:kern w:val="0"/>
                <w:sz w:val="24"/>
                <w:szCs w:val="24"/>
                <w:highlight w:val="none"/>
                <w:lang w:val="en-US" w:eastAsia="zh-CN"/>
              </w:rPr>
            </w:pPr>
            <w:r>
              <w:rPr>
                <w:rFonts w:hint="default" w:ascii="Times New Roman" w:hAnsi="Times New Roman" w:eastAsia="宋体" w:cs="Times New Roman"/>
                <w:snapToGrid w:val="0"/>
                <w:color w:val="000000" w:themeColor="text1"/>
                <w:kern w:val="0"/>
                <w:sz w:val="24"/>
                <w:szCs w:val="24"/>
                <w:highlight w:val="none"/>
                <w:lang w:val="en-US" w:eastAsia="zh-CN"/>
              </w:rPr>
              <w:t>①危险废物产生环节</w:t>
            </w:r>
          </w:p>
          <w:p w14:paraId="5D2A554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default" w:ascii="Times New Roman" w:hAnsi="Times New Roman" w:eastAsia="宋体" w:cs="Times New Roman"/>
                <w:snapToGrid w:val="0"/>
                <w:color w:val="000000" w:themeColor="text1"/>
                <w:kern w:val="0"/>
                <w:sz w:val="24"/>
                <w:szCs w:val="24"/>
                <w:highlight w:val="none"/>
                <w:lang w:val="en-US" w:eastAsia="zh-CN"/>
              </w:rPr>
            </w:pPr>
            <w:r>
              <w:rPr>
                <w:rFonts w:hint="default" w:ascii="Times New Roman" w:hAnsi="Times New Roman" w:eastAsia="宋体" w:cs="Times New Roman"/>
                <w:snapToGrid w:val="0"/>
                <w:color w:val="000000" w:themeColor="text1"/>
                <w:kern w:val="0"/>
                <w:sz w:val="24"/>
                <w:szCs w:val="24"/>
                <w:highlight w:val="none"/>
                <w:lang w:val="en-US" w:eastAsia="zh-CN"/>
              </w:rPr>
              <w:t>危险废物产生情况主要包括：产生的危险废物名称、代码、废物类别、有害物质名称、物理性状、危险特性、本年度计划产生量、上年度实际产生量、来源及产生工序等。</w:t>
            </w:r>
          </w:p>
          <w:p w14:paraId="4BDB900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default" w:ascii="Times New Roman" w:hAnsi="Times New Roman" w:eastAsia="宋体" w:cs="Times New Roman"/>
                <w:snapToGrid w:val="0"/>
                <w:color w:val="000000" w:themeColor="text1"/>
                <w:kern w:val="0"/>
                <w:sz w:val="24"/>
                <w:szCs w:val="24"/>
                <w:highlight w:val="none"/>
                <w:lang w:val="en-US" w:eastAsia="zh-CN"/>
              </w:rPr>
            </w:pPr>
            <w:r>
              <w:rPr>
                <w:rFonts w:hint="default" w:ascii="Times New Roman" w:hAnsi="Times New Roman" w:eastAsia="宋体" w:cs="Times New Roman"/>
                <w:snapToGrid w:val="0"/>
                <w:color w:val="000000" w:themeColor="text1"/>
                <w:kern w:val="0"/>
                <w:sz w:val="24"/>
                <w:szCs w:val="24"/>
                <w:highlight w:val="none"/>
                <w:lang w:val="en-US" w:eastAsia="zh-CN"/>
              </w:rPr>
              <w:t>②危险废物转移环节</w:t>
            </w:r>
          </w:p>
          <w:p w14:paraId="4B0D3DE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default" w:ascii="Times New Roman" w:hAnsi="Times New Roman" w:eastAsia="宋体" w:cs="Times New Roman"/>
                <w:snapToGrid w:val="0"/>
                <w:color w:val="000000" w:themeColor="text1"/>
                <w:kern w:val="0"/>
                <w:sz w:val="24"/>
                <w:szCs w:val="24"/>
                <w:highlight w:val="none"/>
                <w:lang w:val="en-US" w:eastAsia="zh-CN"/>
              </w:rPr>
            </w:pPr>
            <w:r>
              <w:rPr>
                <w:rFonts w:hint="default" w:ascii="Times New Roman" w:hAnsi="Times New Roman" w:eastAsia="宋体" w:cs="Times New Roman"/>
                <w:snapToGrid w:val="0"/>
                <w:color w:val="000000" w:themeColor="text1"/>
                <w:kern w:val="0"/>
                <w:sz w:val="24"/>
                <w:szCs w:val="24"/>
                <w:highlight w:val="none"/>
                <w:lang w:val="en-US" w:eastAsia="zh-CN"/>
              </w:rPr>
              <w:t>危险废物贮存情况：产废单位应明确危险废物贮存设施现状，包括设施名称、数量、类型、面积及贮存能力，掌握贮存危险废物的类别、名称、数量及贮存原因，提出危险废物贮存过程的污染防治和事故预防措施等内容。</w:t>
            </w:r>
          </w:p>
          <w:p w14:paraId="1A90950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default" w:ascii="Times New Roman" w:hAnsi="Times New Roman" w:eastAsia="宋体" w:cs="Times New Roman"/>
                <w:snapToGrid w:val="0"/>
                <w:color w:val="000000" w:themeColor="text1"/>
                <w:kern w:val="0"/>
                <w:sz w:val="24"/>
                <w:szCs w:val="24"/>
                <w:highlight w:val="none"/>
                <w:lang w:val="en-US" w:eastAsia="zh-CN"/>
              </w:rPr>
            </w:pPr>
            <w:r>
              <w:rPr>
                <w:rFonts w:hint="default" w:ascii="Times New Roman" w:hAnsi="Times New Roman" w:eastAsia="宋体" w:cs="Times New Roman"/>
                <w:snapToGrid w:val="0"/>
                <w:color w:val="000000" w:themeColor="text1"/>
                <w:kern w:val="0"/>
                <w:sz w:val="24"/>
                <w:szCs w:val="24"/>
                <w:highlight w:val="none"/>
                <w:lang w:val="en-US" w:eastAsia="zh-CN"/>
              </w:rPr>
              <w:t>危险废物运输情况：危险废物运输应遵守危险货物运输管理的相关规定，按照危险废物特性分类运输。自行运输危险废物的应描述拟采用运输工具状况，包括工具种类、载重量、使用年限、危险货物运输资质、污染防治和事故预防措施等；委托外单位运输危险废物的，应描述委托运输具体状况，包括委托运输单位、危险货物运输资质等。</w:t>
            </w:r>
          </w:p>
          <w:p w14:paraId="4BD1E60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default" w:ascii="Times New Roman" w:hAnsi="Times New Roman" w:eastAsia="宋体" w:cs="Times New Roman"/>
                <w:snapToGrid w:val="0"/>
                <w:color w:val="000000" w:themeColor="text1"/>
                <w:kern w:val="0"/>
                <w:sz w:val="24"/>
                <w:szCs w:val="24"/>
                <w:highlight w:val="none"/>
                <w:lang w:val="en-US" w:eastAsia="zh-CN"/>
              </w:rPr>
            </w:pPr>
            <w:r>
              <w:rPr>
                <w:rFonts w:hint="default" w:ascii="Times New Roman" w:hAnsi="Times New Roman" w:eastAsia="宋体" w:cs="Times New Roman"/>
                <w:snapToGrid w:val="0"/>
                <w:color w:val="000000" w:themeColor="text1"/>
                <w:kern w:val="0"/>
                <w:sz w:val="24"/>
                <w:szCs w:val="24"/>
                <w:highlight w:val="none"/>
                <w:lang w:val="en-US" w:eastAsia="zh-CN"/>
              </w:rPr>
              <w:t>危险废物转移情况：产废单位需要将危险废物转移出厂区的，应制定转移计划，其内容包括：危险废物数量、种类；拟接收危险废物的经营单位等。</w:t>
            </w:r>
          </w:p>
          <w:p w14:paraId="736BB9E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default" w:ascii="Times New Roman" w:hAnsi="Times New Roman" w:eastAsia="宋体" w:cs="Times New Roman"/>
                <w:snapToGrid w:val="0"/>
                <w:color w:val="000000" w:themeColor="text1"/>
                <w:kern w:val="0"/>
                <w:sz w:val="24"/>
                <w:szCs w:val="24"/>
                <w:highlight w:val="none"/>
                <w:lang w:val="en-US" w:eastAsia="zh-CN"/>
              </w:rPr>
            </w:pPr>
            <w:r>
              <w:rPr>
                <w:rFonts w:hint="default" w:ascii="Times New Roman" w:hAnsi="Times New Roman" w:eastAsia="宋体" w:cs="Times New Roman"/>
                <w:snapToGrid w:val="0"/>
                <w:color w:val="000000" w:themeColor="text1"/>
                <w:kern w:val="0"/>
                <w:sz w:val="24"/>
                <w:szCs w:val="24"/>
                <w:highlight w:val="none"/>
                <w:lang w:val="en-US" w:eastAsia="zh-CN"/>
              </w:rPr>
              <w:t>③危险废物利用处置环节</w:t>
            </w:r>
          </w:p>
          <w:p w14:paraId="454360B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default" w:ascii="Times New Roman" w:hAnsi="Times New Roman" w:eastAsia="宋体" w:cs="Times New Roman"/>
                <w:snapToGrid w:val="0"/>
                <w:color w:val="000000" w:themeColor="text1"/>
                <w:kern w:val="0"/>
                <w:sz w:val="24"/>
                <w:szCs w:val="24"/>
                <w:highlight w:val="none"/>
                <w:lang w:val="en-US" w:eastAsia="zh-CN"/>
              </w:rPr>
            </w:pPr>
            <w:r>
              <w:rPr>
                <w:rFonts w:hint="default" w:ascii="Times New Roman" w:hAnsi="Times New Roman" w:eastAsia="宋体" w:cs="Times New Roman"/>
                <w:snapToGrid w:val="0"/>
                <w:color w:val="000000" w:themeColor="text1"/>
                <w:kern w:val="0"/>
                <w:sz w:val="24"/>
                <w:szCs w:val="24"/>
                <w:highlight w:val="none"/>
                <w:lang w:val="en-US" w:eastAsia="zh-CN"/>
              </w:rPr>
              <w:t>危险废物委托利用处置情况主要包括：委托利用处置单位名称、经营单位的许可证编号、委托利用处置危险废物的名称、利用处置方式、本年度计划委托量和上年度委托量等。</w:t>
            </w:r>
          </w:p>
          <w:p w14:paraId="02ABA80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default" w:ascii="Times New Roman" w:hAnsi="Times New Roman" w:eastAsia="宋体" w:cs="Times New Roman"/>
                <w:snapToGrid w:val="0"/>
                <w:color w:val="000000" w:themeColor="text1"/>
                <w:kern w:val="0"/>
                <w:sz w:val="24"/>
                <w:szCs w:val="24"/>
                <w:highlight w:val="none"/>
                <w:lang w:val="en-US" w:eastAsia="zh-CN"/>
              </w:rPr>
            </w:pPr>
            <w:r>
              <w:rPr>
                <w:rFonts w:hint="default" w:ascii="Times New Roman" w:hAnsi="Times New Roman" w:eastAsia="宋体" w:cs="Times New Roman"/>
                <w:snapToGrid w:val="0"/>
                <w:color w:val="000000" w:themeColor="text1"/>
                <w:kern w:val="0"/>
                <w:sz w:val="24"/>
                <w:szCs w:val="24"/>
                <w:highlight w:val="none"/>
                <w:lang w:val="en-US" w:eastAsia="zh-CN"/>
              </w:rPr>
              <w:t>（3）建立台账</w:t>
            </w:r>
          </w:p>
          <w:p w14:paraId="33C7A39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rPr>
                <w:rFonts w:hint="default" w:ascii="宋体" w:hAnsi="宋体" w:cs="宋体"/>
                <w:color w:val="000000"/>
                <w:kern w:val="0"/>
                <w:sz w:val="24"/>
                <w:szCs w:val="24"/>
                <w:lang w:val="en-US" w:eastAsia="zh-CN"/>
              </w:rPr>
            </w:pPr>
            <w:r>
              <w:rPr>
                <w:rFonts w:hint="default" w:ascii="Times New Roman" w:hAnsi="Times New Roman" w:eastAsia="宋体" w:cs="Times New Roman"/>
                <w:snapToGrid w:val="0"/>
                <w:color w:val="000000" w:themeColor="text1"/>
                <w:kern w:val="0"/>
                <w:sz w:val="24"/>
                <w:szCs w:val="24"/>
                <w:highlight w:val="none"/>
                <w:lang w:val="en-US" w:eastAsia="zh-CN"/>
              </w:rPr>
              <w:t>产废单位要结合自身的实际情况，与生产记录相衔接，建立危险废物台账，如实记载产生危险废物的种类、数量、流向、贮存、利用处置等信息。鼓励产废单位采用信息化手段建立危险废物台账。产废单位应在台账工作的基础上如实向所在地县级以上人民政府环境保护主管部门申报危险废物的种类、产生量、流向、贮存、处置等有关资料。</w:t>
            </w:r>
          </w:p>
          <w:p w14:paraId="2415B3B6">
            <w:pPr>
              <w:pStyle w:val="4"/>
              <w:rPr>
                <w:sz w:val="24"/>
                <w:szCs w:val="24"/>
              </w:rPr>
            </w:pPr>
            <w:r>
              <w:rPr>
                <w:sz w:val="24"/>
                <w:szCs w:val="24"/>
              </w:rPr>
              <w:t>5</w:t>
            </w:r>
            <w:r>
              <w:rPr>
                <w:rFonts w:hint="eastAsia"/>
                <w:sz w:val="24"/>
                <w:szCs w:val="24"/>
              </w:rPr>
              <w:t>.</w:t>
            </w:r>
            <w:r>
              <w:rPr>
                <w:sz w:val="24"/>
                <w:szCs w:val="24"/>
              </w:rPr>
              <w:t>地下水</w:t>
            </w:r>
            <w:r>
              <w:rPr>
                <w:rFonts w:hint="eastAsia"/>
                <w:sz w:val="24"/>
                <w:szCs w:val="24"/>
              </w:rPr>
              <w:t>、土壤</w:t>
            </w:r>
            <w:r>
              <w:rPr>
                <w:sz w:val="24"/>
                <w:szCs w:val="24"/>
              </w:rPr>
              <w:t>影响分析</w:t>
            </w:r>
          </w:p>
          <w:p w14:paraId="4F529B9B">
            <w:pPr>
              <w:keepNext w:val="0"/>
              <w:keepLines w:val="0"/>
              <w:pageBreakBefore w:val="0"/>
              <w:widowControl w:val="0"/>
              <w:kinsoku w:val="0"/>
              <w:wordWrap/>
              <w:overflowPunct/>
              <w:topLinePunct w:val="0"/>
              <w:autoSpaceDE w:val="0"/>
              <w:autoSpaceDN w:val="0"/>
              <w:bidi w:val="0"/>
              <w:adjustRightInd/>
              <w:snapToGrid/>
              <w:spacing w:line="360" w:lineRule="auto"/>
              <w:ind w:firstLine="482" w:firstLineChars="200"/>
              <w:jc w:val="both"/>
              <w:textAlignment w:val="baseline"/>
              <w:rPr>
                <w:rFonts w:hint="default" w:ascii="Times New Roman" w:hAnsi="Times New Roman" w:eastAsia="宋体" w:cs="Times New Roman"/>
                <w:b/>
                <w:bCs/>
                <w:snapToGrid w:val="0"/>
                <w:color w:val="000000" w:themeColor="text1"/>
                <w:kern w:val="2"/>
                <w:sz w:val="24"/>
                <w:szCs w:val="24"/>
                <w:highlight w:val="none"/>
                <w:lang w:val="en-US" w:eastAsia="zh-CN" w:bidi="ar-SA"/>
              </w:rPr>
            </w:pPr>
            <w:r>
              <w:rPr>
                <w:rFonts w:hint="default" w:ascii="Times New Roman" w:hAnsi="Times New Roman" w:eastAsia="宋体" w:cs="Times New Roman"/>
                <w:b/>
                <w:bCs/>
                <w:snapToGrid w:val="0"/>
                <w:color w:val="000000" w:themeColor="text1"/>
                <w:kern w:val="2"/>
                <w:sz w:val="24"/>
                <w:szCs w:val="24"/>
                <w:highlight w:val="none"/>
                <w:lang w:val="en-US" w:eastAsia="zh-CN" w:bidi="ar-SA"/>
              </w:rPr>
              <w:t>5.1正常状况地下水、土壤污染途径</w:t>
            </w:r>
          </w:p>
          <w:p w14:paraId="259B76A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baseline"/>
              <w:rPr>
                <w:rFonts w:hint="default" w:ascii="Times New Roman" w:hAnsi="Times New Roman" w:eastAsia="宋体" w:cs="Times New Roman"/>
                <w:snapToGrid w:val="0"/>
                <w:color w:val="000000" w:themeColor="text1"/>
                <w:kern w:val="2"/>
                <w:sz w:val="24"/>
                <w:szCs w:val="24"/>
                <w:highlight w:val="none"/>
                <w:lang w:val="en-US" w:eastAsia="zh-CN" w:bidi="ar-SA"/>
              </w:rPr>
            </w:pPr>
            <w:r>
              <w:rPr>
                <w:rFonts w:hint="default" w:ascii="Times New Roman" w:hAnsi="Times New Roman" w:eastAsia="宋体" w:cs="Times New Roman"/>
                <w:snapToGrid w:val="0"/>
                <w:color w:val="000000" w:themeColor="text1"/>
                <w:kern w:val="2"/>
                <w:sz w:val="24"/>
                <w:szCs w:val="24"/>
                <w:highlight w:val="none"/>
                <w:lang w:val="en-US" w:eastAsia="zh-CN" w:bidi="ar-SA"/>
              </w:rPr>
              <w:t>正常状况下，污染源得到有效防护，污染物不会外排，微量的滴漏可能出现，可及时进行回收，从源头上得到控制。本项目涉及</w:t>
            </w:r>
            <w:r>
              <w:rPr>
                <w:rFonts w:hint="eastAsia" w:ascii="Times New Roman" w:hAnsi="Times New Roman" w:eastAsia="宋体" w:cs="Times New Roman"/>
                <w:snapToGrid w:val="0"/>
                <w:color w:val="000000" w:themeColor="text1"/>
                <w:kern w:val="2"/>
                <w:sz w:val="24"/>
                <w:szCs w:val="24"/>
                <w:highlight w:val="none"/>
                <w:lang w:val="en-US" w:eastAsia="zh-CN" w:bidi="ar-SA"/>
              </w:rPr>
              <w:t>危险废物</w:t>
            </w:r>
            <w:r>
              <w:rPr>
                <w:rFonts w:hint="default" w:ascii="Times New Roman" w:hAnsi="Times New Roman" w:eastAsia="宋体" w:cs="Times New Roman"/>
                <w:snapToGrid w:val="0"/>
                <w:color w:val="000000" w:themeColor="text1"/>
                <w:kern w:val="2"/>
                <w:sz w:val="24"/>
                <w:szCs w:val="24"/>
                <w:highlight w:val="none"/>
                <w:lang w:val="en-US" w:eastAsia="zh-CN" w:bidi="ar-SA"/>
              </w:rPr>
              <w:t>的暂存，不涉及后续处置环节，危险废物在</w:t>
            </w:r>
            <w:r>
              <w:rPr>
                <w:rFonts w:hint="eastAsia" w:ascii="Times New Roman" w:hAnsi="Times New Roman" w:eastAsia="宋体" w:cs="Times New Roman"/>
                <w:snapToGrid w:val="0"/>
                <w:color w:val="000000" w:themeColor="text1"/>
                <w:kern w:val="2"/>
                <w:sz w:val="24"/>
                <w:szCs w:val="24"/>
                <w:highlight w:val="none"/>
                <w:lang w:val="en-US" w:eastAsia="zh-CN" w:bidi="ar-SA"/>
              </w:rPr>
              <w:t>危废贮存库</w:t>
            </w:r>
            <w:r>
              <w:rPr>
                <w:rFonts w:hint="default" w:ascii="Times New Roman" w:hAnsi="Times New Roman" w:eastAsia="宋体" w:cs="Times New Roman"/>
                <w:snapToGrid w:val="0"/>
                <w:color w:val="000000" w:themeColor="text1"/>
                <w:kern w:val="2"/>
                <w:sz w:val="24"/>
                <w:szCs w:val="24"/>
                <w:highlight w:val="none"/>
                <w:lang w:val="en-US" w:eastAsia="zh-CN" w:bidi="ar-SA"/>
              </w:rPr>
              <w:t>进行分区暂存，厂区内实现全过程密闭。厂区地面</w:t>
            </w:r>
            <w:r>
              <w:rPr>
                <w:rFonts w:hint="eastAsia" w:ascii="Times New Roman" w:hAnsi="Times New Roman" w:eastAsia="宋体" w:cs="Times New Roman"/>
                <w:snapToGrid w:val="0"/>
                <w:color w:val="000000" w:themeColor="text1"/>
                <w:kern w:val="2"/>
                <w:sz w:val="24"/>
                <w:szCs w:val="24"/>
                <w:highlight w:val="none"/>
                <w:lang w:val="en-US" w:eastAsia="zh-CN" w:bidi="ar-SA"/>
              </w:rPr>
              <w:t>采取</w:t>
            </w:r>
            <w:r>
              <w:rPr>
                <w:rFonts w:hint="default" w:ascii="Times New Roman" w:hAnsi="Times New Roman" w:eastAsia="宋体" w:cs="Times New Roman"/>
                <w:snapToGrid w:val="0"/>
                <w:color w:val="000000" w:themeColor="text1"/>
                <w:kern w:val="2"/>
                <w:sz w:val="24"/>
                <w:szCs w:val="24"/>
                <w:highlight w:val="none"/>
                <w:lang w:val="en-US" w:eastAsia="zh-CN" w:bidi="ar-SA"/>
              </w:rPr>
              <w:t>防渗处理</w:t>
            </w:r>
            <w:r>
              <w:rPr>
                <w:rFonts w:hint="eastAsia" w:ascii="Times New Roman" w:hAnsi="Times New Roman" w:eastAsia="宋体" w:cs="Times New Roman"/>
                <w:snapToGrid w:val="0"/>
                <w:color w:val="000000" w:themeColor="text1"/>
                <w:kern w:val="2"/>
                <w:sz w:val="24"/>
                <w:szCs w:val="24"/>
                <w:highlight w:val="none"/>
                <w:lang w:val="en-US" w:eastAsia="zh-CN" w:bidi="ar-SA"/>
              </w:rPr>
              <w:t>处理后</w:t>
            </w:r>
            <w:r>
              <w:rPr>
                <w:rFonts w:hint="default" w:ascii="Times New Roman" w:hAnsi="Times New Roman" w:eastAsia="宋体" w:cs="Times New Roman"/>
                <w:snapToGrid w:val="0"/>
                <w:color w:val="000000" w:themeColor="text1"/>
                <w:kern w:val="2"/>
                <w:sz w:val="24"/>
                <w:szCs w:val="24"/>
                <w:highlight w:val="none"/>
                <w:lang w:val="en-US" w:eastAsia="zh-CN" w:bidi="ar-SA"/>
              </w:rPr>
              <w:t>，即使有少量的污染物泄漏，也很难通过防渗层渗入包气带。在正常状况下，地面经防渗处理，污染物从源头和末端均得到控制，没有污染地下水的通道，污染物渗入污染土壤、进而污染地下水的发生概率较小。</w:t>
            </w:r>
          </w:p>
          <w:p w14:paraId="41D6E1E2">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baseline"/>
              <w:rPr>
                <w:rFonts w:hint="default" w:ascii="Times New Roman" w:hAnsi="Times New Roman" w:eastAsia="宋体" w:cs="Times New Roman"/>
                <w:snapToGrid w:val="0"/>
                <w:color w:val="000000" w:themeColor="text1"/>
                <w:kern w:val="2"/>
                <w:sz w:val="24"/>
                <w:szCs w:val="24"/>
                <w:highlight w:val="none"/>
                <w:lang w:val="en-US" w:eastAsia="zh-CN" w:bidi="ar-SA"/>
              </w:rPr>
            </w:pPr>
            <w:r>
              <w:rPr>
                <w:rFonts w:hint="default" w:ascii="Times New Roman" w:hAnsi="Times New Roman" w:eastAsia="宋体" w:cs="Times New Roman"/>
                <w:snapToGrid w:val="0"/>
                <w:color w:val="000000" w:themeColor="text1"/>
                <w:kern w:val="2"/>
                <w:sz w:val="24"/>
                <w:szCs w:val="24"/>
                <w:highlight w:val="none"/>
                <w:lang w:val="en-US" w:eastAsia="zh-CN" w:bidi="ar-SA"/>
              </w:rPr>
              <w:t>因此，正常情况下项目建设在严格按照防渗要求加强环保措施后，可最大限度把污染物与地下水、与土壤隔离，将有效预防污废水无序扩散，由此造成地下水和土壤污染的可能性小。</w:t>
            </w:r>
          </w:p>
          <w:p w14:paraId="3E6AAB67">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baseline"/>
              <w:rPr>
                <w:rFonts w:hint="default" w:ascii="Times New Roman" w:hAnsi="Times New Roman" w:eastAsia="宋体" w:cs="Times New Roman"/>
                <w:b/>
                <w:bCs w:val="0"/>
                <w:snapToGrid w:val="0"/>
                <w:color w:val="000000" w:themeColor="text1"/>
                <w:kern w:val="0"/>
                <w:sz w:val="24"/>
                <w:szCs w:val="21"/>
                <w:highlight w:val="none"/>
              </w:rPr>
            </w:pPr>
            <w:r>
              <w:rPr>
                <w:rFonts w:hint="default" w:ascii="Times New Roman" w:hAnsi="Times New Roman" w:eastAsia="宋体" w:cs="Times New Roman"/>
                <w:b/>
                <w:bCs w:val="0"/>
                <w:snapToGrid w:val="0"/>
                <w:color w:val="000000" w:themeColor="text1"/>
                <w:kern w:val="0"/>
                <w:sz w:val="24"/>
                <w:szCs w:val="21"/>
                <w:highlight w:val="none"/>
                <w:lang w:val="en-US" w:eastAsia="zh-CN"/>
              </w:rPr>
              <w:t>5.2</w:t>
            </w:r>
            <w:r>
              <w:rPr>
                <w:rFonts w:hint="default" w:ascii="Times New Roman" w:hAnsi="Times New Roman" w:eastAsia="宋体" w:cs="Times New Roman"/>
                <w:b/>
                <w:bCs w:val="0"/>
                <w:snapToGrid w:val="0"/>
                <w:color w:val="000000" w:themeColor="text1"/>
                <w:kern w:val="0"/>
                <w:sz w:val="24"/>
                <w:szCs w:val="21"/>
                <w:highlight w:val="none"/>
              </w:rPr>
              <w:t>非正常状况下</w:t>
            </w:r>
            <w:r>
              <w:rPr>
                <w:rFonts w:hint="default" w:ascii="Times New Roman" w:hAnsi="Times New Roman" w:eastAsia="宋体" w:cs="Times New Roman"/>
                <w:b/>
                <w:bCs w:val="0"/>
                <w:snapToGrid w:val="0"/>
                <w:color w:val="000000" w:themeColor="text1"/>
                <w:kern w:val="0"/>
                <w:sz w:val="24"/>
                <w:szCs w:val="21"/>
                <w:highlight w:val="none"/>
                <w:lang w:val="en-US" w:eastAsia="zh-CN"/>
              </w:rPr>
              <w:t>对</w:t>
            </w:r>
            <w:r>
              <w:rPr>
                <w:rFonts w:hint="default" w:ascii="Times New Roman" w:hAnsi="Times New Roman" w:eastAsia="宋体" w:cs="Times New Roman"/>
                <w:b/>
                <w:bCs w:val="0"/>
                <w:snapToGrid w:val="0"/>
                <w:color w:val="000000" w:themeColor="text1"/>
                <w:kern w:val="0"/>
                <w:sz w:val="24"/>
                <w:szCs w:val="21"/>
                <w:highlight w:val="none"/>
              </w:rPr>
              <w:t>地下水</w:t>
            </w:r>
            <w:r>
              <w:rPr>
                <w:rFonts w:hint="default" w:ascii="Times New Roman" w:hAnsi="Times New Roman" w:eastAsia="宋体" w:cs="Times New Roman"/>
                <w:b/>
                <w:bCs w:val="0"/>
                <w:snapToGrid w:val="0"/>
                <w:color w:val="000000" w:themeColor="text1"/>
                <w:kern w:val="0"/>
                <w:sz w:val="24"/>
                <w:szCs w:val="21"/>
                <w:highlight w:val="none"/>
                <w:lang w:val="en-US" w:eastAsia="zh-CN"/>
              </w:rPr>
              <w:t>及土壤的</w:t>
            </w:r>
            <w:r>
              <w:rPr>
                <w:rFonts w:hint="default" w:ascii="Times New Roman" w:hAnsi="Times New Roman" w:eastAsia="宋体" w:cs="Times New Roman"/>
                <w:b/>
                <w:bCs w:val="0"/>
                <w:snapToGrid w:val="0"/>
                <w:color w:val="000000" w:themeColor="text1"/>
                <w:kern w:val="0"/>
                <w:sz w:val="24"/>
                <w:szCs w:val="21"/>
                <w:highlight w:val="none"/>
              </w:rPr>
              <w:t>污染途径</w:t>
            </w:r>
          </w:p>
          <w:p w14:paraId="6504C8E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default" w:ascii="Times New Roman" w:hAnsi="Times New Roman" w:eastAsia="宋体" w:cs="Times New Roman"/>
                <w:bCs/>
                <w:snapToGrid w:val="0"/>
                <w:color w:val="000000" w:themeColor="text1"/>
                <w:kern w:val="0"/>
                <w:sz w:val="24"/>
                <w:szCs w:val="21"/>
                <w:highlight w:val="none"/>
              </w:rPr>
            </w:pPr>
            <w:r>
              <w:rPr>
                <w:rFonts w:hint="default" w:ascii="Times New Roman" w:hAnsi="Times New Roman" w:eastAsia="宋体" w:cs="Times New Roman"/>
                <w:bCs/>
                <w:snapToGrid w:val="0"/>
                <w:color w:val="000000" w:themeColor="text1"/>
                <w:kern w:val="0"/>
                <w:sz w:val="24"/>
                <w:szCs w:val="21"/>
                <w:highlight w:val="none"/>
              </w:rPr>
              <w:t>非正常状况是指建设项目的工艺设备或地下水环境保护措施因系统老化、腐蚀等原因不能正常运行或保护效果达不到设计要求时的运行状况。针对本项目地下水环境</w:t>
            </w:r>
            <w:r>
              <w:rPr>
                <w:rFonts w:hint="default" w:ascii="Times New Roman" w:hAnsi="Times New Roman" w:eastAsia="宋体" w:cs="Times New Roman"/>
                <w:bCs/>
                <w:snapToGrid w:val="0"/>
                <w:color w:val="000000" w:themeColor="text1"/>
                <w:kern w:val="0"/>
                <w:sz w:val="24"/>
                <w:szCs w:val="21"/>
                <w:highlight w:val="none"/>
                <w:lang w:val="en-US" w:eastAsia="zh-CN"/>
              </w:rPr>
              <w:t>及土壤环境</w:t>
            </w:r>
            <w:r>
              <w:rPr>
                <w:rFonts w:hint="default" w:ascii="Times New Roman" w:hAnsi="Times New Roman" w:eastAsia="宋体" w:cs="Times New Roman"/>
                <w:bCs/>
                <w:snapToGrid w:val="0"/>
                <w:color w:val="000000" w:themeColor="text1"/>
                <w:kern w:val="0"/>
                <w:sz w:val="24"/>
                <w:szCs w:val="21"/>
                <w:highlight w:val="none"/>
              </w:rPr>
              <w:t>来说主要是指项目在生产运行期间</w:t>
            </w:r>
            <w:r>
              <w:rPr>
                <w:rFonts w:hint="eastAsia" w:ascii="Times New Roman" w:hAnsi="Times New Roman" w:eastAsia="宋体" w:cs="Times New Roman"/>
                <w:bCs/>
                <w:snapToGrid w:val="0"/>
                <w:color w:val="000000" w:themeColor="text1"/>
                <w:kern w:val="0"/>
                <w:sz w:val="24"/>
                <w:szCs w:val="21"/>
                <w:highlight w:val="none"/>
                <w:lang w:val="en-US" w:eastAsia="zh-CN"/>
              </w:rPr>
              <w:t>危废贮存库</w:t>
            </w:r>
            <w:r>
              <w:rPr>
                <w:rFonts w:hint="default" w:ascii="Times New Roman" w:hAnsi="Times New Roman" w:eastAsia="宋体" w:cs="Times New Roman"/>
                <w:bCs/>
                <w:snapToGrid w:val="0"/>
                <w:color w:val="000000" w:themeColor="text1"/>
                <w:kern w:val="0"/>
                <w:sz w:val="24"/>
                <w:szCs w:val="21"/>
                <w:highlight w:val="none"/>
              </w:rPr>
              <w:t>等污染源由于因防渗系统等老化、腐蚀等原因不能正常运行或保护效果达不到设计时造成污染物质泄漏，从而对地下水</w:t>
            </w:r>
            <w:r>
              <w:rPr>
                <w:rFonts w:hint="default" w:ascii="Times New Roman" w:hAnsi="Times New Roman" w:eastAsia="宋体" w:cs="Times New Roman"/>
                <w:bCs/>
                <w:snapToGrid w:val="0"/>
                <w:color w:val="000000" w:themeColor="text1"/>
                <w:kern w:val="0"/>
                <w:sz w:val="24"/>
                <w:szCs w:val="21"/>
                <w:highlight w:val="none"/>
                <w:lang w:val="en-US" w:eastAsia="zh-CN"/>
              </w:rPr>
              <w:t>及土壤</w:t>
            </w:r>
            <w:r>
              <w:rPr>
                <w:rFonts w:hint="default" w:ascii="Times New Roman" w:hAnsi="Times New Roman" w:eastAsia="宋体" w:cs="Times New Roman"/>
                <w:bCs/>
                <w:snapToGrid w:val="0"/>
                <w:color w:val="000000" w:themeColor="text1"/>
                <w:kern w:val="0"/>
                <w:sz w:val="24"/>
                <w:szCs w:val="21"/>
                <w:highlight w:val="none"/>
              </w:rPr>
              <w:t>环境造成影响的情况。</w:t>
            </w:r>
          </w:p>
          <w:p w14:paraId="523444C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default" w:ascii="Times New Roman" w:hAnsi="Times New Roman" w:eastAsia="宋体" w:cs="Times New Roman"/>
                <w:bCs/>
                <w:snapToGrid w:val="0"/>
                <w:color w:val="000000" w:themeColor="text1"/>
                <w:kern w:val="0"/>
                <w:sz w:val="24"/>
                <w:szCs w:val="21"/>
                <w:highlight w:val="none"/>
              </w:rPr>
            </w:pPr>
            <w:r>
              <w:rPr>
                <w:rFonts w:hint="default" w:ascii="Times New Roman" w:hAnsi="Times New Roman" w:eastAsia="宋体" w:cs="Times New Roman"/>
                <w:bCs/>
                <w:snapToGrid w:val="0"/>
                <w:color w:val="000000" w:themeColor="text1"/>
                <w:kern w:val="0"/>
                <w:sz w:val="24"/>
                <w:szCs w:val="21"/>
                <w:highlight w:val="none"/>
              </w:rPr>
              <w:t>本项目</w:t>
            </w:r>
            <w:r>
              <w:rPr>
                <w:rFonts w:hint="default" w:ascii="Times New Roman" w:hAnsi="Times New Roman" w:eastAsia="宋体" w:cs="Times New Roman"/>
                <w:bCs/>
                <w:snapToGrid w:val="0"/>
                <w:color w:val="000000" w:themeColor="text1"/>
                <w:kern w:val="0"/>
                <w:sz w:val="24"/>
                <w:szCs w:val="21"/>
                <w:highlight w:val="none"/>
                <w:lang w:val="en-US" w:eastAsia="zh-CN"/>
              </w:rPr>
              <w:t>非正常工况</w:t>
            </w:r>
            <w:r>
              <w:rPr>
                <w:rFonts w:hint="default" w:ascii="Times New Roman" w:hAnsi="Times New Roman" w:eastAsia="宋体" w:cs="Times New Roman"/>
                <w:bCs/>
                <w:snapToGrid w:val="0"/>
                <w:color w:val="000000" w:themeColor="text1"/>
                <w:kern w:val="0"/>
                <w:sz w:val="24"/>
                <w:szCs w:val="21"/>
                <w:highlight w:val="none"/>
              </w:rPr>
              <w:t>主要为</w:t>
            </w:r>
            <w:r>
              <w:rPr>
                <w:rFonts w:hint="eastAsia" w:ascii="Times New Roman" w:hAnsi="Times New Roman" w:eastAsia="宋体" w:cs="Times New Roman"/>
                <w:bCs/>
                <w:snapToGrid w:val="0"/>
                <w:color w:val="000000" w:themeColor="text1"/>
                <w:kern w:val="0"/>
                <w:sz w:val="24"/>
                <w:szCs w:val="21"/>
                <w:highlight w:val="none"/>
                <w:lang w:val="en-US" w:eastAsia="zh-CN"/>
              </w:rPr>
              <w:t>危废贮存库</w:t>
            </w:r>
            <w:r>
              <w:rPr>
                <w:rFonts w:hint="default" w:ascii="Times New Roman" w:hAnsi="Times New Roman" w:eastAsia="宋体" w:cs="Times New Roman"/>
                <w:bCs/>
                <w:snapToGrid w:val="0"/>
                <w:color w:val="000000" w:themeColor="text1"/>
                <w:kern w:val="0"/>
                <w:sz w:val="24"/>
                <w:szCs w:val="21"/>
                <w:highlight w:val="none"/>
                <w:lang w:val="en-US" w:eastAsia="zh-CN"/>
              </w:rPr>
              <w:t>等</w:t>
            </w:r>
            <w:r>
              <w:rPr>
                <w:rFonts w:hint="default" w:ascii="Times New Roman" w:hAnsi="Times New Roman" w:eastAsia="宋体" w:cs="Times New Roman"/>
                <w:bCs/>
                <w:snapToGrid w:val="0"/>
                <w:color w:val="000000" w:themeColor="text1"/>
                <w:kern w:val="0"/>
                <w:sz w:val="24"/>
                <w:szCs w:val="21"/>
                <w:highlight w:val="none"/>
              </w:rPr>
              <w:t>出现</w:t>
            </w:r>
            <w:r>
              <w:rPr>
                <w:rFonts w:hint="default" w:ascii="Times New Roman" w:hAnsi="Times New Roman" w:eastAsia="宋体" w:cs="Times New Roman"/>
                <w:bCs/>
                <w:snapToGrid w:val="0"/>
                <w:color w:val="000000" w:themeColor="text1"/>
                <w:kern w:val="0"/>
                <w:sz w:val="24"/>
                <w:szCs w:val="21"/>
                <w:highlight w:val="none"/>
                <w:lang w:val="en-US" w:eastAsia="zh-CN"/>
              </w:rPr>
              <w:t>破损</w:t>
            </w:r>
            <w:r>
              <w:rPr>
                <w:rFonts w:hint="default" w:ascii="Times New Roman" w:hAnsi="Times New Roman" w:eastAsia="宋体" w:cs="Times New Roman"/>
                <w:bCs/>
                <w:snapToGrid w:val="0"/>
                <w:color w:val="000000" w:themeColor="text1"/>
                <w:kern w:val="0"/>
                <w:sz w:val="24"/>
                <w:szCs w:val="21"/>
                <w:highlight w:val="none"/>
              </w:rPr>
              <w:t>，污染物穿过损坏或不合格的防渗层、未防渗的地面等，泄漏的污染物在重力作用下从地表逐步渗入深层，并造成局部的</w:t>
            </w:r>
            <w:r>
              <w:rPr>
                <w:rFonts w:hint="default" w:ascii="Times New Roman" w:hAnsi="Times New Roman" w:eastAsia="宋体" w:cs="Times New Roman"/>
                <w:bCs/>
                <w:snapToGrid w:val="0"/>
                <w:color w:val="000000" w:themeColor="text1"/>
                <w:kern w:val="0"/>
                <w:sz w:val="24"/>
                <w:szCs w:val="21"/>
                <w:highlight w:val="none"/>
                <w:lang w:val="en-US" w:eastAsia="zh-CN"/>
              </w:rPr>
              <w:t>土壤及</w:t>
            </w:r>
            <w:r>
              <w:rPr>
                <w:rFonts w:hint="default" w:ascii="Times New Roman" w:hAnsi="Times New Roman" w:eastAsia="宋体" w:cs="Times New Roman"/>
                <w:bCs/>
                <w:snapToGrid w:val="0"/>
                <w:color w:val="000000" w:themeColor="text1"/>
                <w:kern w:val="0"/>
                <w:sz w:val="24"/>
                <w:szCs w:val="21"/>
                <w:highlight w:val="none"/>
              </w:rPr>
              <w:t>地下水环境受到污染，泄漏的污染物</w:t>
            </w:r>
            <w:r>
              <w:rPr>
                <w:rFonts w:hint="default" w:ascii="Times New Roman" w:hAnsi="Times New Roman" w:eastAsia="宋体" w:cs="Times New Roman"/>
                <w:bCs/>
                <w:snapToGrid w:val="0"/>
                <w:color w:val="000000" w:themeColor="text1"/>
                <w:kern w:val="0"/>
                <w:sz w:val="24"/>
                <w:szCs w:val="21"/>
                <w:highlight w:val="none"/>
                <w:lang w:val="en-US" w:eastAsia="zh-CN"/>
              </w:rPr>
              <w:t>无序扩散</w:t>
            </w:r>
            <w:r>
              <w:rPr>
                <w:rFonts w:hint="default" w:ascii="Times New Roman" w:hAnsi="Times New Roman" w:eastAsia="宋体" w:cs="Times New Roman"/>
                <w:bCs/>
                <w:snapToGrid w:val="0"/>
                <w:color w:val="000000" w:themeColor="text1"/>
                <w:kern w:val="0"/>
                <w:sz w:val="24"/>
                <w:szCs w:val="21"/>
                <w:highlight w:val="none"/>
              </w:rPr>
              <w:t>，导致一定范围的</w:t>
            </w:r>
            <w:r>
              <w:rPr>
                <w:rFonts w:hint="default" w:ascii="Times New Roman" w:hAnsi="Times New Roman" w:eastAsia="宋体" w:cs="Times New Roman"/>
                <w:bCs/>
                <w:snapToGrid w:val="0"/>
                <w:color w:val="000000" w:themeColor="text1"/>
                <w:kern w:val="0"/>
                <w:sz w:val="24"/>
                <w:szCs w:val="21"/>
                <w:highlight w:val="none"/>
                <w:lang w:val="en-US" w:eastAsia="zh-CN"/>
              </w:rPr>
              <w:t>土壤及</w:t>
            </w:r>
            <w:r>
              <w:rPr>
                <w:rFonts w:hint="default" w:ascii="Times New Roman" w:hAnsi="Times New Roman" w:eastAsia="宋体" w:cs="Times New Roman"/>
                <w:bCs/>
                <w:snapToGrid w:val="0"/>
                <w:color w:val="000000" w:themeColor="text1"/>
                <w:kern w:val="0"/>
                <w:sz w:val="24"/>
                <w:szCs w:val="21"/>
                <w:highlight w:val="none"/>
              </w:rPr>
              <w:t>地下水污染。厂区须强化日常环境管理，尽量及时发现非正常状况渗漏，采取措施对防渗层进行修复，污染途径即被切断，非正常状况下对</w:t>
            </w:r>
            <w:r>
              <w:rPr>
                <w:rFonts w:hint="default" w:ascii="Times New Roman" w:hAnsi="Times New Roman" w:eastAsia="宋体" w:cs="Times New Roman"/>
                <w:bCs/>
                <w:snapToGrid w:val="0"/>
                <w:color w:val="000000" w:themeColor="text1"/>
                <w:kern w:val="0"/>
                <w:sz w:val="24"/>
                <w:szCs w:val="21"/>
                <w:highlight w:val="none"/>
                <w:lang w:val="en-US" w:eastAsia="zh-CN"/>
              </w:rPr>
              <w:t>土壤及</w:t>
            </w:r>
            <w:r>
              <w:rPr>
                <w:rFonts w:hint="default" w:ascii="Times New Roman" w:hAnsi="Times New Roman" w:eastAsia="宋体" w:cs="Times New Roman"/>
                <w:bCs/>
                <w:snapToGrid w:val="0"/>
                <w:color w:val="000000" w:themeColor="text1"/>
                <w:kern w:val="0"/>
                <w:sz w:val="24"/>
                <w:szCs w:val="21"/>
                <w:highlight w:val="none"/>
              </w:rPr>
              <w:t>地下水的污染途径可定义为间歇入渗型。</w:t>
            </w:r>
          </w:p>
          <w:p w14:paraId="4ADF9291">
            <w:pPr>
              <w:keepNext w:val="0"/>
              <w:keepLines w:val="0"/>
              <w:pageBreakBefore w:val="0"/>
              <w:widowControl/>
              <w:kinsoku w:val="0"/>
              <w:wordWrap/>
              <w:overflowPunct w:val="0"/>
              <w:topLinePunct w:val="0"/>
              <w:autoSpaceDE w:val="0"/>
              <w:autoSpaceDN w:val="0"/>
              <w:bidi w:val="0"/>
              <w:adjustRightInd/>
              <w:snapToGrid/>
              <w:spacing w:line="360" w:lineRule="auto"/>
              <w:ind w:firstLine="482" w:firstLineChars="200"/>
              <w:jc w:val="left"/>
              <w:textAlignment w:val="baseline"/>
              <w:rPr>
                <w:rFonts w:hint="default" w:ascii="Times New Roman" w:hAnsi="Times New Roman" w:eastAsia="宋体" w:cs="Times New Roman"/>
                <w:b/>
                <w:bCs/>
                <w:snapToGrid w:val="0"/>
                <w:color w:val="000000" w:themeColor="text1"/>
                <w:kern w:val="0"/>
                <w:sz w:val="24"/>
                <w:szCs w:val="21"/>
                <w:highlight w:val="none"/>
                <w:lang w:eastAsia="zh-CN"/>
              </w:rPr>
            </w:pPr>
            <w:r>
              <w:rPr>
                <w:rFonts w:hint="default" w:ascii="Times New Roman" w:hAnsi="Times New Roman" w:eastAsia="宋体" w:cs="Times New Roman"/>
                <w:b/>
                <w:bCs/>
                <w:snapToGrid w:val="0"/>
                <w:color w:val="000000" w:themeColor="text1"/>
                <w:kern w:val="0"/>
                <w:sz w:val="24"/>
                <w:szCs w:val="21"/>
                <w:highlight w:val="none"/>
                <w:lang w:val="en-US" w:eastAsia="zh-CN"/>
              </w:rPr>
              <w:t>5.3土壤、</w:t>
            </w:r>
            <w:r>
              <w:rPr>
                <w:rFonts w:hint="default" w:ascii="Times New Roman" w:hAnsi="Times New Roman" w:eastAsia="宋体" w:cs="Times New Roman"/>
                <w:b/>
                <w:bCs/>
                <w:snapToGrid w:val="0"/>
                <w:color w:val="000000" w:themeColor="text1"/>
                <w:kern w:val="0"/>
                <w:sz w:val="24"/>
                <w:szCs w:val="21"/>
                <w:highlight w:val="none"/>
              </w:rPr>
              <w:t>地下水</w:t>
            </w:r>
            <w:r>
              <w:rPr>
                <w:rFonts w:hint="default" w:ascii="Times New Roman" w:hAnsi="Times New Roman" w:eastAsia="宋体" w:cs="Times New Roman"/>
                <w:b/>
                <w:bCs/>
                <w:snapToGrid w:val="0"/>
                <w:color w:val="000000" w:themeColor="text1"/>
                <w:kern w:val="0"/>
                <w:sz w:val="24"/>
                <w:szCs w:val="21"/>
                <w:highlight w:val="none"/>
                <w:lang w:val="en-US" w:eastAsia="zh-CN"/>
              </w:rPr>
              <w:t>环境</w:t>
            </w:r>
            <w:r>
              <w:rPr>
                <w:rFonts w:hint="default" w:ascii="Times New Roman" w:hAnsi="Times New Roman" w:eastAsia="宋体" w:cs="Times New Roman"/>
                <w:b/>
                <w:bCs/>
                <w:snapToGrid w:val="0"/>
                <w:color w:val="000000" w:themeColor="text1"/>
                <w:kern w:val="0"/>
                <w:sz w:val="24"/>
                <w:szCs w:val="21"/>
                <w:highlight w:val="none"/>
              </w:rPr>
              <w:t>污染</w:t>
            </w:r>
            <w:r>
              <w:rPr>
                <w:rFonts w:hint="default" w:ascii="Times New Roman" w:hAnsi="Times New Roman" w:eastAsia="宋体" w:cs="Times New Roman"/>
                <w:b/>
                <w:bCs/>
                <w:snapToGrid w:val="0"/>
                <w:color w:val="000000" w:themeColor="text1"/>
                <w:kern w:val="0"/>
                <w:sz w:val="24"/>
                <w:szCs w:val="21"/>
                <w:highlight w:val="none"/>
                <w:lang w:val="en-US" w:eastAsia="zh-CN"/>
              </w:rPr>
              <w:t>防治</w:t>
            </w:r>
            <w:r>
              <w:rPr>
                <w:rFonts w:hint="default" w:ascii="Times New Roman" w:hAnsi="Times New Roman" w:eastAsia="宋体" w:cs="Times New Roman"/>
                <w:b/>
                <w:bCs/>
                <w:snapToGrid w:val="0"/>
                <w:color w:val="000000" w:themeColor="text1"/>
                <w:kern w:val="0"/>
                <w:sz w:val="24"/>
                <w:szCs w:val="21"/>
                <w:highlight w:val="none"/>
              </w:rPr>
              <w:t>措施</w:t>
            </w:r>
          </w:p>
          <w:p w14:paraId="705E32DA">
            <w:pPr>
              <w:keepNext w:val="0"/>
              <w:keepLines w:val="0"/>
              <w:pageBreakBefore w:val="0"/>
              <w:widowControl w:val="0"/>
              <w:kinsoku w:val="0"/>
              <w:wordWrap/>
              <w:topLinePunct w:val="0"/>
              <w:autoSpaceDE w:val="0"/>
              <w:autoSpaceDN w:val="0"/>
              <w:bidi w:val="0"/>
              <w:adjustRightInd/>
              <w:snapToGrid/>
              <w:spacing w:line="360" w:lineRule="auto"/>
              <w:ind w:firstLine="480" w:firstLineChars="200"/>
              <w:jc w:val="both"/>
              <w:textAlignment w:val="baseline"/>
              <w:rPr>
                <w:rFonts w:hint="default" w:ascii="Times New Roman" w:hAnsi="Times New Roman" w:eastAsia="宋体" w:cs="Times New Roman"/>
                <w:snapToGrid w:val="0"/>
                <w:color w:val="000000" w:themeColor="text1"/>
                <w:kern w:val="2"/>
                <w:sz w:val="24"/>
                <w:szCs w:val="24"/>
                <w:highlight w:val="none"/>
                <w:lang w:val="en-US" w:eastAsia="zh-CN" w:bidi="ar-SA"/>
              </w:rPr>
            </w:pPr>
            <w:r>
              <w:rPr>
                <w:rFonts w:hint="default" w:ascii="Times New Roman" w:hAnsi="Times New Roman" w:eastAsia="宋体" w:cs="Times New Roman"/>
                <w:snapToGrid w:val="0"/>
                <w:color w:val="000000" w:themeColor="text1"/>
                <w:kern w:val="2"/>
                <w:sz w:val="24"/>
                <w:szCs w:val="24"/>
                <w:highlight w:val="none"/>
                <w:lang w:val="en-US" w:eastAsia="zh-CN" w:bidi="ar-SA"/>
              </w:rPr>
              <w:t>（1）源头控制</w:t>
            </w:r>
          </w:p>
          <w:p w14:paraId="73C47AB1">
            <w:pPr>
              <w:keepNext w:val="0"/>
              <w:keepLines w:val="0"/>
              <w:pageBreakBefore w:val="0"/>
              <w:widowControl w:val="0"/>
              <w:kinsoku w:val="0"/>
              <w:wordWrap/>
              <w:topLinePunct w:val="0"/>
              <w:autoSpaceDE w:val="0"/>
              <w:autoSpaceDN w:val="0"/>
              <w:bidi w:val="0"/>
              <w:adjustRightInd/>
              <w:snapToGrid/>
              <w:spacing w:line="360" w:lineRule="auto"/>
              <w:ind w:firstLine="480" w:firstLineChars="200"/>
              <w:jc w:val="both"/>
              <w:textAlignment w:val="baseline"/>
              <w:rPr>
                <w:rFonts w:hint="default" w:ascii="Times New Roman" w:hAnsi="Times New Roman" w:eastAsia="宋体" w:cs="Times New Roman"/>
                <w:snapToGrid w:val="0"/>
                <w:color w:val="000000" w:themeColor="text1"/>
                <w:kern w:val="2"/>
                <w:sz w:val="24"/>
                <w:szCs w:val="24"/>
                <w:highlight w:val="none"/>
                <w:lang w:val="en-US" w:eastAsia="zh-CN" w:bidi="ar-SA"/>
              </w:rPr>
            </w:pPr>
            <w:r>
              <w:rPr>
                <w:rFonts w:hint="default" w:ascii="Times New Roman" w:hAnsi="Times New Roman" w:eastAsia="宋体" w:cs="Times New Roman"/>
                <w:snapToGrid w:val="0"/>
                <w:color w:val="000000" w:themeColor="text1"/>
                <w:kern w:val="2"/>
                <w:sz w:val="24"/>
                <w:szCs w:val="24"/>
                <w:highlight w:val="none"/>
                <w:lang w:val="en-US" w:eastAsia="zh-CN" w:bidi="ar-SA"/>
              </w:rPr>
              <w:t>正常状况下，项目厂区内的</w:t>
            </w:r>
            <w:r>
              <w:rPr>
                <w:rFonts w:hint="eastAsia" w:ascii="Times New Roman" w:hAnsi="Times New Roman" w:eastAsia="宋体" w:cs="Times New Roman"/>
                <w:snapToGrid w:val="0"/>
                <w:color w:val="000000" w:themeColor="text1"/>
                <w:kern w:val="2"/>
                <w:sz w:val="24"/>
                <w:szCs w:val="24"/>
                <w:highlight w:val="none"/>
                <w:lang w:val="en-US" w:eastAsia="zh-CN" w:bidi="ar-SA"/>
              </w:rPr>
              <w:t>危险废物</w:t>
            </w:r>
            <w:r>
              <w:rPr>
                <w:rFonts w:hint="default" w:ascii="Times New Roman" w:hAnsi="Times New Roman" w:eastAsia="宋体" w:cs="Times New Roman"/>
                <w:snapToGrid w:val="0"/>
                <w:color w:val="000000" w:themeColor="text1"/>
                <w:kern w:val="2"/>
                <w:sz w:val="24"/>
                <w:szCs w:val="24"/>
                <w:highlight w:val="none"/>
                <w:lang w:val="en-US" w:eastAsia="zh-CN" w:bidi="ar-SA"/>
              </w:rPr>
              <w:t>是不会对地下水造成影响。但在装卸、储存过程中，会不可避免的发生泄漏（含跑、冒、滴、漏），如不采取合理的防治措施，则污染物有可能渗入土壤，进入地下水，从而影响土壤及地下水环境。本项目污染防治措施按照“源头控制、分区防治、污染监控、应急响应”相结合的原则，从污染物的产生、入渗、扩散、应急响应全方位进行控制。</w:t>
            </w:r>
          </w:p>
          <w:p w14:paraId="145DCFC7">
            <w:pPr>
              <w:keepNext w:val="0"/>
              <w:keepLines w:val="0"/>
              <w:pageBreakBefore w:val="0"/>
              <w:widowControl w:val="0"/>
              <w:kinsoku w:val="0"/>
              <w:wordWrap/>
              <w:topLinePunct w:val="0"/>
              <w:autoSpaceDE w:val="0"/>
              <w:autoSpaceDN w:val="0"/>
              <w:bidi w:val="0"/>
              <w:adjustRightInd/>
              <w:snapToGrid/>
              <w:spacing w:line="360" w:lineRule="auto"/>
              <w:ind w:firstLine="480" w:firstLineChars="200"/>
              <w:jc w:val="both"/>
              <w:textAlignment w:val="baseline"/>
              <w:rPr>
                <w:rFonts w:hint="default" w:ascii="Times New Roman" w:hAnsi="Times New Roman" w:eastAsia="宋体" w:cs="Times New Roman"/>
                <w:snapToGrid w:val="0"/>
                <w:color w:val="000000" w:themeColor="text1"/>
                <w:kern w:val="2"/>
                <w:sz w:val="24"/>
                <w:szCs w:val="24"/>
                <w:highlight w:val="none"/>
                <w:lang w:val="en-US" w:eastAsia="zh-CN" w:bidi="ar-SA"/>
              </w:rPr>
            </w:pPr>
            <w:r>
              <w:rPr>
                <w:rFonts w:hint="default" w:ascii="Times New Roman" w:hAnsi="Times New Roman" w:eastAsia="宋体" w:cs="Times New Roman"/>
                <w:snapToGrid w:val="0"/>
                <w:color w:val="000000" w:themeColor="text1"/>
                <w:kern w:val="2"/>
                <w:sz w:val="24"/>
                <w:szCs w:val="24"/>
                <w:highlight w:val="none"/>
                <w:lang w:val="en-US" w:eastAsia="zh-CN" w:bidi="ar-SA"/>
              </w:rPr>
              <w:t>本项目应选择先进、成熟、可靠的工艺技术，尽可能从源头上减少污染物排放。严格按照国家相关规范要求，对工艺、管道、设备、及构筑物采取相应的措施，以防止和降低污染物的跑、冒、滴、漏，将环境风险事故降低到最低。</w:t>
            </w:r>
          </w:p>
          <w:p w14:paraId="5808509F">
            <w:pPr>
              <w:keepNext w:val="0"/>
              <w:keepLines w:val="0"/>
              <w:pageBreakBefore w:val="0"/>
              <w:widowControl w:val="0"/>
              <w:kinsoku w:val="0"/>
              <w:wordWrap/>
              <w:topLinePunct w:val="0"/>
              <w:autoSpaceDE w:val="0"/>
              <w:autoSpaceDN w:val="0"/>
              <w:bidi w:val="0"/>
              <w:adjustRightInd/>
              <w:snapToGrid/>
              <w:spacing w:line="360" w:lineRule="auto"/>
              <w:ind w:firstLine="480" w:firstLineChars="200"/>
              <w:jc w:val="both"/>
              <w:textAlignment w:val="baseline"/>
              <w:rPr>
                <w:rFonts w:hint="default" w:ascii="Times New Roman" w:hAnsi="Times New Roman" w:eastAsia="宋体" w:cs="Times New Roman"/>
                <w:snapToGrid w:val="0"/>
                <w:color w:val="000000" w:themeColor="text1"/>
                <w:kern w:val="2"/>
                <w:sz w:val="24"/>
                <w:szCs w:val="24"/>
                <w:highlight w:val="none"/>
                <w:lang w:val="en-US" w:eastAsia="zh-CN" w:bidi="ar-SA"/>
              </w:rPr>
            </w:pPr>
            <w:r>
              <w:rPr>
                <w:rFonts w:hint="default" w:ascii="Times New Roman" w:hAnsi="Times New Roman" w:eastAsia="宋体" w:cs="Times New Roman"/>
                <w:snapToGrid w:val="0"/>
                <w:color w:val="000000" w:themeColor="text1"/>
                <w:kern w:val="2"/>
                <w:sz w:val="24"/>
                <w:szCs w:val="24"/>
                <w:highlight w:val="none"/>
                <w:lang w:val="en-US" w:eastAsia="zh-CN" w:bidi="ar-SA"/>
              </w:rPr>
              <w:t>（2）分区防治措施</w:t>
            </w:r>
          </w:p>
          <w:p w14:paraId="6891B454">
            <w:pPr>
              <w:keepNext w:val="0"/>
              <w:keepLines w:val="0"/>
              <w:pageBreakBefore w:val="0"/>
              <w:widowControl/>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snapToGrid w:val="0"/>
                <w:color w:val="000000" w:themeColor="text1"/>
                <w:kern w:val="0"/>
                <w:sz w:val="24"/>
                <w:szCs w:val="24"/>
                <w:highlight w:val="none"/>
              </w:rPr>
            </w:pPr>
            <w:r>
              <w:rPr>
                <w:rFonts w:hint="default" w:ascii="Times New Roman" w:hAnsi="Times New Roman" w:eastAsia="宋体" w:cs="Times New Roman"/>
                <w:snapToGrid w:val="0"/>
                <w:color w:val="000000" w:themeColor="text1"/>
                <w:kern w:val="0"/>
                <w:sz w:val="24"/>
                <w:szCs w:val="24"/>
                <w:highlight w:val="none"/>
                <w:lang w:val="en-US" w:eastAsia="zh-CN"/>
              </w:rPr>
              <w:t>①</w:t>
            </w:r>
            <w:r>
              <w:rPr>
                <w:rFonts w:hint="default" w:ascii="Times New Roman" w:hAnsi="Times New Roman" w:eastAsia="宋体" w:cs="Times New Roman"/>
                <w:snapToGrid w:val="0"/>
                <w:color w:val="000000" w:themeColor="text1"/>
                <w:kern w:val="0"/>
                <w:sz w:val="24"/>
                <w:szCs w:val="24"/>
                <w:highlight w:val="none"/>
              </w:rPr>
              <w:t>厂区污染防渗区划分</w:t>
            </w:r>
          </w:p>
          <w:p w14:paraId="7F8AF336">
            <w:pPr>
              <w:keepNext w:val="0"/>
              <w:keepLines w:val="0"/>
              <w:pageBreakBefore w:val="0"/>
              <w:widowControl/>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snapToGrid w:val="0"/>
                <w:color w:val="000000" w:themeColor="text1"/>
                <w:kern w:val="0"/>
                <w:sz w:val="24"/>
                <w:szCs w:val="24"/>
                <w:highlight w:val="none"/>
              </w:rPr>
            </w:pPr>
            <w:r>
              <w:rPr>
                <w:rFonts w:hint="default" w:ascii="Times New Roman" w:hAnsi="Times New Roman" w:eastAsia="宋体" w:cs="Times New Roman"/>
                <w:snapToGrid w:val="0"/>
                <w:color w:val="000000" w:themeColor="text1"/>
                <w:kern w:val="0"/>
                <w:sz w:val="24"/>
                <w:szCs w:val="24"/>
                <w:highlight w:val="none"/>
              </w:rPr>
              <w:t>本项目采取分区防控措施，将厂区划分为重点防渗区、一般防渗区，除污染区外的其余区域均为非污染防治区</w:t>
            </w:r>
            <w:r>
              <w:rPr>
                <w:rFonts w:hint="default" w:ascii="Times New Roman" w:hAnsi="Times New Roman" w:eastAsia="宋体" w:cs="Times New Roman"/>
                <w:snapToGrid w:val="0"/>
                <w:color w:val="000000" w:themeColor="text1"/>
                <w:kern w:val="0"/>
                <w:sz w:val="24"/>
                <w:szCs w:val="24"/>
                <w:highlight w:val="none"/>
                <w:lang w:eastAsia="zh-CN"/>
              </w:rPr>
              <w:t>，</w:t>
            </w:r>
            <w:r>
              <w:rPr>
                <w:rFonts w:hint="default" w:ascii="Times New Roman" w:hAnsi="Times New Roman" w:eastAsia="宋体" w:cs="Times New Roman"/>
                <w:snapToGrid w:val="0"/>
                <w:color w:val="000000" w:themeColor="text1"/>
                <w:kern w:val="0"/>
                <w:sz w:val="24"/>
                <w:szCs w:val="24"/>
                <w:highlight w:val="none"/>
                <w:lang w:val="en-US" w:eastAsia="zh-CN"/>
              </w:rPr>
              <w:t>其他区域进行简单防渗</w:t>
            </w:r>
            <w:r>
              <w:rPr>
                <w:rFonts w:hint="default" w:ascii="Times New Roman" w:hAnsi="Times New Roman" w:eastAsia="宋体" w:cs="Times New Roman"/>
                <w:snapToGrid w:val="0"/>
                <w:color w:val="000000" w:themeColor="text1"/>
                <w:kern w:val="0"/>
                <w:sz w:val="24"/>
                <w:szCs w:val="24"/>
                <w:highlight w:val="none"/>
              </w:rPr>
              <w:t>。</w:t>
            </w:r>
          </w:p>
          <w:p w14:paraId="371451AD">
            <w:pPr>
              <w:keepNext w:val="0"/>
              <w:keepLines w:val="0"/>
              <w:pageBreakBefore w:val="0"/>
              <w:widowControl/>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snapToGrid w:val="0"/>
                <w:color w:val="000000" w:themeColor="text1"/>
                <w:kern w:val="0"/>
                <w:sz w:val="24"/>
                <w:szCs w:val="24"/>
                <w:highlight w:val="none"/>
                <w:lang w:val="en-US" w:eastAsia="zh-CN"/>
              </w:rPr>
            </w:pPr>
            <w:r>
              <w:rPr>
                <w:rFonts w:hint="default" w:ascii="Times New Roman" w:hAnsi="Times New Roman" w:eastAsia="宋体" w:cs="Times New Roman"/>
                <w:snapToGrid w:val="0"/>
                <w:color w:val="000000" w:themeColor="text1"/>
                <w:kern w:val="0"/>
                <w:sz w:val="24"/>
                <w:szCs w:val="24"/>
                <w:highlight w:val="none"/>
              </w:rPr>
              <w:t>重点防渗区主要指位于地下、半地下的生产功能单元或其它易产生污染物质的场所，当污染物质泄漏后，不容易被及时发现和处理的区域，以及虽可被及时发现并处理，但污染物泄漏后污染状况较严重的生产功能单元。本项目重点污染防治区主要</w:t>
            </w:r>
            <w:r>
              <w:rPr>
                <w:rFonts w:hint="default" w:ascii="Times New Roman" w:hAnsi="Times New Roman" w:eastAsia="宋体" w:cs="Times New Roman"/>
                <w:snapToGrid w:val="0"/>
                <w:color w:val="000000" w:themeColor="text1"/>
                <w:kern w:val="0"/>
                <w:sz w:val="24"/>
                <w:szCs w:val="24"/>
                <w:highlight w:val="none"/>
                <w:lang w:val="en-US" w:eastAsia="zh-CN"/>
              </w:rPr>
              <w:t>为</w:t>
            </w:r>
            <w:r>
              <w:rPr>
                <w:rFonts w:hint="eastAsia" w:ascii="Times New Roman" w:hAnsi="Times New Roman" w:eastAsia="宋体" w:cs="Times New Roman"/>
                <w:snapToGrid w:val="0"/>
                <w:color w:val="000000" w:themeColor="text1"/>
                <w:kern w:val="0"/>
                <w:sz w:val="24"/>
                <w:szCs w:val="24"/>
                <w:highlight w:val="none"/>
                <w:lang w:val="en-US" w:eastAsia="zh-CN"/>
              </w:rPr>
              <w:t>危废贮存库</w:t>
            </w:r>
            <w:r>
              <w:rPr>
                <w:rFonts w:hint="default" w:ascii="Times New Roman" w:hAnsi="Times New Roman" w:eastAsia="宋体" w:cs="Times New Roman"/>
                <w:snapToGrid w:val="0"/>
                <w:color w:val="000000" w:themeColor="text1"/>
                <w:kern w:val="0"/>
                <w:sz w:val="24"/>
                <w:szCs w:val="24"/>
                <w:highlight w:val="none"/>
                <w:lang w:val="en-US" w:eastAsia="zh-CN"/>
              </w:rPr>
              <w:t>。</w:t>
            </w:r>
          </w:p>
          <w:p w14:paraId="753E1645">
            <w:pPr>
              <w:keepNext w:val="0"/>
              <w:keepLines w:val="0"/>
              <w:pageBreakBefore w:val="0"/>
              <w:widowControl/>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snapToGrid w:val="0"/>
                <w:color w:val="000000" w:themeColor="text1"/>
                <w:kern w:val="0"/>
                <w:sz w:val="24"/>
                <w:szCs w:val="24"/>
                <w:highlight w:val="none"/>
                <w:lang w:val="en-US" w:eastAsia="zh-CN"/>
              </w:rPr>
            </w:pPr>
            <w:r>
              <w:rPr>
                <w:rFonts w:hint="default" w:ascii="Times New Roman" w:hAnsi="Times New Roman" w:eastAsia="宋体" w:cs="Times New Roman"/>
                <w:snapToGrid w:val="0"/>
                <w:color w:val="000000" w:themeColor="text1"/>
                <w:kern w:val="0"/>
                <w:sz w:val="24"/>
                <w:szCs w:val="24"/>
                <w:highlight w:val="none"/>
              </w:rPr>
              <w:t>一般防渗区主要指裸露于地面的生产功能单元，污染物质泄漏后，容易被及时发现和处理的区域，以及其它需采取必要防渗措施的水工构筑物等；本项目一般污染防治区主要包括可能产生污染物泄漏的场地，具体为：</w:t>
            </w:r>
            <w:r>
              <w:rPr>
                <w:rFonts w:hint="default" w:ascii="Times New Roman" w:hAnsi="Times New Roman" w:eastAsia="宋体" w:cs="Times New Roman"/>
                <w:snapToGrid w:val="0"/>
                <w:color w:val="000000" w:themeColor="text1"/>
                <w:kern w:val="0"/>
                <w:sz w:val="24"/>
                <w:szCs w:val="24"/>
                <w:highlight w:val="none"/>
                <w:lang w:val="en-US" w:eastAsia="zh-CN"/>
              </w:rPr>
              <w:t>生产车间等。</w:t>
            </w:r>
          </w:p>
          <w:p w14:paraId="2E659DD4">
            <w:pPr>
              <w:keepNext w:val="0"/>
              <w:keepLines w:val="0"/>
              <w:pageBreakBefore w:val="0"/>
              <w:widowControl/>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snapToGrid w:val="0"/>
                <w:color w:val="000000" w:themeColor="text1"/>
                <w:kern w:val="0"/>
                <w:sz w:val="24"/>
                <w:szCs w:val="24"/>
                <w:highlight w:val="none"/>
              </w:rPr>
            </w:pPr>
            <w:r>
              <w:rPr>
                <w:rFonts w:hint="default" w:ascii="Times New Roman" w:hAnsi="Times New Roman" w:eastAsia="宋体" w:cs="Times New Roman"/>
                <w:snapToGrid w:val="0"/>
                <w:color w:val="000000" w:themeColor="text1"/>
                <w:kern w:val="0"/>
                <w:sz w:val="24"/>
                <w:szCs w:val="24"/>
                <w:highlight w:val="none"/>
              </w:rPr>
              <w:t>简单防渗区：指不会对地下水环境造成污染的区域。按通常的工程要求进行夯实、地面硬化/绿化，其防渗系数＜1×10</w:t>
            </w:r>
            <w:r>
              <w:rPr>
                <w:rFonts w:hint="default" w:ascii="Times New Roman" w:hAnsi="Times New Roman" w:eastAsia="宋体" w:cs="Times New Roman"/>
                <w:snapToGrid w:val="0"/>
                <w:color w:val="000000" w:themeColor="text1"/>
                <w:kern w:val="0"/>
                <w:sz w:val="24"/>
                <w:szCs w:val="24"/>
                <w:highlight w:val="none"/>
                <w:vertAlign w:val="superscript"/>
              </w:rPr>
              <w:t>-5</w:t>
            </w:r>
            <w:r>
              <w:rPr>
                <w:rFonts w:hint="eastAsia" w:ascii="Times New Roman" w:hAnsi="Times New Roman" w:eastAsia="宋体" w:cs="Times New Roman"/>
                <w:snapToGrid w:val="0"/>
                <w:color w:val="000000" w:themeColor="text1"/>
                <w:kern w:val="0"/>
                <w:sz w:val="24"/>
                <w:szCs w:val="24"/>
                <w:highlight w:val="none"/>
                <w:lang w:val="en-US" w:eastAsia="zh-CN"/>
              </w:rPr>
              <w:t>厘米</w:t>
            </w:r>
            <w:r>
              <w:rPr>
                <w:rFonts w:hint="default" w:ascii="Times New Roman" w:hAnsi="Times New Roman" w:eastAsia="宋体" w:cs="Times New Roman"/>
                <w:snapToGrid w:val="0"/>
                <w:color w:val="000000" w:themeColor="text1"/>
                <w:kern w:val="0"/>
                <w:sz w:val="24"/>
                <w:szCs w:val="24"/>
                <w:highlight w:val="none"/>
              </w:rPr>
              <w:t>/</w:t>
            </w:r>
            <w:r>
              <w:rPr>
                <w:rFonts w:hint="eastAsia" w:ascii="Times New Roman" w:hAnsi="Times New Roman" w:eastAsia="宋体" w:cs="Times New Roman"/>
                <w:snapToGrid w:val="0"/>
                <w:color w:val="000000" w:themeColor="text1"/>
                <w:kern w:val="0"/>
                <w:sz w:val="24"/>
                <w:szCs w:val="24"/>
                <w:highlight w:val="none"/>
                <w:lang w:val="en-US" w:eastAsia="zh-CN"/>
              </w:rPr>
              <w:t>秒</w:t>
            </w:r>
            <w:r>
              <w:rPr>
                <w:rFonts w:hint="default" w:ascii="Times New Roman" w:hAnsi="Times New Roman" w:eastAsia="宋体" w:cs="Times New Roman"/>
                <w:snapToGrid w:val="0"/>
                <w:color w:val="000000" w:themeColor="text1"/>
                <w:kern w:val="0"/>
                <w:sz w:val="24"/>
                <w:szCs w:val="24"/>
                <w:highlight w:val="none"/>
              </w:rPr>
              <w:t>。</w:t>
            </w:r>
          </w:p>
          <w:p w14:paraId="4A32B6D1">
            <w:pPr>
              <w:keepNext w:val="0"/>
              <w:keepLines w:val="0"/>
              <w:pageBreakBefore w:val="0"/>
              <w:widowControl/>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snapToGrid w:val="0"/>
                <w:color w:val="000000" w:themeColor="text1"/>
                <w:kern w:val="0"/>
                <w:sz w:val="24"/>
                <w:szCs w:val="24"/>
                <w:highlight w:val="none"/>
              </w:rPr>
            </w:pPr>
            <w:r>
              <w:rPr>
                <w:rFonts w:hint="default" w:ascii="Times New Roman" w:hAnsi="Times New Roman" w:eastAsia="宋体" w:cs="Times New Roman"/>
                <w:snapToGrid w:val="0"/>
                <w:color w:val="000000" w:themeColor="text1"/>
                <w:kern w:val="0"/>
                <w:sz w:val="24"/>
                <w:szCs w:val="24"/>
                <w:highlight w:val="none"/>
                <w:lang w:val="en-US" w:eastAsia="zh-CN"/>
              </w:rPr>
              <w:t>②</w:t>
            </w:r>
            <w:r>
              <w:rPr>
                <w:rFonts w:hint="default" w:ascii="Times New Roman" w:hAnsi="Times New Roman" w:eastAsia="宋体" w:cs="Times New Roman"/>
                <w:snapToGrid w:val="0"/>
                <w:color w:val="000000" w:themeColor="text1"/>
                <w:kern w:val="0"/>
                <w:sz w:val="24"/>
                <w:szCs w:val="24"/>
                <w:highlight w:val="none"/>
              </w:rPr>
              <w:t>分区防渗措施</w:t>
            </w:r>
          </w:p>
          <w:p w14:paraId="423F6C35">
            <w:pPr>
              <w:keepNext w:val="0"/>
              <w:keepLines w:val="0"/>
              <w:pageBreakBefore w:val="0"/>
              <w:widowControl/>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snapToGrid w:val="0"/>
                <w:color w:val="000000" w:themeColor="text1"/>
                <w:kern w:val="0"/>
                <w:sz w:val="24"/>
                <w:szCs w:val="24"/>
                <w:highlight w:val="none"/>
              </w:rPr>
            </w:pPr>
            <w:r>
              <w:rPr>
                <w:rFonts w:hint="default" w:ascii="Times New Roman" w:hAnsi="Times New Roman" w:eastAsia="宋体" w:cs="Times New Roman"/>
                <w:snapToGrid w:val="0"/>
                <w:color w:val="000000" w:themeColor="text1"/>
                <w:kern w:val="0"/>
                <w:sz w:val="24"/>
                <w:szCs w:val="24"/>
                <w:highlight w:val="none"/>
              </w:rPr>
              <w:t>a重点防渗区</w:t>
            </w:r>
          </w:p>
          <w:p w14:paraId="4D4B1774">
            <w:pPr>
              <w:keepNext w:val="0"/>
              <w:keepLines w:val="0"/>
              <w:pageBreakBefore w:val="0"/>
              <w:widowControl/>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snapToGrid w:val="0"/>
                <w:color w:val="000000" w:themeColor="text1"/>
                <w:kern w:val="0"/>
                <w:sz w:val="24"/>
                <w:szCs w:val="24"/>
                <w:highlight w:val="none"/>
              </w:rPr>
            </w:pPr>
            <w:r>
              <w:rPr>
                <w:rFonts w:hint="default" w:ascii="Times New Roman" w:hAnsi="Times New Roman" w:eastAsia="宋体" w:cs="Times New Roman"/>
                <w:snapToGrid w:val="0"/>
                <w:color w:val="000000" w:themeColor="text1"/>
                <w:kern w:val="0"/>
                <w:sz w:val="24"/>
                <w:szCs w:val="24"/>
                <w:highlight w:val="none"/>
              </w:rPr>
              <w:t>根据《环境影响评价技术导则</w:t>
            </w:r>
            <w:r>
              <w:rPr>
                <w:rFonts w:hint="eastAsia" w:ascii="Times New Roman" w:hAnsi="Times New Roman" w:eastAsia="宋体" w:cs="Times New Roman"/>
                <w:snapToGrid w:val="0"/>
                <w:color w:val="000000" w:themeColor="text1"/>
                <w:kern w:val="0"/>
                <w:sz w:val="24"/>
                <w:szCs w:val="24"/>
                <w:highlight w:val="none"/>
                <w:lang w:val="en-US" w:eastAsia="zh-CN"/>
              </w:rPr>
              <w:t xml:space="preserve"> </w:t>
            </w:r>
            <w:r>
              <w:rPr>
                <w:rFonts w:hint="default" w:ascii="Times New Roman" w:hAnsi="Times New Roman" w:eastAsia="宋体" w:cs="Times New Roman"/>
                <w:snapToGrid w:val="0"/>
                <w:color w:val="000000" w:themeColor="text1"/>
                <w:kern w:val="0"/>
                <w:sz w:val="24"/>
                <w:szCs w:val="24"/>
                <w:highlight w:val="none"/>
              </w:rPr>
              <w:t>地下水环境》（HJ610-2016）表7要求，重点防渗区防渗层的防渗性能不低于6.0</w:t>
            </w:r>
            <w:r>
              <w:rPr>
                <w:rFonts w:hint="eastAsia" w:ascii="Times New Roman" w:hAnsi="Times New Roman" w:eastAsia="宋体" w:cs="Times New Roman"/>
                <w:snapToGrid w:val="0"/>
                <w:color w:val="000000" w:themeColor="text1"/>
                <w:kern w:val="0"/>
                <w:sz w:val="24"/>
                <w:szCs w:val="24"/>
                <w:highlight w:val="none"/>
                <w:lang w:val="en-US" w:eastAsia="zh-CN"/>
              </w:rPr>
              <w:t>米</w:t>
            </w:r>
            <w:r>
              <w:rPr>
                <w:rFonts w:hint="default" w:ascii="Times New Roman" w:hAnsi="Times New Roman" w:eastAsia="宋体" w:cs="Times New Roman"/>
                <w:snapToGrid w:val="0"/>
                <w:color w:val="000000" w:themeColor="text1"/>
                <w:kern w:val="0"/>
                <w:sz w:val="24"/>
                <w:szCs w:val="24"/>
                <w:highlight w:val="none"/>
              </w:rPr>
              <w:t>厚、渗透系数不大于1.0×10</w:t>
            </w:r>
            <w:r>
              <w:rPr>
                <w:rFonts w:hint="default" w:ascii="Times New Roman" w:hAnsi="Times New Roman" w:eastAsia="宋体" w:cs="Times New Roman"/>
                <w:snapToGrid w:val="0"/>
                <w:color w:val="000000" w:themeColor="text1"/>
                <w:kern w:val="0"/>
                <w:sz w:val="24"/>
                <w:szCs w:val="24"/>
                <w:highlight w:val="none"/>
                <w:vertAlign w:val="superscript"/>
              </w:rPr>
              <w:t>-7</w:t>
            </w:r>
            <w:r>
              <w:rPr>
                <w:rFonts w:hint="eastAsia" w:ascii="Times New Roman" w:hAnsi="Times New Roman" w:eastAsia="宋体" w:cs="Times New Roman"/>
                <w:snapToGrid w:val="0"/>
                <w:color w:val="000000" w:themeColor="text1"/>
                <w:kern w:val="0"/>
                <w:sz w:val="24"/>
                <w:szCs w:val="24"/>
                <w:highlight w:val="none"/>
                <w:lang w:val="en-US" w:eastAsia="zh-CN"/>
              </w:rPr>
              <w:t>厘米</w:t>
            </w:r>
            <w:r>
              <w:rPr>
                <w:rFonts w:hint="default" w:ascii="Times New Roman" w:hAnsi="Times New Roman" w:eastAsia="宋体" w:cs="Times New Roman"/>
                <w:snapToGrid w:val="0"/>
                <w:color w:val="000000" w:themeColor="text1"/>
                <w:kern w:val="0"/>
                <w:sz w:val="24"/>
                <w:szCs w:val="24"/>
                <w:highlight w:val="none"/>
              </w:rPr>
              <w:t>/</w:t>
            </w:r>
            <w:r>
              <w:rPr>
                <w:rFonts w:hint="eastAsia" w:ascii="Times New Roman" w:hAnsi="Times New Roman" w:eastAsia="宋体" w:cs="Times New Roman"/>
                <w:snapToGrid w:val="0"/>
                <w:color w:val="000000" w:themeColor="text1"/>
                <w:kern w:val="0"/>
                <w:sz w:val="24"/>
                <w:szCs w:val="24"/>
                <w:highlight w:val="none"/>
                <w:lang w:val="en-US" w:eastAsia="zh-CN"/>
              </w:rPr>
              <w:t>秒</w:t>
            </w:r>
            <w:r>
              <w:rPr>
                <w:rFonts w:hint="default" w:ascii="Times New Roman" w:hAnsi="Times New Roman" w:eastAsia="宋体" w:cs="Times New Roman"/>
                <w:snapToGrid w:val="0"/>
                <w:color w:val="000000" w:themeColor="text1"/>
                <w:kern w:val="0"/>
                <w:sz w:val="24"/>
                <w:szCs w:val="24"/>
                <w:highlight w:val="none"/>
              </w:rPr>
              <w:t>的黏土层的防渗性能；具体防渗设计从上至下依次为：</w:t>
            </w:r>
          </w:p>
          <w:p w14:paraId="795C6FD4">
            <w:pPr>
              <w:keepNext w:val="0"/>
              <w:keepLines w:val="0"/>
              <w:pageBreakBefore w:val="0"/>
              <w:widowControl/>
              <w:kinsoku/>
              <w:wordWrap/>
              <w:overflowPunct/>
              <w:topLinePunct w:val="0"/>
              <w:autoSpaceDE w:val="0"/>
              <w:autoSpaceDN w:val="0"/>
              <w:bidi w:val="0"/>
              <w:adjustRightInd/>
              <w:snapToGrid/>
              <w:spacing w:line="360" w:lineRule="auto"/>
              <w:ind w:firstLine="480" w:firstLineChars="200"/>
              <w:jc w:val="left"/>
              <w:textAlignment w:val="auto"/>
              <w:rPr>
                <w:rFonts w:hint="eastAsia" w:ascii="Times New Roman" w:hAnsi="Times New Roman" w:eastAsia="宋体" w:cs="Times New Roman"/>
                <w:snapToGrid w:val="0"/>
                <w:color w:val="000000" w:themeColor="text1"/>
                <w:kern w:val="0"/>
                <w:sz w:val="24"/>
                <w:szCs w:val="24"/>
                <w:highlight w:val="none"/>
                <w:lang w:eastAsia="zh-CN"/>
              </w:rPr>
            </w:pPr>
            <w:r>
              <w:rPr>
                <w:rFonts w:hint="default" w:ascii="Times New Roman" w:hAnsi="Times New Roman" w:eastAsia="宋体" w:cs="Times New Roman"/>
                <w:snapToGrid w:val="0"/>
                <w:color w:val="000000" w:themeColor="text1"/>
                <w:kern w:val="0"/>
                <w:sz w:val="24"/>
                <w:szCs w:val="24"/>
                <w:highlight w:val="none"/>
              </w:rPr>
              <w:t>抗渗混凝土：抗渗等级P8级，渗透系数约为0.261×10</w:t>
            </w:r>
            <w:r>
              <w:rPr>
                <w:rFonts w:hint="default" w:ascii="Times New Roman" w:hAnsi="Times New Roman" w:eastAsia="宋体" w:cs="Times New Roman"/>
                <w:snapToGrid w:val="0"/>
                <w:color w:val="000000" w:themeColor="text1"/>
                <w:kern w:val="0"/>
                <w:sz w:val="24"/>
                <w:szCs w:val="24"/>
                <w:highlight w:val="none"/>
                <w:vertAlign w:val="superscript"/>
              </w:rPr>
              <w:t>-8</w:t>
            </w:r>
            <w:r>
              <w:rPr>
                <w:rFonts w:hint="eastAsia" w:ascii="Times New Roman" w:hAnsi="Times New Roman" w:eastAsia="宋体" w:cs="Times New Roman"/>
                <w:snapToGrid w:val="0"/>
                <w:color w:val="000000" w:themeColor="text1"/>
                <w:kern w:val="0"/>
                <w:sz w:val="24"/>
                <w:szCs w:val="24"/>
                <w:highlight w:val="none"/>
                <w:lang w:val="en-US" w:eastAsia="zh-CN"/>
              </w:rPr>
              <w:t>厘米</w:t>
            </w:r>
            <w:r>
              <w:rPr>
                <w:rFonts w:hint="default" w:ascii="Times New Roman" w:hAnsi="Times New Roman" w:eastAsia="宋体" w:cs="Times New Roman"/>
                <w:snapToGrid w:val="0"/>
                <w:color w:val="000000" w:themeColor="text1"/>
                <w:kern w:val="0"/>
                <w:sz w:val="24"/>
                <w:szCs w:val="24"/>
                <w:highlight w:val="none"/>
              </w:rPr>
              <w:t>/</w:t>
            </w:r>
            <w:r>
              <w:rPr>
                <w:rFonts w:hint="eastAsia" w:ascii="Times New Roman" w:hAnsi="Times New Roman" w:eastAsia="宋体" w:cs="Times New Roman"/>
                <w:snapToGrid w:val="0"/>
                <w:color w:val="000000" w:themeColor="text1"/>
                <w:kern w:val="0"/>
                <w:sz w:val="24"/>
                <w:szCs w:val="24"/>
                <w:highlight w:val="none"/>
                <w:lang w:val="en-US" w:eastAsia="zh-CN"/>
              </w:rPr>
              <w:t>秒</w:t>
            </w:r>
            <w:r>
              <w:rPr>
                <w:rFonts w:hint="default" w:ascii="Times New Roman" w:hAnsi="Times New Roman" w:eastAsia="宋体" w:cs="Times New Roman"/>
                <w:snapToGrid w:val="0"/>
                <w:color w:val="000000" w:themeColor="text1"/>
                <w:kern w:val="0"/>
                <w:sz w:val="24"/>
                <w:szCs w:val="24"/>
                <w:highlight w:val="none"/>
              </w:rPr>
              <w:t>，厚度≥20</w:t>
            </w:r>
            <w:r>
              <w:rPr>
                <w:rFonts w:hint="eastAsia" w:ascii="Times New Roman" w:hAnsi="Times New Roman" w:eastAsia="宋体" w:cs="Times New Roman"/>
                <w:snapToGrid w:val="0"/>
                <w:color w:val="000000" w:themeColor="text1"/>
                <w:kern w:val="0"/>
                <w:sz w:val="24"/>
                <w:szCs w:val="24"/>
                <w:highlight w:val="none"/>
                <w:lang w:val="en-US" w:eastAsia="zh-CN"/>
              </w:rPr>
              <w:t>厘米</w:t>
            </w:r>
            <w:r>
              <w:rPr>
                <w:rFonts w:hint="default" w:ascii="Times New Roman" w:hAnsi="Times New Roman" w:eastAsia="宋体" w:cs="Times New Roman"/>
                <w:snapToGrid w:val="0"/>
                <w:color w:val="000000" w:themeColor="text1"/>
                <w:kern w:val="0"/>
                <w:sz w:val="24"/>
                <w:szCs w:val="24"/>
                <w:highlight w:val="none"/>
              </w:rPr>
              <w:t>→原地层</w:t>
            </w:r>
            <w:r>
              <w:rPr>
                <w:rFonts w:hint="eastAsia" w:ascii="Times New Roman" w:hAnsi="Times New Roman" w:eastAsia="宋体" w:cs="Times New Roman"/>
                <w:snapToGrid w:val="0"/>
                <w:color w:val="000000" w:themeColor="text1"/>
                <w:kern w:val="0"/>
                <w:sz w:val="24"/>
                <w:szCs w:val="24"/>
                <w:highlight w:val="none"/>
                <w:lang w:eastAsia="zh-CN"/>
              </w:rPr>
              <w:t>。</w:t>
            </w:r>
          </w:p>
          <w:p w14:paraId="1EEBDB9C">
            <w:pPr>
              <w:keepNext w:val="0"/>
              <w:keepLines w:val="0"/>
              <w:pageBreakBefore w:val="0"/>
              <w:widowControl/>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snapToGrid w:val="0"/>
                <w:color w:val="000000" w:themeColor="text1"/>
                <w:kern w:val="0"/>
                <w:sz w:val="24"/>
                <w:szCs w:val="24"/>
                <w:highlight w:val="none"/>
              </w:rPr>
            </w:pPr>
            <w:r>
              <w:rPr>
                <w:rFonts w:hint="default" w:ascii="Times New Roman" w:hAnsi="Times New Roman" w:eastAsia="宋体" w:cs="Times New Roman"/>
                <w:snapToGrid w:val="0"/>
                <w:color w:val="000000" w:themeColor="text1"/>
                <w:kern w:val="0"/>
                <w:sz w:val="24"/>
                <w:szCs w:val="24"/>
                <w:highlight w:val="none"/>
              </w:rPr>
              <w:t>通过计算，上述防渗设计的防渗性能可满足且大于6.0</w:t>
            </w:r>
            <w:r>
              <w:rPr>
                <w:rFonts w:hint="eastAsia" w:ascii="Times New Roman" w:hAnsi="Times New Roman" w:eastAsia="宋体" w:cs="Times New Roman"/>
                <w:snapToGrid w:val="0"/>
                <w:color w:val="000000" w:themeColor="text1"/>
                <w:kern w:val="0"/>
                <w:sz w:val="24"/>
                <w:szCs w:val="24"/>
                <w:highlight w:val="none"/>
                <w:lang w:val="en-US" w:eastAsia="zh-CN"/>
              </w:rPr>
              <w:t>米</w:t>
            </w:r>
            <w:r>
              <w:rPr>
                <w:rFonts w:hint="default" w:ascii="Times New Roman" w:hAnsi="Times New Roman" w:eastAsia="宋体" w:cs="Times New Roman"/>
                <w:snapToGrid w:val="0"/>
                <w:color w:val="000000" w:themeColor="text1"/>
                <w:kern w:val="0"/>
                <w:sz w:val="24"/>
                <w:szCs w:val="24"/>
                <w:highlight w:val="none"/>
              </w:rPr>
              <w:t>厚渗透系数为1.0×10</w:t>
            </w:r>
            <w:r>
              <w:rPr>
                <w:rFonts w:hint="default" w:ascii="Times New Roman" w:hAnsi="Times New Roman" w:eastAsia="宋体" w:cs="Times New Roman"/>
                <w:snapToGrid w:val="0"/>
                <w:color w:val="000000" w:themeColor="text1"/>
                <w:kern w:val="0"/>
                <w:sz w:val="24"/>
                <w:szCs w:val="24"/>
                <w:highlight w:val="none"/>
                <w:vertAlign w:val="superscript"/>
              </w:rPr>
              <w:t>-7</w:t>
            </w:r>
            <w:r>
              <w:rPr>
                <w:rFonts w:hint="eastAsia" w:ascii="Times New Roman" w:hAnsi="Times New Roman" w:eastAsia="宋体" w:cs="Times New Roman"/>
                <w:snapToGrid w:val="0"/>
                <w:color w:val="000000" w:themeColor="text1"/>
                <w:kern w:val="0"/>
                <w:sz w:val="24"/>
                <w:szCs w:val="24"/>
                <w:highlight w:val="none"/>
                <w:lang w:val="en-US" w:eastAsia="zh-CN"/>
              </w:rPr>
              <w:t>厘米</w:t>
            </w:r>
            <w:r>
              <w:rPr>
                <w:rFonts w:hint="default" w:ascii="Times New Roman" w:hAnsi="Times New Roman" w:eastAsia="宋体" w:cs="Times New Roman"/>
                <w:snapToGrid w:val="0"/>
                <w:color w:val="000000" w:themeColor="text1"/>
                <w:kern w:val="0"/>
                <w:sz w:val="24"/>
                <w:szCs w:val="24"/>
                <w:highlight w:val="none"/>
              </w:rPr>
              <w:t>/</w:t>
            </w:r>
            <w:r>
              <w:rPr>
                <w:rFonts w:hint="eastAsia" w:ascii="Times New Roman" w:hAnsi="Times New Roman" w:eastAsia="宋体" w:cs="Times New Roman"/>
                <w:snapToGrid w:val="0"/>
                <w:color w:val="000000" w:themeColor="text1"/>
                <w:kern w:val="0"/>
                <w:sz w:val="24"/>
                <w:szCs w:val="24"/>
                <w:highlight w:val="none"/>
                <w:lang w:val="en-US" w:eastAsia="zh-CN"/>
              </w:rPr>
              <w:t>秒</w:t>
            </w:r>
            <w:r>
              <w:rPr>
                <w:rFonts w:hint="default" w:ascii="Times New Roman" w:hAnsi="Times New Roman" w:eastAsia="宋体" w:cs="Times New Roman"/>
                <w:snapToGrid w:val="0"/>
                <w:color w:val="000000" w:themeColor="text1"/>
                <w:kern w:val="0"/>
                <w:sz w:val="24"/>
                <w:szCs w:val="24"/>
                <w:highlight w:val="none"/>
              </w:rPr>
              <w:t>的黏土层的防渗性能。按照GB18597-20</w:t>
            </w:r>
            <w:r>
              <w:rPr>
                <w:rFonts w:hint="default" w:ascii="Times New Roman" w:hAnsi="Times New Roman" w:eastAsia="宋体" w:cs="Times New Roman"/>
                <w:snapToGrid w:val="0"/>
                <w:color w:val="000000" w:themeColor="text1"/>
                <w:kern w:val="0"/>
                <w:sz w:val="24"/>
                <w:szCs w:val="24"/>
                <w:highlight w:val="none"/>
                <w:lang w:val="en-US" w:eastAsia="zh-CN"/>
              </w:rPr>
              <w:t>23</w:t>
            </w:r>
            <w:r>
              <w:rPr>
                <w:rFonts w:hint="default" w:ascii="Times New Roman" w:hAnsi="Times New Roman" w:eastAsia="宋体" w:cs="Times New Roman"/>
                <w:snapToGrid w:val="0"/>
                <w:color w:val="000000" w:themeColor="text1"/>
                <w:kern w:val="0"/>
                <w:sz w:val="24"/>
                <w:szCs w:val="24"/>
                <w:highlight w:val="none"/>
              </w:rPr>
              <w:t>《危险废物贮存污染控制标准》要求，本项目危险品贮存场所(</w:t>
            </w:r>
            <w:r>
              <w:rPr>
                <w:rFonts w:hint="eastAsia" w:ascii="Times New Roman" w:hAnsi="Times New Roman" w:eastAsia="宋体" w:cs="Times New Roman"/>
                <w:snapToGrid w:val="0"/>
                <w:color w:val="000000" w:themeColor="text1"/>
                <w:kern w:val="0"/>
                <w:sz w:val="24"/>
                <w:szCs w:val="24"/>
                <w:highlight w:val="none"/>
                <w:lang w:val="en-US" w:eastAsia="zh-CN"/>
              </w:rPr>
              <w:t>危废贮存库</w:t>
            </w:r>
            <w:r>
              <w:rPr>
                <w:rFonts w:hint="default" w:ascii="Times New Roman" w:hAnsi="Times New Roman" w:eastAsia="宋体" w:cs="Times New Roman"/>
                <w:snapToGrid w:val="0"/>
                <w:color w:val="000000" w:themeColor="text1"/>
                <w:kern w:val="0"/>
                <w:sz w:val="24"/>
                <w:szCs w:val="24"/>
                <w:highlight w:val="none"/>
              </w:rPr>
              <w:t>)基础必须防渗，防渗层防渗能力需等效于1</w:t>
            </w:r>
            <w:r>
              <w:rPr>
                <w:rFonts w:hint="eastAsia" w:ascii="Times New Roman" w:hAnsi="Times New Roman" w:eastAsia="宋体" w:cs="Times New Roman"/>
                <w:snapToGrid w:val="0"/>
                <w:color w:val="000000" w:themeColor="text1"/>
                <w:kern w:val="0"/>
                <w:sz w:val="24"/>
                <w:szCs w:val="24"/>
                <w:highlight w:val="none"/>
                <w:lang w:val="en-US" w:eastAsia="zh-CN"/>
              </w:rPr>
              <w:t>米</w:t>
            </w:r>
            <w:r>
              <w:rPr>
                <w:rFonts w:hint="default" w:ascii="Times New Roman" w:hAnsi="Times New Roman" w:eastAsia="宋体" w:cs="Times New Roman"/>
                <w:snapToGrid w:val="0"/>
                <w:color w:val="000000" w:themeColor="text1"/>
                <w:kern w:val="0"/>
                <w:sz w:val="24"/>
                <w:szCs w:val="24"/>
                <w:highlight w:val="none"/>
              </w:rPr>
              <w:t>厚粘土层(渗透系数≤10</w:t>
            </w:r>
            <w:r>
              <w:rPr>
                <w:rFonts w:hint="default" w:ascii="Times New Roman" w:hAnsi="Times New Roman" w:eastAsia="宋体" w:cs="Times New Roman"/>
                <w:snapToGrid w:val="0"/>
                <w:color w:val="000000" w:themeColor="text1"/>
                <w:kern w:val="0"/>
                <w:sz w:val="24"/>
                <w:szCs w:val="24"/>
                <w:highlight w:val="none"/>
                <w:vertAlign w:val="superscript"/>
              </w:rPr>
              <w:t>-7</w:t>
            </w:r>
            <w:r>
              <w:rPr>
                <w:rFonts w:hint="eastAsia" w:ascii="Times New Roman" w:hAnsi="Times New Roman" w:eastAsia="宋体" w:cs="Times New Roman"/>
                <w:snapToGrid w:val="0"/>
                <w:color w:val="000000" w:themeColor="text1"/>
                <w:kern w:val="0"/>
                <w:sz w:val="24"/>
                <w:szCs w:val="24"/>
                <w:highlight w:val="none"/>
                <w:lang w:val="en-US" w:eastAsia="zh-CN"/>
              </w:rPr>
              <w:t>厘米</w:t>
            </w:r>
            <w:r>
              <w:rPr>
                <w:rFonts w:hint="default" w:ascii="Times New Roman" w:hAnsi="Times New Roman" w:eastAsia="宋体" w:cs="Times New Roman"/>
                <w:snapToGrid w:val="0"/>
                <w:color w:val="000000" w:themeColor="text1"/>
                <w:kern w:val="0"/>
                <w:sz w:val="24"/>
                <w:szCs w:val="24"/>
                <w:highlight w:val="none"/>
              </w:rPr>
              <w:t>/</w:t>
            </w:r>
            <w:r>
              <w:rPr>
                <w:rFonts w:hint="eastAsia" w:ascii="Times New Roman" w:hAnsi="Times New Roman" w:eastAsia="宋体" w:cs="Times New Roman"/>
                <w:snapToGrid w:val="0"/>
                <w:color w:val="000000" w:themeColor="text1"/>
                <w:kern w:val="0"/>
                <w:sz w:val="24"/>
                <w:szCs w:val="24"/>
                <w:highlight w:val="none"/>
                <w:lang w:val="en-US" w:eastAsia="zh-CN"/>
              </w:rPr>
              <w:t>秒</w:t>
            </w:r>
            <w:r>
              <w:rPr>
                <w:rFonts w:hint="default" w:ascii="Times New Roman" w:hAnsi="Times New Roman" w:eastAsia="宋体" w:cs="Times New Roman"/>
                <w:snapToGrid w:val="0"/>
                <w:color w:val="000000" w:themeColor="text1"/>
                <w:kern w:val="0"/>
                <w:sz w:val="24"/>
                <w:szCs w:val="24"/>
                <w:highlight w:val="none"/>
              </w:rPr>
              <w:t>)防渗能力；或等效于2</w:t>
            </w:r>
            <w:r>
              <w:rPr>
                <w:rFonts w:hint="eastAsia" w:ascii="Times New Roman" w:hAnsi="Times New Roman" w:eastAsia="宋体" w:cs="Times New Roman"/>
                <w:snapToGrid w:val="0"/>
                <w:color w:val="000000" w:themeColor="text1"/>
                <w:kern w:val="0"/>
                <w:sz w:val="24"/>
                <w:szCs w:val="24"/>
                <w:highlight w:val="none"/>
                <w:lang w:val="en-US" w:eastAsia="zh-CN"/>
              </w:rPr>
              <w:t>毫米</w:t>
            </w:r>
            <w:r>
              <w:rPr>
                <w:rFonts w:hint="default" w:ascii="Times New Roman" w:hAnsi="Times New Roman" w:eastAsia="宋体" w:cs="Times New Roman"/>
                <w:snapToGrid w:val="0"/>
                <w:color w:val="000000" w:themeColor="text1"/>
                <w:kern w:val="0"/>
                <w:sz w:val="24"/>
                <w:szCs w:val="24"/>
                <w:highlight w:val="none"/>
              </w:rPr>
              <w:t>厚高密度聚乙烯(或其它人工材料)且渗透系数≤10</w:t>
            </w:r>
            <w:r>
              <w:rPr>
                <w:rFonts w:hint="default" w:ascii="Times New Roman" w:hAnsi="Times New Roman" w:eastAsia="宋体" w:cs="Times New Roman"/>
                <w:snapToGrid w:val="0"/>
                <w:color w:val="000000" w:themeColor="text1"/>
                <w:kern w:val="0"/>
                <w:sz w:val="24"/>
                <w:szCs w:val="24"/>
                <w:highlight w:val="none"/>
                <w:vertAlign w:val="superscript"/>
              </w:rPr>
              <w:t>-10</w:t>
            </w:r>
            <w:r>
              <w:rPr>
                <w:rFonts w:hint="eastAsia" w:ascii="Times New Roman" w:hAnsi="Times New Roman" w:eastAsia="宋体" w:cs="Times New Roman"/>
                <w:snapToGrid w:val="0"/>
                <w:color w:val="000000" w:themeColor="text1"/>
                <w:kern w:val="0"/>
                <w:sz w:val="24"/>
                <w:szCs w:val="24"/>
                <w:highlight w:val="none"/>
                <w:lang w:val="en-US" w:eastAsia="zh-CN"/>
              </w:rPr>
              <w:t>厘米</w:t>
            </w:r>
            <w:r>
              <w:rPr>
                <w:rFonts w:hint="default" w:ascii="Times New Roman" w:hAnsi="Times New Roman" w:eastAsia="宋体" w:cs="Times New Roman"/>
                <w:snapToGrid w:val="0"/>
                <w:color w:val="000000" w:themeColor="text1"/>
                <w:kern w:val="0"/>
                <w:sz w:val="24"/>
                <w:szCs w:val="24"/>
                <w:highlight w:val="none"/>
              </w:rPr>
              <w:t>/</w:t>
            </w:r>
            <w:r>
              <w:rPr>
                <w:rFonts w:hint="eastAsia" w:ascii="Times New Roman" w:hAnsi="Times New Roman" w:eastAsia="宋体" w:cs="Times New Roman"/>
                <w:snapToGrid w:val="0"/>
                <w:color w:val="000000" w:themeColor="text1"/>
                <w:kern w:val="0"/>
                <w:sz w:val="24"/>
                <w:szCs w:val="24"/>
                <w:highlight w:val="none"/>
                <w:lang w:val="en-US" w:eastAsia="zh-CN"/>
              </w:rPr>
              <w:t>秒的</w:t>
            </w:r>
            <w:r>
              <w:rPr>
                <w:rFonts w:hint="default" w:ascii="Times New Roman" w:hAnsi="Times New Roman" w:eastAsia="宋体" w:cs="Times New Roman"/>
                <w:snapToGrid w:val="0"/>
                <w:color w:val="000000" w:themeColor="text1"/>
                <w:kern w:val="0"/>
                <w:sz w:val="24"/>
                <w:szCs w:val="24"/>
                <w:highlight w:val="none"/>
              </w:rPr>
              <w:t>防渗能力。上述重点防渗区的防渗要求可满足并优于上述防渗能力要求。与防渗设计有关的技术要求如下：</w:t>
            </w:r>
          </w:p>
          <w:p w14:paraId="0EB44E11">
            <w:pPr>
              <w:keepNext w:val="0"/>
              <w:keepLines w:val="0"/>
              <w:pageBreakBefore w:val="0"/>
              <w:widowControl/>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snapToGrid w:val="0"/>
                <w:color w:val="000000" w:themeColor="text1"/>
                <w:kern w:val="0"/>
                <w:sz w:val="24"/>
                <w:szCs w:val="24"/>
                <w:highlight w:val="none"/>
              </w:rPr>
            </w:pPr>
            <w:r>
              <w:rPr>
                <w:rFonts w:hint="default" w:ascii="Times New Roman" w:hAnsi="Times New Roman" w:eastAsia="宋体" w:cs="Times New Roman"/>
                <w:snapToGrid w:val="0"/>
                <w:color w:val="000000" w:themeColor="text1"/>
                <w:kern w:val="0"/>
                <w:sz w:val="24"/>
                <w:szCs w:val="24"/>
                <w:highlight w:val="none"/>
              </w:rPr>
              <w:t>①混凝土强度等级不应低于C30，所用水泥为普通硅酸盐水泥，采用抗渗钢筋混凝土(或抗渗钢纤维混凝土)，防渗层耐久性应符合《混凝土结构设计规范》(GB50010-2012)要求；</w:t>
            </w:r>
          </w:p>
          <w:p w14:paraId="73028A29">
            <w:pPr>
              <w:keepNext w:val="0"/>
              <w:keepLines w:val="0"/>
              <w:pageBreakBefore w:val="0"/>
              <w:widowControl/>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snapToGrid w:val="0"/>
                <w:color w:val="000000" w:themeColor="text1"/>
                <w:kern w:val="0"/>
                <w:sz w:val="24"/>
                <w:szCs w:val="24"/>
                <w:highlight w:val="none"/>
              </w:rPr>
            </w:pPr>
            <w:r>
              <w:rPr>
                <w:rFonts w:hint="default" w:ascii="Times New Roman" w:hAnsi="Times New Roman" w:eastAsia="宋体" w:cs="Times New Roman"/>
                <w:snapToGrid w:val="0"/>
                <w:color w:val="000000" w:themeColor="text1"/>
                <w:kern w:val="0"/>
                <w:sz w:val="24"/>
                <w:szCs w:val="24"/>
                <w:highlight w:val="none"/>
              </w:rPr>
              <w:t>②混凝土池体构筑物内表面刷涂渗透系数为1.0×10</w:t>
            </w:r>
            <w:r>
              <w:rPr>
                <w:rFonts w:hint="default" w:ascii="Times New Roman" w:hAnsi="Times New Roman" w:eastAsia="宋体" w:cs="Times New Roman"/>
                <w:snapToGrid w:val="0"/>
                <w:color w:val="000000" w:themeColor="text1"/>
                <w:kern w:val="0"/>
                <w:sz w:val="24"/>
                <w:szCs w:val="24"/>
                <w:highlight w:val="none"/>
                <w:vertAlign w:val="superscript"/>
              </w:rPr>
              <w:t>-10</w:t>
            </w:r>
            <w:r>
              <w:rPr>
                <w:rFonts w:hint="eastAsia" w:ascii="Times New Roman" w:hAnsi="Times New Roman" w:eastAsia="宋体" w:cs="Times New Roman"/>
                <w:snapToGrid w:val="0"/>
                <w:color w:val="000000" w:themeColor="text1"/>
                <w:kern w:val="0"/>
                <w:sz w:val="24"/>
                <w:szCs w:val="24"/>
                <w:highlight w:val="none"/>
                <w:lang w:val="en-US" w:eastAsia="zh-CN"/>
              </w:rPr>
              <w:t>厘米</w:t>
            </w:r>
            <w:r>
              <w:rPr>
                <w:rFonts w:hint="default" w:ascii="Times New Roman" w:hAnsi="Times New Roman" w:eastAsia="宋体" w:cs="Times New Roman"/>
                <w:snapToGrid w:val="0"/>
                <w:color w:val="000000" w:themeColor="text1"/>
                <w:kern w:val="0"/>
                <w:sz w:val="24"/>
                <w:szCs w:val="24"/>
                <w:highlight w:val="none"/>
              </w:rPr>
              <w:t>/</w:t>
            </w:r>
            <w:r>
              <w:rPr>
                <w:rFonts w:hint="eastAsia" w:ascii="Times New Roman" w:hAnsi="Times New Roman" w:eastAsia="宋体" w:cs="Times New Roman"/>
                <w:snapToGrid w:val="0"/>
                <w:color w:val="000000" w:themeColor="text1"/>
                <w:kern w:val="0"/>
                <w:sz w:val="24"/>
                <w:szCs w:val="24"/>
                <w:highlight w:val="none"/>
                <w:lang w:val="en-US" w:eastAsia="zh-CN"/>
              </w:rPr>
              <w:t>秒</w:t>
            </w:r>
            <w:r>
              <w:rPr>
                <w:rFonts w:hint="default" w:ascii="Times New Roman" w:hAnsi="Times New Roman" w:eastAsia="宋体" w:cs="Times New Roman"/>
                <w:snapToGrid w:val="0"/>
                <w:color w:val="000000" w:themeColor="text1"/>
                <w:kern w:val="0"/>
                <w:sz w:val="24"/>
                <w:szCs w:val="24"/>
                <w:highlight w:val="none"/>
              </w:rPr>
              <w:t>的水泥基渗透结晶型防渗涂料，厚度≥1.0</w:t>
            </w:r>
            <w:r>
              <w:rPr>
                <w:rFonts w:hint="eastAsia" w:ascii="Times New Roman" w:hAnsi="Times New Roman" w:eastAsia="宋体" w:cs="Times New Roman"/>
                <w:snapToGrid w:val="0"/>
                <w:color w:val="000000" w:themeColor="text1"/>
                <w:kern w:val="0"/>
                <w:sz w:val="24"/>
                <w:szCs w:val="24"/>
                <w:highlight w:val="none"/>
                <w:lang w:val="en-US" w:eastAsia="zh-CN"/>
              </w:rPr>
              <w:t>毫米</w:t>
            </w:r>
            <w:r>
              <w:rPr>
                <w:rFonts w:hint="default" w:ascii="Times New Roman" w:hAnsi="Times New Roman" w:eastAsia="宋体" w:cs="Times New Roman"/>
                <w:snapToGrid w:val="0"/>
                <w:color w:val="000000" w:themeColor="text1"/>
                <w:kern w:val="0"/>
                <w:sz w:val="24"/>
                <w:szCs w:val="24"/>
                <w:highlight w:val="none"/>
              </w:rPr>
              <w:t>，应满足《水泥基渗透结晶型防水材料》(GB18445-2012)要求，在涂刷防水涂料前，应进行蓄水试验。</w:t>
            </w:r>
          </w:p>
          <w:p w14:paraId="27AADA8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napToGrid w:val="0"/>
                <w:color w:val="000000" w:themeColor="text1"/>
                <w:kern w:val="2"/>
                <w:sz w:val="24"/>
                <w:szCs w:val="24"/>
                <w:highlight w:val="none"/>
                <w:lang w:val="en-US" w:eastAsia="zh-CN" w:bidi="ar-SA"/>
              </w:rPr>
            </w:pPr>
            <w:r>
              <w:rPr>
                <w:rFonts w:hint="default" w:ascii="Times New Roman" w:hAnsi="Times New Roman" w:eastAsia="宋体" w:cs="Times New Roman"/>
                <w:snapToGrid w:val="0"/>
                <w:color w:val="000000" w:themeColor="text1"/>
                <w:kern w:val="2"/>
                <w:sz w:val="24"/>
                <w:szCs w:val="24"/>
                <w:highlight w:val="none"/>
                <w:lang w:val="en-US" w:eastAsia="zh-CN" w:bidi="ar-SA"/>
              </w:rPr>
              <w:t>b一般防渗区</w:t>
            </w:r>
          </w:p>
          <w:p w14:paraId="6C9182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napToGrid w:val="0"/>
                <w:color w:val="000000" w:themeColor="text1"/>
                <w:kern w:val="2"/>
                <w:sz w:val="24"/>
                <w:szCs w:val="24"/>
                <w:highlight w:val="none"/>
                <w:lang w:val="en-US" w:eastAsia="zh-CN" w:bidi="ar-SA"/>
              </w:rPr>
            </w:pPr>
            <w:r>
              <w:rPr>
                <w:rFonts w:hint="default" w:ascii="Times New Roman" w:hAnsi="Times New Roman" w:eastAsia="宋体" w:cs="Times New Roman"/>
                <w:snapToGrid w:val="0"/>
                <w:color w:val="000000" w:themeColor="text1"/>
                <w:kern w:val="2"/>
                <w:sz w:val="24"/>
                <w:szCs w:val="24"/>
                <w:highlight w:val="none"/>
                <w:lang w:val="en-US" w:eastAsia="zh-CN" w:bidi="ar-SA"/>
              </w:rPr>
              <w:t>根据《环境影响评价技术导则</w:t>
            </w:r>
            <w:r>
              <w:rPr>
                <w:rFonts w:hint="eastAsia" w:ascii="Times New Roman" w:hAnsi="Times New Roman" w:eastAsia="宋体" w:cs="Times New Roman"/>
                <w:snapToGrid w:val="0"/>
                <w:color w:val="000000" w:themeColor="text1"/>
                <w:kern w:val="2"/>
                <w:sz w:val="24"/>
                <w:szCs w:val="24"/>
                <w:highlight w:val="none"/>
                <w:lang w:val="en-US" w:eastAsia="zh-CN" w:bidi="ar-SA"/>
              </w:rPr>
              <w:t xml:space="preserve"> </w:t>
            </w:r>
            <w:r>
              <w:rPr>
                <w:rFonts w:hint="default" w:ascii="Times New Roman" w:hAnsi="Times New Roman" w:eastAsia="宋体" w:cs="Times New Roman"/>
                <w:snapToGrid w:val="0"/>
                <w:color w:val="000000" w:themeColor="text1"/>
                <w:kern w:val="2"/>
                <w:sz w:val="24"/>
                <w:szCs w:val="24"/>
                <w:highlight w:val="none"/>
                <w:lang w:val="en-US" w:eastAsia="zh-CN" w:bidi="ar-SA"/>
              </w:rPr>
              <w:t>地下水环境》（HJ610-2016）表7要求，一般防渗区防渗层的防渗性能不低于1.5</w:t>
            </w:r>
            <w:r>
              <w:rPr>
                <w:rFonts w:hint="eastAsia" w:ascii="Times New Roman" w:hAnsi="Times New Roman" w:eastAsia="宋体" w:cs="Times New Roman"/>
                <w:snapToGrid w:val="0"/>
                <w:color w:val="000000" w:themeColor="text1"/>
                <w:kern w:val="2"/>
                <w:sz w:val="24"/>
                <w:szCs w:val="24"/>
                <w:highlight w:val="none"/>
                <w:lang w:val="en-US" w:eastAsia="zh-CN" w:bidi="ar-SA"/>
              </w:rPr>
              <w:t>米</w:t>
            </w:r>
            <w:r>
              <w:rPr>
                <w:rFonts w:hint="default" w:ascii="Times New Roman" w:hAnsi="Times New Roman" w:eastAsia="宋体" w:cs="Times New Roman"/>
                <w:snapToGrid w:val="0"/>
                <w:color w:val="000000" w:themeColor="text1"/>
                <w:kern w:val="2"/>
                <w:sz w:val="24"/>
                <w:szCs w:val="24"/>
                <w:highlight w:val="none"/>
                <w:lang w:val="en-US" w:eastAsia="zh-CN" w:bidi="ar-SA"/>
              </w:rPr>
              <w:t>厚、渗透系数不大于1.0×10</w:t>
            </w:r>
            <w:r>
              <w:rPr>
                <w:rFonts w:hint="default" w:ascii="Times New Roman" w:hAnsi="Times New Roman" w:eastAsia="宋体" w:cs="Times New Roman"/>
                <w:snapToGrid w:val="0"/>
                <w:color w:val="000000" w:themeColor="text1"/>
                <w:kern w:val="2"/>
                <w:sz w:val="24"/>
                <w:szCs w:val="24"/>
                <w:highlight w:val="none"/>
                <w:vertAlign w:val="superscript"/>
                <w:lang w:val="en-US" w:eastAsia="zh-CN" w:bidi="ar-SA"/>
              </w:rPr>
              <w:t>-7</w:t>
            </w:r>
            <w:r>
              <w:rPr>
                <w:rFonts w:hint="eastAsia" w:ascii="Times New Roman" w:hAnsi="Times New Roman" w:eastAsia="宋体" w:cs="Times New Roman"/>
                <w:snapToGrid w:val="0"/>
                <w:color w:val="000000" w:themeColor="text1"/>
                <w:kern w:val="0"/>
                <w:sz w:val="24"/>
                <w:szCs w:val="24"/>
                <w:highlight w:val="none"/>
                <w:lang w:val="en-US" w:eastAsia="zh-CN"/>
              </w:rPr>
              <w:t>厘米</w:t>
            </w:r>
            <w:r>
              <w:rPr>
                <w:rFonts w:hint="default" w:ascii="Times New Roman" w:hAnsi="Times New Roman" w:eastAsia="宋体" w:cs="Times New Roman"/>
                <w:snapToGrid w:val="0"/>
                <w:color w:val="000000" w:themeColor="text1"/>
                <w:kern w:val="0"/>
                <w:sz w:val="24"/>
                <w:szCs w:val="24"/>
                <w:highlight w:val="none"/>
              </w:rPr>
              <w:t>/</w:t>
            </w:r>
            <w:r>
              <w:rPr>
                <w:rFonts w:hint="eastAsia" w:ascii="Times New Roman" w:hAnsi="Times New Roman" w:eastAsia="宋体" w:cs="Times New Roman"/>
                <w:snapToGrid w:val="0"/>
                <w:color w:val="000000" w:themeColor="text1"/>
                <w:kern w:val="0"/>
                <w:sz w:val="24"/>
                <w:szCs w:val="24"/>
                <w:highlight w:val="none"/>
                <w:lang w:val="en-US" w:eastAsia="zh-CN"/>
              </w:rPr>
              <w:t>秒</w:t>
            </w:r>
            <w:r>
              <w:rPr>
                <w:rFonts w:hint="default" w:ascii="Times New Roman" w:hAnsi="Times New Roman" w:eastAsia="宋体" w:cs="Times New Roman"/>
                <w:snapToGrid w:val="0"/>
                <w:color w:val="000000" w:themeColor="text1"/>
                <w:kern w:val="2"/>
                <w:sz w:val="24"/>
                <w:szCs w:val="24"/>
                <w:highlight w:val="none"/>
                <w:lang w:val="en-US" w:eastAsia="zh-CN" w:bidi="ar-SA"/>
              </w:rPr>
              <w:t>的黏土层的防渗性能，主要采用一般混凝土(抗渗等级低于P4级)对地面进行硬化的措施；具体防渗设计从上至下依次为：</w:t>
            </w:r>
          </w:p>
          <w:p w14:paraId="6B4CF14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napToGrid w:val="0"/>
                <w:color w:val="000000" w:themeColor="text1"/>
                <w:kern w:val="2"/>
                <w:sz w:val="24"/>
                <w:szCs w:val="24"/>
                <w:highlight w:val="none"/>
                <w:lang w:val="en-US" w:eastAsia="zh-CN" w:bidi="ar-SA"/>
              </w:rPr>
            </w:pPr>
            <w:r>
              <w:rPr>
                <w:rFonts w:hint="default" w:ascii="Times New Roman" w:hAnsi="Times New Roman" w:eastAsia="宋体" w:cs="Times New Roman"/>
                <w:snapToGrid w:val="0"/>
                <w:color w:val="000000" w:themeColor="text1"/>
                <w:kern w:val="2"/>
                <w:sz w:val="24"/>
                <w:szCs w:val="24"/>
                <w:highlight w:val="none"/>
                <w:lang w:val="en-US" w:eastAsia="zh-CN" w:bidi="ar-SA"/>
              </w:rPr>
              <w:t>普通混凝土：抗渗等级P4级，渗透系数约为0.663×10</w:t>
            </w:r>
            <w:r>
              <w:rPr>
                <w:rFonts w:hint="default" w:ascii="Times New Roman" w:hAnsi="Times New Roman" w:eastAsia="宋体" w:cs="Times New Roman"/>
                <w:snapToGrid w:val="0"/>
                <w:color w:val="000000" w:themeColor="text1"/>
                <w:kern w:val="2"/>
                <w:sz w:val="24"/>
                <w:szCs w:val="24"/>
                <w:highlight w:val="none"/>
                <w:vertAlign w:val="superscript"/>
                <w:lang w:val="en-US" w:eastAsia="zh-CN" w:bidi="ar-SA"/>
              </w:rPr>
              <w:t>-8</w:t>
            </w:r>
            <w:r>
              <w:rPr>
                <w:rFonts w:hint="eastAsia" w:ascii="Times New Roman" w:hAnsi="Times New Roman" w:eastAsia="宋体" w:cs="Times New Roman"/>
                <w:snapToGrid w:val="0"/>
                <w:color w:val="000000" w:themeColor="text1"/>
                <w:kern w:val="0"/>
                <w:sz w:val="24"/>
                <w:szCs w:val="24"/>
                <w:highlight w:val="none"/>
                <w:lang w:val="en-US" w:eastAsia="zh-CN"/>
              </w:rPr>
              <w:t>厘米</w:t>
            </w:r>
            <w:r>
              <w:rPr>
                <w:rFonts w:hint="default" w:ascii="Times New Roman" w:hAnsi="Times New Roman" w:eastAsia="宋体" w:cs="Times New Roman"/>
                <w:snapToGrid w:val="0"/>
                <w:color w:val="000000" w:themeColor="text1"/>
                <w:kern w:val="0"/>
                <w:sz w:val="24"/>
                <w:szCs w:val="24"/>
                <w:highlight w:val="none"/>
              </w:rPr>
              <w:t>/</w:t>
            </w:r>
            <w:r>
              <w:rPr>
                <w:rFonts w:hint="eastAsia" w:ascii="Times New Roman" w:hAnsi="Times New Roman" w:eastAsia="宋体" w:cs="Times New Roman"/>
                <w:snapToGrid w:val="0"/>
                <w:color w:val="000000" w:themeColor="text1"/>
                <w:kern w:val="0"/>
                <w:sz w:val="24"/>
                <w:szCs w:val="24"/>
                <w:highlight w:val="none"/>
                <w:lang w:val="en-US" w:eastAsia="zh-CN"/>
              </w:rPr>
              <w:t>秒</w:t>
            </w:r>
            <w:r>
              <w:rPr>
                <w:rFonts w:hint="default" w:ascii="Times New Roman" w:hAnsi="Times New Roman" w:eastAsia="宋体" w:cs="Times New Roman"/>
                <w:snapToGrid w:val="0"/>
                <w:color w:val="000000" w:themeColor="text1"/>
                <w:kern w:val="2"/>
                <w:sz w:val="24"/>
                <w:szCs w:val="24"/>
                <w:highlight w:val="none"/>
                <w:lang w:val="en-US" w:eastAsia="zh-CN" w:bidi="ar-SA"/>
              </w:rPr>
              <w:t>，厚度≥10</w:t>
            </w:r>
            <w:r>
              <w:rPr>
                <w:rFonts w:hint="eastAsia" w:ascii="Times New Roman" w:hAnsi="Times New Roman" w:eastAsia="宋体" w:cs="Times New Roman"/>
                <w:snapToGrid w:val="0"/>
                <w:color w:val="000000" w:themeColor="text1"/>
                <w:kern w:val="2"/>
                <w:sz w:val="24"/>
                <w:szCs w:val="24"/>
                <w:highlight w:val="none"/>
                <w:lang w:val="en-US" w:eastAsia="zh-CN" w:bidi="ar-SA"/>
              </w:rPr>
              <w:t>厘米</w:t>
            </w:r>
            <w:r>
              <w:rPr>
                <w:rFonts w:hint="default" w:ascii="Times New Roman" w:hAnsi="Times New Roman" w:eastAsia="宋体" w:cs="Times New Roman"/>
                <w:snapToGrid w:val="0"/>
                <w:color w:val="000000" w:themeColor="text1"/>
                <w:kern w:val="2"/>
                <w:sz w:val="24"/>
                <w:szCs w:val="24"/>
                <w:highlight w:val="none"/>
                <w:lang w:val="en-US" w:eastAsia="zh-CN" w:bidi="ar-SA"/>
              </w:rPr>
              <w:t>→原地层</w:t>
            </w:r>
          </w:p>
          <w:p w14:paraId="7F02F30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napToGrid w:val="0"/>
                <w:color w:val="000000" w:themeColor="text1"/>
                <w:kern w:val="2"/>
                <w:sz w:val="24"/>
                <w:szCs w:val="24"/>
                <w:highlight w:val="none"/>
                <w:lang w:val="en-US" w:eastAsia="zh-CN" w:bidi="ar-SA"/>
              </w:rPr>
            </w:pPr>
            <w:r>
              <w:rPr>
                <w:rFonts w:hint="default" w:ascii="Times New Roman" w:hAnsi="Times New Roman" w:eastAsia="宋体" w:cs="Times New Roman"/>
                <w:snapToGrid w:val="0"/>
                <w:color w:val="000000" w:themeColor="text1"/>
                <w:kern w:val="2"/>
                <w:sz w:val="24"/>
                <w:szCs w:val="24"/>
                <w:highlight w:val="none"/>
                <w:lang w:val="en-US" w:eastAsia="zh-CN" w:bidi="ar-SA"/>
              </w:rPr>
              <w:t>通过计算，上述防渗设计的防渗性能可满足且大于1.5</w:t>
            </w:r>
            <w:r>
              <w:rPr>
                <w:rFonts w:hint="eastAsia" w:ascii="Times New Roman" w:hAnsi="Times New Roman" w:eastAsia="宋体" w:cs="Times New Roman"/>
                <w:snapToGrid w:val="0"/>
                <w:color w:val="000000" w:themeColor="text1"/>
                <w:kern w:val="2"/>
                <w:sz w:val="24"/>
                <w:szCs w:val="24"/>
                <w:highlight w:val="none"/>
                <w:lang w:val="en-US" w:eastAsia="zh-CN" w:bidi="ar-SA"/>
              </w:rPr>
              <w:t>米</w:t>
            </w:r>
            <w:r>
              <w:rPr>
                <w:rFonts w:hint="default" w:ascii="Times New Roman" w:hAnsi="Times New Roman" w:eastAsia="宋体" w:cs="Times New Roman"/>
                <w:snapToGrid w:val="0"/>
                <w:color w:val="000000" w:themeColor="text1"/>
                <w:kern w:val="2"/>
                <w:sz w:val="24"/>
                <w:szCs w:val="24"/>
                <w:highlight w:val="none"/>
                <w:lang w:val="en-US" w:eastAsia="zh-CN" w:bidi="ar-SA"/>
              </w:rPr>
              <w:t>厚渗透系数为1.0×10</w:t>
            </w:r>
            <w:r>
              <w:rPr>
                <w:rFonts w:hint="default" w:ascii="Times New Roman" w:hAnsi="Times New Roman" w:eastAsia="宋体" w:cs="Times New Roman"/>
                <w:snapToGrid w:val="0"/>
                <w:color w:val="000000" w:themeColor="text1"/>
                <w:kern w:val="2"/>
                <w:sz w:val="24"/>
                <w:szCs w:val="24"/>
                <w:highlight w:val="none"/>
                <w:vertAlign w:val="superscript"/>
                <w:lang w:val="en-US" w:eastAsia="zh-CN" w:bidi="ar-SA"/>
              </w:rPr>
              <w:t>-7</w:t>
            </w:r>
            <w:r>
              <w:rPr>
                <w:rFonts w:hint="eastAsia" w:ascii="Times New Roman" w:hAnsi="Times New Roman" w:eastAsia="宋体" w:cs="Times New Roman"/>
                <w:snapToGrid w:val="0"/>
                <w:color w:val="000000" w:themeColor="text1"/>
                <w:kern w:val="0"/>
                <w:sz w:val="24"/>
                <w:szCs w:val="24"/>
                <w:highlight w:val="none"/>
                <w:lang w:val="en-US" w:eastAsia="zh-CN"/>
              </w:rPr>
              <w:t>厘米</w:t>
            </w:r>
            <w:r>
              <w:rPr>
                <w:rFonts w:hint="default" w:ascii="Times New Roman" w:hAnsi="Times New Roman" w:eastAsia="宋体" w:cs="Times New Roman"/>
                <w:snapToGrid w:val="0"/>
                <w:color w:val="000000" w:themeColor="text1"/>
                <w:kern w:val="0"/>
                <w:sz w:val="24"/>
                <w:szCs w:val="24"/>
                <w:highlight w:val="none"/>
              </w:rPr>
              <w:t>/</w:t>
            </w:r>
            <w:r>
              <w:rPr>
                <w:rFonts w:hint="eastAsia" w:ascii="Times New Roman" w:hAnsi="Times New Roman" w:eastAsia="宋体" w:cs="Times New Roman"/>
                <w:snapToGrid w:val="0"/>
                <w:color w:val="000000" w:themeColor="text1"/>
                <w:kern w:val="0"/>
                <w:sz w:val="24"/>
                <w:szCs w:val="24"/>
                <w:highlight w:val="none"/>
                <w:lang w:val="en-US" w:eastAsia="zh-CN"/>
              </w:rPr>
              <w:t>秒</w:t>
            </w:r>
            <w:r>
              <w:rPr>
                <w:rFonts w:hint="default" w:ascii="Times New Roman" w:hAnsi="Times New Roman" w:eastAsia="宋体" w:cs="Times New Roman"/>
                <w:snapToGrid w:val="0"/>
                <w:color w:val="000000" w:themeColor="text1"/>
                <w:kern w:val="2"/>
                <w:sz w:val="24"/>
                <w:szCs w:val="24"/>
                <w:highlight w:val="none"/>
                <w:lang w:val="en-US" w:eastAsia="zh-CN" w:bidi="ar-SA"/>
              </w:rPr>
              <w:t>的黏土层的防渗性能。</w:t>
            </w:r>
          </w:p>
          <w:p w14:paraId="3A5BA4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napToGrid w:val="0"/>
                <w:color w:val="000000" w:themeColor="text1"/>
                <w:kern w:val="0"/>
                <w:sz w:val="24"/>
                <w:szCs w:val="21"/>
                <w:highlight w:val="none"/>
              </w:rPr>
            </w:pPr>
            <w:r>
              <w:rPr>
                <w:rFonts w:hint="default" w:ascii="Times New Roman" w:hAnsi="Times New Roman" w:eastAsia="宋体" w:cs="Times New Roman"/>
                <w:snapToGrid w:val="0"/>
                <w:color w:val="000000" w:themeColor="text1"/>
                <w:kern w:val="2"/>
                <w:sz w:val="24"/>
                <w:szCs w:val="24"/>
                <w:highlight w:val="none"/>
                <w:lang w:val="en-US" w:eastAsia="zh-CN" w:bidi="ar-SA"/>
              </w:rPr>
              <w:t>按照一般固体废弃物执行《一般工业固体废物贮存和填埋污染控制标准》(GB 18599-2020)中的相关规定要求，本项目一般固废贮存场所(产品储存库)须防渗，防渗层防渗能力需等效于1.5</w:t>
            </w:r>
            <w:r>
              <w:rPr>
                <w:rFonts w:hint="eastAsia" w:ascii="Times New Roman" w:hAnsi="Times New Roman" w:eastAsia="宋体" w:cs="Times New Roman"/>
                <w:snapToGrid w:val="0"/>
                <w:color w:val="000000" w:themeColor="text1"/>
                <w:kern w:val="2"/>
                <w:sz w:val="24"/>
                <w:szCs w:val="24"/>
                <w:highlight w:val="none"/>
                <w:lang w:val="en-US" w:eastAsia="zh-CN" w:bidi="ar-SA"/>
              </w:rPr>
              <w:t>米</w:t>
            </w:r>
            <w:r>
              <w:rPr>
                <w:rFonts w:hint="default" w:ascii="Times New Roman" w:hAnsi="Times New Roman" w:eastAsia="宋体" w:cs="Times New Roman"/>
                <w:snapToGrid w:val="0"/>
                <w:color w:val="000000" w:themeColor="text1"/>
                <w:kern w:val="2"/>
                <w:sz w:val="24"/>
                <w:szCs w:val="24"/>
                <w:highlight w:val="none"/>
                <w:lang w:val="en-US" w:eastAsia="zh-CN" w:bidi="ar-SA"/>
              </w:rPr>
              <w:t>厚粘土层(渗透系数≤10</w:t>
            </w:r>
            <w:r>
              <w:rPr>
                <w:rFonts w:hint="default" w:ascii="Times New Roman" w:hAnsi="Times New Roman" w:eastAsia="宋体" w:cs="Times New Roman"/>
                <w:snapToGrid w:val="0"/>
                <w:color w:val="000000" w:themeColor="text1"/>
                <w:kern w:val="2"/>
                <w:sz w:val="24"/>
                <w:szCs w:val="24"/>
                <w:highlight w:val="none"/>
                <w:vertAlign w:val="superscript"/>
                <w:lang w:val="en-US" w:eastAsia="zh-CN" w:bidi="ar-SA"/>
              </w:rPr>
              <w:t>-7</w:t>
            </w:r>
            <w:r>
              <w:rPr>
                <w:rFonts w:hint="eastAsia" w:ascii="Times New Roman" w:hAnsi="Times New Roman" w:eastAsia="宋体" w:cs="Times New Roman"/>
                <w:snapToGrid w:val="0"/>
                <w:color w:val="000000" w:themeColor="text1"/>
                <w:kern w:val="0"/>
                <w:sz w:val="24"/>
                <w:szCs w:val="24"/>
                <w:highlight w:val="none"/>
                <w:lang w:val="en-US" w:eastAsia="zh-CN"/>
              </w:rPr>
              <w:t>厘米</w:t>
            </w:r>
            <w:r>
              <w:rPr>
                <w:rFonts w:hint="default" w:ascii="Times New Roman" w:hAnsi="Times New Roman" w:eastAsia="宋体" w:cs="Times New Roman"/>
                <w:snapToGrid w:val="0"/>
                <w:color w:val="000000" w:themeColor="text1"/>
                <w:kern w:val="0"/>
                <w:sz w:val="24"/>
                <w:szCs w:val="24"/>
                <w:highlight w:val="none"/>
              </w:rPr>
              <w:t>/</w:t>
            </w:r>
            <w:r>
              <w:rPr>
                <w:rFonts w:hint="eastAsia" w:ascii="Times New Roman" w:hAnsi="Times New Roman" w:eastAsia="宋体" w:cs="Times New Roman"/>
                <w:snapToGrid w:val="0"/>
                <w:color w:val="000000" w:themeColor="text1"/>
                <w:kern w:val="0"/>
                <w:sz w:val="24"/>
                <w:szCs w:val="24"/>
                <w:highlight w:val="none"/>
                <w:lang w:val="en-US" w:eastAsia="zh-CN"/>
              </w:rPr>
              <w:t>秒</w:t>
            </w:r>
            <w:r>
              <w:rPr>
                <w:rFonts w:hint="default" w:ascii="Times New Roman" w:hAnsi="Times New Roman" w:eastAsia="宋体" w:cs="Times New Roman"/>
                <w:snapToGrid w:val="0"/>
                <w:color w:val="000000" w:themeColor="text1"/>
                <w:kern w:val="2"/>
                <w:sz w:val="24"/>
                <w:szCs w:val="24"/>
                <w:highlight w:val="none"/>
                <w:lang w:val="en-US" w:eastAsia="zh-CN" w:bidi="ar-SA"/>
              </w:rPr>
              <w:t>)防渗能力；与上述一般防渗区的防渗要求一致。</w:t>
            </w:r>
          </w:p>
          <w:p w14:paraId="77B7F827">
            <w:pPr>
              <w:widowControl w:val="0"/>
              <w:kinsoku w:val="0"/>
              <w:autoSpaceDE w:val="0"/>
              <w:autoSpaceDN w:val="0"/>
              <w:adjustRightInd w:val="0"/>
              <w:snapToGrid w:val="0"/>
              <w:spacing w:line="240" w:lineRule="auto"/>
              <w:ind w:firstLine="422" w:firstLineChars="200"/>
              <w:jc w:val="center"/>
              <w:textAlignment w:val="baseline"/>
              <w:rPr>
                <w:rFonts w:hint="default" w:ascii="Times New Roman" w:hAnsi="Times New Roman" w:eastAsia="宋体" w:cs="Times New Roman"/>
                <w:b/>
                <w:bCs/>
                <w:snapToGrid w:val="0"/>
                <w:color w:val="000000" w:themeColor="text1"/>
                <w:kern w:val="2"/>
                <w:sz w:val="21"/>
                <w:szCs w:val="21"/>
                <w:highlight w:val="none"/>
                <w:lang w:val="en-US" w:eastAsia="zh-CN" w:bidi="ar-SA"/>
              </w:rPr>
            </w:pPr>
            <w:r>
              <w:rPr>
                <w:rFonts w:hint="default" w:ascii="Times New Roman" w:hAnsi="Times New Roman" w:eastAsia="宋体" w:cs="Times New Roman"/>
                <w:b/>
                <w:bCs/>
                <w:snapToGrid w:val="0"/>
                <w:color w:val="000000" w:themeColor="text1"/>
                <w:kern w:val="2"/>
                <w:sz w:val="21"/>
                <w:szCs w:val="21"/>
                <w:highlight w:val="none"/>
                <w:lang w:val="en-US" w:eastAsia="zh-CN" w:bidi="ar-SA"/>
              </w:rPr>
              <w:t>表4-1</w:t>
            </w:r>
            <w:r>
              <w:rPr>
                <w:rFonts w:hint="eastAsia" w:ascii="Times New Roman" w:hAnsi="Times New Roman" w:eastAsia="宋体" w:cs="Times New Roman"/>
                <w:b/>
                <w:bCs/>
                <w:snapToGrid w:val="0"/>
                <w:color w:val="000000" w:themeColor="text1"/>
                <w:kern w:val="2"/>
                <w:sz w:val="21"/>
                <w:szCs w:val="21"/>
                <w:highlight w:val="none"/>
                <w:lang w:val="en-US" w:eastAsia="zh-CN" w:bidi="ar-SA"/>
              </w:rPr>
              <w:t>5</w:t>
            </w:r>
            <w:r>
              <w:rPr>
                <w:rFonts w:hint="default" w:ascii="Times New Roman" w:hAnsi="Times New Roman" w:eastAsia="宋体" w:cs="Times New Roman"/>
                <w:b/>
                <w:bCs/>
                <w:snapToGrid w:val="0"/>
                <w:color w:val="000000" w:themeColor="text1"/>
                <w:kern w:val="2"/>
                <w:sz w:val="21"/>
                <w:szCs w:val="21"/>
                <w:highlight w:val="none"/>
                <w:lang w:val="en-US" w:eastAsia="zh-CN" w:bidi="ar-SA"/>
              </w:rPr>
              <w:t xml:space="preserve">    项目防渗情况一览表</w:t>
            </w:r>
          </w:p>
          <w:tbl>
            <w:tblPr>
              <w:tblStyle w:val="24"/>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726"/>
              <w:gridCol w:w="2059"/>
              <w:gridCol w:w="3573"/>
            </w:tblGrid>
            <w:tr w14:paraId="28CBB88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24" w:type="pct"/>
                  <w:tcBorders>
                    <w:tl2br w:val="nil"/>
                    <w:tr2bl w:val="nil"/>
                  </w:tcBorders>
                  <w:noWrap w:val="0"/>
                  <w:vAlign w:val="center"/>
                </w:tcPr>
                <w:p w14:paraId="62D973C8">
                  <w:pPr>
                    <w:keepNext w:val="0"/>
                    <w:keepLines w:val="0"/>
                    <w:pageBreakBefore w:val="0"/>
                    <w:widowControl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snapToGrid w:val="0"/>
                      <w:color w:val="000000" w:themeColor="text1"/>
                      <w:kern w:val="2"/>
                      <w:sz w:val="21"/>
                      <w:szCs w:val="21"/>
                      <w:highlight w:val="none"/>
                      <w:lang w:val="en-US" w:eastAsia="zh-CN" w:bidi="ar-SA"/>
                    </w:rPr>
                  </w:pPr>
                  <w:r>
                    <w:rPr>
                      <w:rFonts w:hint="default" w:ascii="Times New Roman" w:hAnsi="Times New Roman" w:eastAsia="宋体" w:cs="Times New Roman"/>
                      <w:b/>
                      <w:snapToGrid w:val="0"/>
                      <w:color w:val="000000" w:themeColor="text1"/>
                      <w:kern w:val="2"/>
                      <w:sz w:val="21"/>
                      <w:szCs w:val="21"/>
                      <w:highlight w:val="none"/>
                      <w:lang w:val="en-US" w:eastAsia="zh-CN" w:bidi="ar-SA"/>
                    </w:rPr>
                    <w:t>序号</w:t>
                  </w:r>
                </w:p>
              </w:tc>
              <w:tc>
                <w:tcPr>
                  <w:tcW w:w="1492" w:type="pct"/>
                  <w:tcBorders>
                    <w:tl2br w:val="nil"/>
                    <w:tr2bl w:val="nil"/>
                  </w:tcBorders>
                  <w:noWrap w:val="0"/>
                  <w:vAlign w:val="center"/>
                </w:tcPr>
                <w:p w14:paraId="07C1F6D6">
                  <w:pPr>
                    <w:keepNext w:val="0"/>
                    <w:keepLines w:val="0"/>
                    <w:pageBreakBefore w:val="0"/>
                    <w:widowControl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snapToGrid w:val="0"/>
                      <w:color w:val="000000" w:themeColor="text1"/>
                      <w:kern w:val="2"/>
                      <w:sz w:val="21"/>
                      <w:szCs w:val="21"/>
                      <w:highlight w:val="none"/>
                      <w:lang w:val="en-US" w:eastAsia="zh-CN" w:bidi="ar-SA"/>
                    </w:rPr>
                  </w:pPr>
                  <w:r>
                    <w:rPr>
                      <w:rFonts w:hint="default" w:ascii="Times New Roman" w:hAnsi="Times New Roman" w:eastAsia="宋体" w:cs="Times New Roman"/>
                      <w:b/>
                      <w:snapToGrid w:val="0"/>
                      <w:color w:val="000000" w:themeColor="text1"/>
                      <w:kern w:val="2"/>
                      <w:sz w:val="21"/>
                      <w:szCs w:val="21"/>
                      <w:highlight w:val="none"/>
                      <w:lang w:val="en-US" w:eastAsia="zh-CN" w:bidi="ar-SA"/>
                    </w:rPr>
                    <w:t>场所</w:t>
                  </w:r>
                </w:p>
              </w:tc>
              <w:tc>
                <w:tcPr>
                  <w:tcW w:w="1127" w:type="pct"/>
                  <w:tcBorders>
                    <w:tl2br w:val="nil"/>
                    <w:tr2bl w:val="nil"/>
                  </w:tcBorders>
                  <w:noWrap w:val="0"/>
                  <w:vAlign w:val="center"/>
                </w:tcPr>
                <w:p w14:paraId="75982B8A">
                  <w:pPr>
                    <w:keepNext w:val="0"/>
                    <w:keepLines w:val="0"/>
                    <w:pageBreakBefore w:val="0"/>
                    <w:widowControl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snapToGrid w:val="0"/>
                      <w:color w:val="000000" w:themeColor="text1"/>
                      <w:kern w:val="2"/>
                      <w:sz w:val="21"/>
                      <w:szCs w:val="21"/>
                      <w:highlight w:val="none"/>
                      <w:lang w:val="en-US" w:eastAsia="zh-CN" w:bidi="ar-SA"/>
                    </w:rPr>
                  </w:pPr>
                  <w:r>
                    <w:rPr>
                      <w:rFonts w:hint="default" w:ascii="Times New Roman" w:hAnsi="Times New Roman" w:eastAsia="宋体" w:cs="Times New Roman"/>
                      <w:b/>
                      <w:snapToGrid w:val="0"/>
                      <w:color w:val="000000" w:themeColor="text1"/>
                      <w:kern w:val="2"/>
                      <w:sz w:val="21"/>
                      <w:szCs w:val="21"/>
                      <w:highlight w:val="none"/>
                      <w:lang w:val="en-US" w:eastAsia="zh-CN" w:bidi="ar-SA"/>
                    </w:rPr>
                    <w:t>防渗分区</w:t>
                  </w:r>
                </w:p>
              </w:tc>
              <w:tc>
                <w:tcPr>
                  <w:tcW w:w="1955" w:type="pct"/>
                  <w:tcBorders>
                    <w:tl2br w:val="nil"/>
                    <w:tr2bl w:val="nil"/>
                  </w:tcBorders>
                  <w:noWrap w:val="0"/>
                  <w:vAlign w:val="center"/>
                </w:tcPr>
                <w:p w14:paraId="349ADEA8">
                  <w:pPr>
                    <w:keepNext w:val="0"/>
                    <w:keepLines w:val="0"/>
                    <w:pageBreakBefore w:val="0"/>
                    <w:widowControl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snapToGrid w:val="0"/>
                      <w:color w:val="000000" w:themeColor="text1"/>
                      <w:kern w:val="2"/>
                      <w:sz w:val="21"/>
                      <w:szCs w:val="21"/>
                      <w:highlight w:val="none"/>
                      <w:lang w:val="en-US" w:eastAsia="zh-CN" w:bidi="ar-SA"/>
                    </w:rPr>
                  </w:pPr>
                  <w:r>
                    <w:rPr>
                      <w:rFonts w:hint="default" w:ascii="Times New Roman" w:hAnsi="Times New Roman" w:eastAsia="宋体" w:cs="Times New Roman"/>
                      <w:b/>
                      <w:snapToGrid w:val="0"/>
                      <w:color w:val="000000" w:themeColor="text1"/>
                      <w:kern w:val="2"/>
                      <w:sz w:val="21"/>
                      <w:szCs w:val="21"/>
                      <w:highlight w:val="none"/>
                      <w:lang w:val="en-US" w:eastAsia="zh-CN" w:bidi="ar-SA"/>
                    </w:rPr>
                    <w:t>防渗技术要求</w:t>
                  </w:r>
                </w:p>
              </w:tc>
            </w:tr>
            <w:tr w14:paraId="406D78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24" w:type="pct"/>
                  <w:tcBorders>
                    <w:tl2br w:val="nil"/>
                    <w:tr2bl w:val="nil"/>
                  </w:tcBorders>
                  <w:noWrap w:val="0"/>
                  <w:vAlign w:val="center"/>
                </w:tcPr>
                <w:p w14:paraId="42D10949">
                  <w:pPr>
                    <w:keepNext w:val="0"/>
                    <w:keepLines w:val="0"/>
                    <w:pageBreakBefore w:val="0"/>
                    <w:widowControl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snapToGrid w:val="0"/>
                      <w:color w:val="000000" w:themeColor="text1"/>
                      <w:kern w:val="2"/>
                      <w:sz w:val="21"/>
                      <w:szCs w:val="21"/>
                      <w:highlight w:val="none"/>
                      <w:lang w:val="en-US" w:eastAsia="zh-CN" w:bidi="ar-SA"/>
                    </w:rPr>
                  </w:pPr>
                  <w:r>
                    <w:rPr>
                      <w:rFonts w:hint="default" w:ascii="Times New Roman" w:hAnsi="Times New Roman" w:eastAsia="宋体" w:cs="Times New Roman"/>
                      <w:snapToGrid w:val="0"/>
                      <w:color w:val="000000" w:themeColor="text1"/>
                      <w:kern w:val="2"/>
                      <w:sz w:val="21"/>
                      <w:szCs w:val="21"/>
                      <w:highlight w:val="none"/>
                      <w:lang w:val="en-US" w:eastAsia="zh-CN" w:bidi="ar-SA"/>
                    </w:rPr>
                    <w:t>1</w:t>
                  </w:r>
                </w:p>
              </w:tc>
              <w:tc>
                <w:tcPr>
                  <w:tcW w:w="1492" w:type="pct"/>
                  <w:tcBorders>
                    <w:tl2br w:val="nil"/>
                    <w:tr2bl w:val="nil"/>
                  </w:tcBorders>
                  <w:noWrap w:val="0"/>
                  <w:vAlign w:val="center"/>
                </w:tcPr>
                <w:p w14:paraId="0FE96B28">
                  <w:pPr>
                    <w:keepNext w:val="0"/>
                    <w:keepLines w:val="0"/>
                    <w:pageBreakBefore w:val="0"/>
                    <w:widowControl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snapToGrid w:val="0"/>
                      <w:color w:val="000000" w:themeColor="text1"/>
                      <w:kern w:val="2"/>
                      <w:sz w:val="21"/>
                      <w:szCs w:val="21"/>
                      <w:highlight w:val="none"/>
                      <w:lang w:val="en-US" w:eastAsia="zh-CN" w:bidi="ar-SA"/>
                    </w:rPr>
                  </w:pPr>
                  <w:r>
                    <w:rPr>
                      <w:rFonts w:hint="default" w:ascii="Times New Roman" w:hAnsi="Times New Roman" w:eastAsia="宋体" w:cs="Times New Roman"/>
                      <w:snapToGrid w:val="0"/>
                      <w:color w:val="000000" w:themeColor="text1"/>
                      <w:kern w:val="2"/>
                      <w:sz w:val="21"/>
                      <w:szCs w:val="21"/>
                      <w:highlight w:val="none"/>
                      <w:lang w:val="en-US" w:eastAsia="zh-CN" w:bidi="ar-SA"/>
                    </w:rPr>
                    <w:t>危险废物</w:t>
                  </w:r>
                  <w:r>
                    <w:rPr>
                      <w:rFonts w:hint="eastAsia" w:ascii="Times New Roman" w:hAnsi="Times New Roman" w:eastAsia="宋体" w:cs="Times New Roman"/>
                      <w:snapToGrid w:val="0"/>
                      <w:color w:val="000000" w:themeColor="text1"/>
                      <w:kern w:val="2"/>
                      <w:sz w:val="21"/>
                      <w:szCs w:val="21"/>
                      <w:highlight w:val="none"/>
                      <w:lang w:val="en-US" w:eastAsia="zh-CN" w:bidi="ar-SA"/>
                    </w:rPr>
                    <w:t>贮存库</w:t>
                  </w:r>
                </w:p>
              </w:tc>
              <w:tc>
                <w:tcPr>
                  <w:tcW w:w="1127" w:type="pct"/>
                  <w:tcBorders>
                    <w:tl2br w:val="nil"/>
                    <w:tr2bl w:val="nil"/>
                  </w:tcBorders>
                  <w:noWrap w:val="0"/>
                  <w:vAlign w:val="center"/>
                </w:tcPr>
                <w:p w14:paraId="13990221">
                  <w:pPr>
                    <w:keepNext w:val="0"/>
                    <w:keepLines w:val="0"/>
                    <w:pageBreakBefore w:val="0"/>
                    <w:widowControl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snapToGrid w:val="0"/>
                      <w:color w:val="000000" w:themeColor="text1"/>
                      <w:kern w:val="2"/>
                      <w:sz w:val="21"/>
                      <w:szCs w:val="21"/>
                      <w:highlight w:val="none"/>
                      <w:lang w:val="en-US" w:eastAsia="zh-CN" w:bidi="ar-SA"/>
                    </w:rPr>
                  </w:pPr>
                  <w:r>
                    <w:rPr>
                      <w:rFonts w:hint="default" w:ascii="Times New Roman" w:hAnsi="Times New Roman" w:eastAsia="宋体" w:cs="Times New Roman"/>
                      <w:snapToGrid w:val="0"/>
                      <w:color w:val="000000" w:themeColor="text1"/>
                      <w:kern w:val="2"/>
                      <w:sz w:val="21"/>
                      <w:szCs w:val="21"/>
                      <w:highlight w:val="none"/>
                      <w:lang w:val="en-US" w:eastAsia="zh-CN" w:bidi="ar-SA"/>
                    </w:rPr>
                    <w:t>重点防渗区</w:t>
                  </w:r>
                </w:p>
              </w:tc>
              <w:tc>
                <w:tcPr>
                  <w:tcW w:w="1955" w:type="pct"/>
                  <w:tcBorders>
                    <w:tl2br w:val="nil"/>
                    <w:tr2bl w:val="nil"/>
                  </w:tcBorders>
                  <w:noWrap w:val="0"/>
                  <w:vAlign w:val="center"/>
                </w:tcPr>
                <w:p w14:paraId="631D1737">
                  <w:pPr>
                    <w:keepNext w:val="0"/>
                    <w:keepLines w:val="0"/>
                    <w:pageBreakBefore w:val="0"/>
                    <w:widowControl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snapToGrid w:val="0"/>
                      <w:color w:val="000000" w:themeColor="text1"/>
                      <w:kern w:val="2"/>
                      <w:sz w:val="21"/>
                      <w:szCs w:val="21"/>
                      <w:highlight w:val="none"/>
                      <w:lang w:val="en-US" w:eastAsia="zh-CN" w:bidi="ar-SA"/>
                    </w:rPr>
                  </w:pPr>
                  <w:r>
                    <w:rPr>
                      <w:rFonts w:hint="default" w:ascii="Times New Roman" w:hAnsi="Times New Roman" w:eastAsia="宋体" w:cs="Times New Roman"/>
                      <w:snapToGrid w:val="0"/>
                      <w:color w:val="000000" w:themeColor="text1"/>
                      <w:kern w:val="2"/>
                      <w:sz w:val="21"/>
                      <w:szCs w:val="21"/>
                      <w:highlight w:val="none"/>
                      <w:lang w:val="en-US" w:eastAsia="zh-CN" w:bidi="ar-SA"/>
                    </w:rPr>
                    <w:t>等效黏土防渗层Mb≥6.0</w:t>
                  </w:r>
                  <w:r>
                    <w:rPr>
                      <w:rFonts w:hint="eastAsia" w:ascii="Times New Roman" w:hAnsi="Times New Roman" w:eastAsia="宋体" w:cs="Times New Roman"/>
                      <w:snapToGrid w:val="0"/>
                      <w:color w:val="000000" w:themeColor="text1"/>
                      <w:kern w:val="2"/>
                      <w:sz w:val="21"/>
                      <w:szCs w:val="21"/>
                      <w:highlight w:val="none"/>
                      <w:lang w:val="en-US" w:eastAsia="zh-CN" w:bidi="ar-SA"/>
                    </w:rPr>
                    <w:t>米</w:t>
                  </w:r>
                  <w:r>
                    <w:rPr>
                      <w:rFonts w:hint="default" w:ascii="Times New Roman" w:hAnsi="Times New Roman" w:eastAsia="宋体" w:cs="Times New Roman"/>
                      <w:snapToGrid w:val="0"/>
                      <w:color w:val="000000" w:themeColor="text1"/>
                      <w:kern w:val="2"/>
                      <w:sz w:val="21"/>
                      <w:szCs w:val="21"/>
                      <w:highlight w:val="none"/>
                      <w:lang w:val="en-US" w:eastAsia="zh-CN" w:bidi="ar-SA"/>
                    </w:rPr>
                    <w:t>，渗透系数小于1.0×10</w:t>
                  </w:r>
                  <w:r>
                    <w:rPr>
                      <w:rFonts w:hint="default" w:ascii="Times New Roman" w:hAnsi="Times New Roman" w:eastAsia="宋体" w:cs="Times New Roman"/>
                      <w:snapToGrid w:val="0"/>
                      <w:color w:val="000000" w:themeColor="text1"/>
                      <w:kern w:val="2"/>
                      <w:sz w:val="21"/>
                      <w:szCs w:val="21"/>
                      <w:highlight w:val="none"/>
                      <w:vertAlign w:val="superscript"/>
                      <w:lang w:val="en-US" w:eastAsia="zh-CN" w:bidi="ar-SA"/>
                    </w:rPr>
                    <w:t>-7</w:t>
                  </w:r>
                  <w:r>
                    <w:rPr>
                      <w:rFonts w:hint="default" w:ascii="Times New Roman" w:hAnsi="Times New Roman" w:eastAsia="宋体" w:cs="Times New Roman"/>
                      <w:snapToGrid w:val="0"/>
                      <w:color w:val="000000" w:themeColor="text1"/>
                      <w:kern w:val="2"/>
                      <w:sz w:val="21"/>
                      <w:szCs w:val="21"/>
                      <w:highlight w:val="none"/>
                      <w:vertAlign w:val="baseline"/>
                      <w:lang w:val="en-US" w:eastAsia="zh-CN" w:bidi="ar-SA"/>
                    </w:rPr>
                    <w:t>厘米/秒</w:t>
                  </w:r>
                </w:p>
              </w:tc>
            </w:tr>
            <w:tr w14:paraId="24F3BFF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24" w:type="pct"/>
                  <w:tcBorders>
                    <w:tl2br w:val="nil"/>
                    <w:tr2bl w:val="nil"/>
                  </w:tcBorders>
                  <w:noWrap w:val="0"/>
                  <w:vAlign w:val="center"/>
                </w:tcPr>
                <w:p w14:paraId="2517EE43">
                  <w:pPr>
                    <w:keepNext w:val="0"/>
                    <w:keepLines w:val="0"/>
                    <w:pageBreakBefore w:val="0"/>
                    <w:widowControl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snapToGrid w:val="0"/>
                      <w:color w:val="000000" w:themeColor="text1"/>
                      <w:kern w:val="2"/>
                      <w:sz w:val="21"/>
                      <w:szCs w:val="21"/>
                      <w:highlight w:val="none"/>
                      <w:lang w:val="en-US" w:eastAsia="zh-CN" w:bidi="ar-SA"/>
                    </w:rPr>
                  </w:pPr>
                  <w:r>
                    <w:rPr>
                      <w:rFonts w:hint="default" w:ascii="Times New Roman" w:hAnsi="Times New Roman" w:eastAsia="宋体" w:cs="Times New Roman"/>
                      <w:snapToGrid w:val="0"/>
                      <w:color w:val="000000" w:themeColor="text1"/>
                      <w:kern w:val="2"/>
                      <w:sz w:val="21"/>
                      <w:szCs w:val="21"/>
                      <w:highlight w:val="none"/>
                      <w:lang w:val="en-US" w:eastAsia="zh-CN" w:bidi="ar-SA"/>
                    </w:rPr>
                    <w:t>2</w:t>
                  </w:r>
                </w:p>
              </w:tc>
              <w:tc>
                <w:tcPr>
                  <w:tcW w:w="1492" w:type="pct"/>
                  <w:tcBorders>
                    <w:tl2br w:val="nil"/>
                    <w:tr2bl w:val="nil"/>
                  </w:tcBorders>
                  <w:noWrap w:val="0"/>
                  <w:vAlign w:val="center"/>
                </w:tcPr>
                <w:p w14:paraId="3F4023E6">
                  <w:pPr>
                    <w:keepNext w:val="0"/>
                    <w:keepLines w:val="0"/>
                    <w:pageBreakBefore w:val="0"/>
                    <w:widowControl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snapToGrid w:val="0"/>
                      <w:color w:val="000000" w:themeColor="text1"/>
                      <w:kern w:val="2"/>
                      <w:sz w:val="21"/>
                      <w:szCs w:val="21"/>
                      <w:highlight w:val="none"/>
                      <w:lang w:val="en-US" w:eastAsia="zh-CN" w:bidi="ar-SA"/>
                    </w:rPr>
                  </w:pPr>
                  <w:r>
                    <w:rPr>
                      <w:rFonts w:hint="eastAsia" w:ascii="Times New Roman" w:hAnsi="Times New Roman" w:eastAsia="宋体" w:cs="Times New Roman"/>
                      <w:snapToGrid w:val="0"/>
                      <w:color w:val="000000" w:themeColor="text1"/>
                      <w:kern w:val="2"/>
                      <w:sz w:val="21"/>
                      <w:szCs w:val="21"/>
                      <w:highlight w:val="none"/>
                      <w:lang w:val="en-US" w:eastAsia="zh-CN" w:bidi="ar-SA"/>
                    </w:rPr>
                    <w:t>生产车间</w:t>
                  </w:r>
                </w:p>
              </w:tc>
              <w:tc>
                <w:tcPr>
                  <w:tcW w:w="1127" w:type="pct"/>
                  <w:tcBorders>
                    <w:tl2br w:val="nil"/>
                    <w:tr2bl w:val="nil"/>
                  </w:tcBorders>
                  <w:noWrap w:val="0"/>
                  <w:vAlign w:val="center"/>
                </w:tcPr>
                <w:p w14:paraId="7CB4C62A">
                  <w:pPr>
                    <w:keepNext w:val="0"/>
                    <w:keepLines w:val="0"/>
                    <w:pageBreakBefore w:val="0"/>
                    <w:widowControl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snapToGrid w:val="0"/>
                      <w:color w:val="000000" w:themeColor="text1"/>
                      <w:kern w:val="2"/>
                      <w:sz w:val="21"/>
                      <w:szCs w:val="21"/>
                      <w:highlight w:val="none"/>
                      <w:lang w:val="en-US" w:eastAsia="zh-CN" w:bidi="ar-SA"/>
                    </w:rPr>
                  </w:pPr>
                  <w:r>
                    <w:rPr>
                      <w:rFonts w:hint="default" w:ascii="Times New Roman" w:hAnsi="Times New Roman" w:eastAsia="宋体" w:cs="Times New Roman"/>
                      <w:snapToGrid w:val="0"/>
                      <w:color w:val="000000" w:themeColor="text1"/>
                      <w:kern w:val="2"/>
                      <w:sz w:val="21"/>
                      <w:szCs w:val="21"/>
                      <w:highlight w:val="none"/>
                      <w:lang w:val="en-US" w:eastAsia="zh-CN" w:bidi="ar-SA"/>
                    </w:rPr>
                    <w:t>一般防渗</w:t>
                  </w:r>
                </w:p>
              </w:tc>
              <w:tc>
                <w:tcPr>
                  <w:tcW w:w="1955" w:type="pct"/>
                  <w:tcBorders>
                    <w:tl2br w:val="nil"/>
                    <w:tr2bl w:val="nil"/>
                  </w:tcBorders>
                  <w:noWrap w:val="0"/>
                  <w:vAlign w:val="center"/>
                </w:tcPr>
                <w:p w14:paraId="0746AEC6">
                  <w:pPr>
                    <w:keepNext w:val="0"/>
                    <w:keepLines w:val="0"/>
                    <w:pageBreakBefore w:val="0"/>
                    <w:widowControl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snapToGrid w:val="0"/>
                      <w:color w:val="000000" w:themeColor="text1"/>
                      <w:kern w:val="2"/>
                      <w:sz w:val="21"/>
                      <w:szCs w:val="21"/>
                      <w:highlight w:val="none"/>
                      <w:lang w:val="en-US" w:eastAsia="zh-CN" w:bidi="ar-SA"/>
                    </w:rPr>
                  </w:pPr>
                  <w:r>
                    <w:rPr>
                      <w:rFonts w:hint="default" w:ascii="Times New Roman" w:hAnsi="Times New Roman" w:eastAsia="宋体" w:cs="Times New Roman"/>
                      <w:snapToGrid w:val="0"/>
                      <w:color w:val="000000" w:themeColor="text1"/>
                      <w:kern w:val="2"/>
                      <w:sz w:val="21"/>
                      <w:szCs w:val="21"/>
                      <w:highlight w:val="none"/>
                      <w:lang w:val="en-US" w:eastAsia="zh-CN" w:bidi="ar-SA"/>
                    </w:rPr>
                    <w:t>等效黏土防渗层Mb≥1.5</w:t>
                  </w:r>
                  <w:r>
                    <w:rPr>
                      <w:rFonts w:hint="eastAsia" w:ascii="Times New Roman" w:hAnsi="Times New Roman" w:eastAsia="宋体" w:cs="Times New Roman"/>
                      <w:snapToGrid w:val="0"/>
                      <w:color w:val="000000" w:themeColor="text1"/>
                      <w:kern w:val="2"/>
                      <w:sz w:val="21"/>
                      <w:szCs w:val="21"/>
                      <w:highlight w:val="none"/>
                      <w:lang w:val="en-US" w:eastAsia="zh-CN" w:bidi="ar-SA"/>
                    </w:rPr>
                    <w:t>米</w:t>
                  </w:r>
                  <w:r>
                    <w:rPr>
                      <w:rFonts w:hint="default" w:ascii="Times New Roman" w:hAnsi="Times New Roman" w:eastAsia="宋体" w:cs="Times New Roman"/>
                      <w:snapToGrid w:val="0"/>
                      <w:color w:val="000000" w:themeColor="text1"/>
                      <w:kern w:val="2"/>
                      <w:sz w:val="21"/>
                      <w:szCs w:val="21"/>
                      <w:highlight w:val="none"/>
                      <w:lang w:val="en-US" w:eastAsia="zh-CN" w:bidi="ar-SA"/>
                    </w:rPr>
                    <w:t>，渗透系数小于1.0×10</w:t>
                  </w:r>
                  <w:r>
                    <w:rPr>
                      <w:rFonts w:hint="default" w:ascii="Times New Roman" w:hAnsi="Times New Roman" w:eastAsia="宋体" w:cs="Times New Roman"/>
                      <w:snapToGrid w:val="0"/>
                      <w:color w:val="000000" w:themeColor="text1"/>
                      <w:kern w:val="2"/>
                      <w:sz w:val="21"/>
                      <w:szCs w:val="21"/>
                      <w:highlight w:val="none"/>
                      <w:vertAlign w:val="superscript"/>
                      <w:lang w:val="en-US" w:eastAsia="zh-CN" w:bidi="ar-SA"/>
                    </w:rPr>
                    <w:t>-7</w:t>
                  </w:r>
                  <w:r>
                    <w:rPr>
                      <w:rFonts w:hint="default" w:ascii="Times New Roman" w:hAnsi="Times New Roman" w:eastAsia="宋体" w:cs="Times New Roman"/>
                      <w:snapToGrid w:val="0"/>
                      <w:color w:val="000000" w:themeColor="text1"/>
                      <w:kern w:val="2"/>
                      <w:sz w:val="21"/>
                      <w:szCs w:val="21"/>
                      <w:highlight w:val="none"/>
                      <w:vertAlign w:val="baseline"/>
                      <w:lang w:val="en-US" w:eastAsia="zh-CN" w:bidi="ar-SA"/>
                    </w:rPr>
                    <w:t>厘米/秒</w:t>
                  </w:r>
                </w:p>
              </w:tc>
            </w:tr>
            <w:tr w14:paraId="0A6ADC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4" w:type="pct"/>
                  <w:tcBorders>
                    <w:tl2br w:val="nil"/>
                    <w:tr2bl w:val="nil"/>
                  </w:tcBorders>
                  <w:noWrap w:val="0"/>
                  <w:vAlign w:val="center"/>
                </w:tcPr>
                <w:p w14:paraId="50DCCF55">
                  <w:pPr>
                    <w:keepNext w:val="0"/>
                    <w:keepLines w:val="0"/>
                    <w:pageBreakBefore w:val="0"/>
                    <w:widowControl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snapToGrid w:val="0"/>
                      <w:color w:val="000000" w:themeColor="text1"/>
                      <w:kern w:val="2"/>
                      <w:sz w:val="21"/>
                      <w:szCs w:val="21"/>
                      <w:highlight w:val="none"/>
                      <w:lang w:val="en-US" w:eastAsia="zh-CN" w:bidi="ar-SA"/>
                    </w:rPr>
                  </w:pPr>
                  <w:r>
                    <w:rPr>
                      <w:rFonts w:hint="default" w:ascii="Times New Roman" w:hAnsi="Times New Roman" w:eastAsia="宋体" w:cs="Times New Roman"/>
                      <w:snapToGrid w:val="0"/>
                      <w:color w:val="000000" w:themeColor="text1"/>
                      <w:kern w:val="2"/>
                      <w:sz w:val="21"/>
                      <w:szCs w:val="21"/>
                      <w:highlight w:val="none"/>
                      <w:lang w:val="en-US" w:eastAsia="zh-CN" w:bidi="ar-SA"/>
                    </w:rPr>
                    <w:t>3</w:t>
                  </w:r>
                </w:p>
              </w:tc>
              <w:tc>
                <w:tcPr>
                  <w:tcW w:w="1492" w:type="pct"/>
                  <w:tcBorders>
                    <w:tl2br w:val="nil"/>
                    <w:tr2bl w:val="nil"/>
                  </w:tcBorders>
                  <w:noWrap w:val="0"/>
                  <w:vAlign w:val="center"/>
                </w:tcPr>
                <w:p w14:paraId="29FD8748">
                  <w:pPr>
                    <w:keepNext w:val="0"/>
                    <w:keepLines w:val="0"/>
                    <w:pageBreakBefore w:val="0"/>
                    <w:widowControl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snapToGrid w:val="0"/>
                      <w:color w:val="000000" w:themeColor="text1"/>
                      <w:kern w:val="2"/>
                      <w:sz w:val="21"/>
                      <w:szCs w:val="21"/>
                      <w:highlight w:val="none"/>
                      <w:lang w:val="en-US" w:eastAsia="zh-CN" w:bidi="ar-SA"/>
                    </w:rPr>
                  </w:pPr>
                  <w:r>
                    <w:rPr>
                      <w:rFonts w:hint="default" w:ascii="Times New Roman" w:hAnsi="Times New Roman" w:eastAsia="宋体" w:cs="Times New Roman"/>
                      <w:snapToGrid w:val="0"/>
                      <w:color w:val="000000" w:themeColor="text1"/>
                      <w:kern w:val="2"/>
                      <w:sz w:val="21"/>
                      <w:szCs w:val="21"/>
                      <w:highlight w:val="none"/>
                      <w:lang w:val="en-US" w:eastAsia="zh-CN" w:bidi="ar-SA"/>
                    </w:rPr>
                    <w:t>厂区道路、办公生活区等</w:t>
                  </w:r>
                </w:p>
              </w:tc>
              <w:tc>
                <w:tcPr>
                  <w:tcW w:w="1127" w:type="pct"/>
                  <w:tcBorders>
                    <w:tl2br w:val="nil"/>
                    <w:tr2bl w:val="nil"/>
                  </w:tcBorders>
                  <w:noWrap w:val="0"/>
                  <w:vAlign w:val="center"/>
                </w:tcPr>
                <w:p w14:paraId="42F1DD15">
                  <w:pPr>
                    <w:keepNext w:val="0"/>
                    <w:keepLines w:val="0"/>
                    <w:pageBreakBefore w:val="0"/>
                    <w:widowControl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snapToGrid w:val="0"/>
                      <w:color w:val="000000" w:themeColor="text1"/>
                      <w:kern w:val="2"/>
                      <w:sz w:val="21"/>
                      <w:szCs w:val="21"/>
                      <w:highlight w:val="none"/>
                      <w:lang w:val="en-US" w:eastAsia="zh-CN" w:bidi="ar-SA"/>
                    </w:rPr>
                  </w:pPr>
                  <w:r>
                    <w:rPr>
                      <w:rFonts w:hint="default" w:ascii="Times New Roman" w:hAnsi="Times New Roman" w:eastAsia="宋体" w:cs="Times New Roman"/>
                      <w:snapToGrid w:val="0"/>
                      <w:color w:val="000000" w:themeColor="text1"/>
                      <w:kern w:val="2"/>
                      <w:sz w:val="21"/>
                      <w:szCs w:val="21"/>
                      <w:highlight w:val="none"/>
                      <w:lang w:val="en-US" w:eastAsia="zh-CN" w:bidi="ar-SA"/>
                    </w:rPr>
                    <w:t>简单防渗</w:t>
                  </w:r>
                </w:p>
              </w:tc>
              <w:tc>
                <w:tcPr>
                  <w:tcW w:w="1955" w:type="pct"/>
                  <w:tcBorders>
                    <w:tl2br w:val="nil"/>
                    <w:tr2bl w:val="nil"/>
                  </w:tcBorders>
                  <w:noWrap w:val="0"/>
                  <w:vAlign w:val="center"/>
                </w:tcPr>
                <w:p w14:paraId="0B3EE135">
                  <w:pPr>
                    <w:keepNext w:val="0"/>
                    <w:keepLines w:val="0"/>
                    <w:pageBreakBefore w:val="0"/>
                    <w:widowControl w:val="0"/>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snapToGrid w:val="0"/>
                      <w:color w:val="000000" w:themeColor="text1"/>
                      <w:kern w:val="2"/>
                      <w:sz w:val="21"/>
                      <w:szCs w:val="21"/>
                      <w:highlight w:val="none"/>
                      <w:lang w:val="en-US" w:eastAsia="zh-CN" w:bidi="ar-SA"/>
                    </w:rPr>
                  </w:pPr>
                  <w:r>
                    <w:rPr>
                      <w:rFonts w:hint="default" w:ascii="Times New Roman" w:hAnsi="Times New Roman" w:eastAsia="宋体" w:cs="Times New Roman"/>
                      <w:snapToGrid w:val="0"/>
                      <w:color w:val="000000" w:themeColor="text1"/>
                      <w:kern w:val="2"/>
                      <w:sz w:val="21"/>
                      <w:szCs w:val="21"/>
                      <w:highlight w:val="none"/>
                      <w:lang w:val="en-US" w:eastAsia="zh-CN" w:bidi="ar-SA"/>
                    </w:rPr>
                    <w:t>渗透系数小于1.0×10</w:t>
                  </w:r>
                  <w:r>
                    <w:rPr>
                      <w:rFonts w:hint="default" w:ascii="Times New Roman" w:hAnsi="Times New Roman" w:eastAsia="宋体" w:cs="Times New Roman"/>
                      <w:snapToGrid w:val="0"/>
                      <w:color w:val="000000" w:themeColor="text1"/>
                      <w:kern w:val="2"/>
                      <w:sz w:val="21"/>
                      <w:szCs w:val="21"/>
                      <w:highlight w:val="none"/>
                      <w:vertAlign w:val="superscript"/>
                      <w:lang w:val="en-US" w:eastAsia="zh-CN" w:bidi="ar-SA"/>
                    </w:rPr>
                    <w:t>-5</w:t>
                  </w:r>
                  <w:r>
                    <w:rPr>
                      <w:rFonts w:hint="default" w:ascii="Times New Roman" w:hAnsi="Times New Roman" w:eastAsia="宋体" w:cs="Times New Roman"/>
                      <w:snapToGrid w:val="0"/>
                      <w:color w:val="000000" w:themeColor="text1"/>
                      <w:kern w:val="2"/>
                      <w:sz w:val="21"/>
                      <w:szCs w:val="21"/>
                      <w:highlight w:val="none"/>
                      <w:vertAlign w:val="baseline"/>
                      <w:lang w:val="en-US" w:eastAsia="zh-CN" w:bidi="ar-SA"/>
                    </w:rPr>
                    <w:t>厘米/秒</w:t>
                  </w:r>
                </w:p>
              </w:tc>
            </w:tr>
          </w:tbl>
          <w:p w14:paraId="1053162F">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jc w:val="left"/>
              <w:textAlignment w:val="baseline"/>
              <w:rPr>
                <w:rFonts w:hint="default" w:ascii="Times New Roman" w:hAnsi="Times New Roman" w:eastAsia="宋体" w:cs="Times New Roman"/>
                <w:bCs/>
                <w:snapToGrid w:val="0"/>
                <w:color w:val="000000" w:themeColor="text1"/>
                <w:kern w:val="0"/>
                <w:sz w:val="24"/>
                <w:szCs w:val="21"/>
                <w:highlight w:val="none"/>
              </w:rPr>
            </w:pPr>
            <w:r>
              <w:rPr>
                <w:rFonts w:hint="default" w:ascii="Times New Roman" w:hAnsi="Times New Roman" w:eastAsia="宋体" w:cs="Times New Roman"/>
                <w:snapToGrid w:val="0"/>
                <w:color w:val="000000" w:themeColor="text1"/>
                <w:kern w:val="0"/>
                <w:sz w:val="24"/>
                <w:szCs w:val="21"/>
                <w:highlight w:val="none"/>
              </w:rPr>
              <w:t>综上所述，在运营期间加强管理、严格遵循地下水环境保护措施，正常状况本项目生产不会对</w:t>
            </w:r>
            <w:r>
              <w:rPr>
                <w:rFonts w:hint="default" w:ascii="Times New Roman" w:hAnsi="Times New Roman" w:eastAsia="宋体" w:cs="Times New Roman"/>
                <w:snapToGrid w:val="0"/>
                <w:color w:val="000000" w:themeColor="text1"/>
                <w:kern w:val="0"/>
                <w:sz w:val="24"/>
                <w:szCs w:val="21"/>
                <w:highlight w:val="none"/>
                <w:lang w:val="en-US" w:eastAsia="zh-CN"/>
              </w:rPr>
              <w:t>土壤及</w:t>
            </w:r>
            <w:r>
              <w:rPr>
                <w:rFonts w:hint="default" w:ascii="Times New Roman" w:hAnsi="Times New Roman" w:eastAsia="宋体" w:cs="Times New Roman"/>
                <w:snapToGrid w:val="0"/>
                <w:color w:val="000000" w:themeColor="text1"/>
                <w:kern w:val="0"/>
                <w:sz w:val="24"/>
                <w:szCs w:val="21"/>
                <w:highlight w:val="none"/>
              </w:rPr>
              <w:t>地下水造成明显不利影响，建设单位须严格执行事故防范措施尽量杜绝</w:t>
            </w:r>
            <w:r>
              <w:rPr>
                <w:rFonts w:hint="default" w:ascii="Times New Roman" w:hAnsi="Times New Roman" w:eastAsia="宋体" w:cs="Times New Roman"/>
                <w:b w:val="0"/>
                <w:bCs w:val="0"/>
                <w:snapToGrid w:val="0"/>
                <w:color w:val="000000" w:themeColor="text1"/>
                <w:kern w:val="0"/>
                <w:sz w:val="24"/>
                <w:szCs w:val="21"/>
                <w:highlight w:val="none"/>
              </w:rPr>
              <w:t>事故状况的出现造成</w:t>
            </w:r>
            <w:r>
              <w:rPr>
                <w:rFonts w:hint="default" w:ascii="Times New Roman" w:hAnsi="Times New Roman" w:eastAsia="宋体" w:cs="Times New Roman"/>
                <w:b w:val="0"/>
                <w:bCs w:val="0"/>
                <w:snapToGrid w:val="0"/>
                <w:color w:val="000000" w:themeColor="text1"/>
                <w:kern w:val="0"/>
                <w:sz w:val="24"/>
                <w:szCs w:val="21"/>
                <w:highlight w:val="none"/>
                <w:lang w:val="en-US" w:eastAsia="zh-CN"/>
              </w:rPr>
              <w:t>土壤及</w:t>
            </w:r>
            <w:r>
              <w:rPr>
                <w:rFonts w:hint="default" w:ascii="Times New Roman" w:hAnsi="Times New Roman" w:eastAsia="宋体" w:cs="Times New Roman"/>
                <w:b w:val="0"/>
                <w:bCs w:val="0"/>
                <w:snapToGrid w:val="0"/>
                <w:color w:val="000000" w:themeColor="text1"/>
                <w:kern w:val="0"/>
                <w:sz w:val="24"/>
                <w:szCs w:val="21"/>
                <w:highlight w:val="none"/>
              </w:rPr>
              <w:t>地下水污染。</w:t>
            </w:r>
          </w:p>
          <w:p w14:paraId="7D6E41B1">
            <w:pPr>
              <w:spacing w:line="360" w:lineRule="auto"/>
              <w:rPr>
                <w:b/>
                <w:bCs/>
                <w:sz w:val="24"/>
                <w:szCs w:val="24"/>
              </w:rPr>
            </w:pPr>
            <w:r>
              <w:rPr>
                <w:rFonts w:hint="eastAsia"/>
                <w:b/>
                <w:bCs/>
                <w:sz w:val="24"/>
                <w:szCs w:val="24"/>
              </w:rPr>
              <w:t>6.</w:t>
            </w:r>
            <w:r>
              <w:rPr>
                <w:b/>
                <w:bCs/>
                <w:sz w:val="24"/>
                <w:szCs w:val="24"/>
              </w:rPr>
              <w:t>生态影响分析</w:t>
            </w:r>
          </w:p>
          <w:p w14:paraId="480D04CA">
            <w:pPr>
              <w:spacing w:line="360" w:lineRule="auto"/>
              <w:ind w:firstLine="480" w:firstLineChars="200"/>
              <w:rPr>
                <w:sz w:val="24"/>
                <w:szCs w:val="24"/>
              </w:rPr>
            </w:pPr>
            <w:r>
              <w:rPr>
                <w:sz w:val="24"/>
                <w:szCs w:val="24"/>
              </w:rPr>
              <w:t>本项目</w:t>
            </w:r>
            <w:r>
              <w:rPr>
                <w:rFonts w:hint="eastAsia"/>
                <w:sz w:val="24"/>
                <w:szCs w:val="24"/>
              </w:rPr>
              <w:t>占地范围有限，</w:t>
            </w:r>
            <w:r>
              <w:rPr>
                <w:sz w:val="24"/>
                <w:szCs w:val="24"/>
              </w:rPr>
              <w:t>只要在项目实施过程中切实做好废气、废水达标排放和噪声防治工作，各类固体废物妥善处置，则项目的建设</w:t>
            </w:r>
            <w:r>
              <w:rPr>
                <w:rFonts w:hint="eastAsia"/>
                <w:sz w:val="24"/>
                <w:szCs w:val="24"/>
              </w:rPr>
              <w:t>对区域生态环境的扰动范围较小</w:t>
            </w:r>
            <w:r>
              <w:rPr>
                <w:sz w:val="24"/>
                <w:szCs w:val="24"/>
              </w:rPr>
              <w:t>。</w:t>
            </w:r>
          </w:p>
          <w:p w14:paraId="0F622BB8">
            <w:pPr>
              <w:pStyle w:val="4"/>
              <w:rPr>
                <w:sz w:val="24"/>
                <w:szCs w:val="24"/>
              </w:rPr>
            </w:pPr>
            <w:r>
              <w:rPr>
                <w:rFonts w:hint="eastAsia"/>
                <w:sz w:val="24"/>
                <w:szCs w:val="24"/>
              </w:rPr>
              <w:t>7.环境</w:t>
            </w:r>
            <w:r>
              <w:rPr>
                <w:sz w:val="24"/>
                <w:szCs w:val="24"/>
              </w:rPr>
              <w:t>风险</w:t>
            </w:r>
            <w:r>
              <w:rPr>
                <w:rFonts w:hint="eastAsia"/>
                <w:sz w:val="24"/>
                <w:szCs w:val="24"/>
              </w:rPr>
              <w:t>分析</w:t>
            </w:r>
          </w:p>
          <w:p w14:paraId="4515F34D">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both"/>
              <w:textAlignment w:val="auto"/>
              <w:rPr>
                <w:rFonts w:hint="default" w:ascii="Times New Roman" w:hAnsi="Times New Roman" w:eastAsia="宋体" w:cs="Times New Roman"/>
                <w:color w:val="000000" w:themeColor="text1"/>
                <w:sz w:val="24"/>
                <w:szCs w:val="24"/>
                <w:highlight w:val="none"/>
                <w:lang w:val="en-US" w:eastAsia="zh-CN"/>
              </w:rPr>
            </w:pPr>
            <w:r>
              <w:rPr>
                <w:rFonts w:hint="default" w:ascii="Times New Roman" w:hAnsi="Times New Roman" w:eastAsia="宋体" w:cs="Times New Roman"/>
                <w:color w:val="000000" w:themeColor="text1"/>
                <w:sz w:val="24"/>
                <w:szCs w:val="24"/>
                <w:highlight w:val="none"/>
                <w:lang w:val="en-US" w:eastAsia="zh-CN"/>
              </w:rPr>
              <w:t>根据《建设项目环境风险评价技术导则》（HJ 169-2018），环境风险指在自然环境中产生的或通过自然环境传递的，对人类健康和幸福产生不利影响同时又具有某些不确定性的危害事件，环境风险评价就是评估事件发生概率及在不同概率事件后果的严重性，决定采取适宜对策，主要特点是评价环境中不确定性和突发性风险问题及关心的风险事故发生的可能性及其产生的环境后果。</w:t>
            </w:r>
          </w:p>
          <w:p w14:paraId="3529DE73">
            <w:pPr>
              <w:pStyle w:val="2"/>
              <w:keepNext w:val="0"/>
              <w:keepLines w:val="0"/>
              <w:pageBreakBefore w:val="0"/>
              <w:widowControl w:val="0"/>
              <w:kinsoku/>
              <w:wordWrap/>
              <w:overflowPunct/>
              <w:topLinePunct w:val="0"/>
              <w:autoSpaceDE/>
              <w:autoSpaceDN/>
              <w:bidi w:val="0"/>
              <w:adjustRightInd/>
              <w:snapToGrid/>
              <w:spacing w:before="0" w:after="0" w:line="360" w:lineRule="auto"/>
              <w:ind w:right="0" w:firstLine="482" w:firstLineChars="200"/>
              <w:textAlignment w:val="auto"/>
              <w:rPr>
                <w:rFonts w:hint="default" w:ascii="Times New Roman" w:hAnsi="Times New Roman" w:eastAsia="宋体" w:cs="Times New Roman"/>
                <w:b/>
                <w:bCs/>
                <w:color w:val="000000" w:themeColor="text1"/>
                <w:sz w:val="24"/>
                <w:szCs w:val="24"/>
                <w:highlight w:val="none"/>
                <w:lang w:val="en-US" w:eastAsia="zh-CN"/>
              </w:rPr>
            </w:pPr>
            <w:r>
              <w:rPr>
                <w:rFonts w:hint="eastAsia" w:ascii="Times New Roman" w:hAnsi="Times New Roman" w:eastAsia="宋体" w:cs="Times New Roman"/>
                <w:b/>
                <w:bCs/>
                <w:color w:val="000000" w:themeColor="text1"/>
                <w:sz w:val="24"/>
                <w:szCs w:val="24"/>
                <w:highlight w:val="none"/>
                <w:lang w:val="en-US" w:eastAsia="zh-CN"/>
              </w:rPr>
              <w:t>7</w:t>
            </w:r>
            <w:r>
              <w:rPr>
                <w:rFonts w:hint="default" w:ascii="Times New Roman" w:hAnsi="Times New Roman" w:eastAsia="宋体" w:cs="Times New Roman"/>
                <w:b/>
                <w:bCs/>
                <w:color w:val="000000" w:themeColor="text1"/>
                <w:sz w:val="24"/>
                <w:szCs w:val="24"/>
                <w:highlight w:val="none"/>
                <w:lang w:val="en-US" w:eastAsia="zh-CN"/>
              </w:rPr>
              <w:t>.1</w:t>
            </w:r>
            <w:r>
              <w:rPr>
                <w:rFonts w:hint="eastAsia" w:ascii="Times New Roman" w:hAnsi="Times New Roman" w:eastAsia="宋体" w:cs="Times New Roman"/>
                <w:b/>
                <w:bCs/>
                <w:color w:val="000000" w:themeColor="text1"/>
                <w:sz w:val="24"/>
                <w:szCs w:val="24"/>
                <w:highlight w:val="none"/>
                <w:lang w:val="en-US" w:eastAsia="zh-CN"/>
              </w:rPr>
              <w:t>风险源调查</w:t>
            </w:r>
          </w:p>
          <w:p w14:paraId="088DA9F3">
            <w:pPr>
              <w:pStyle w:val="2"/>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textAlignment w:val="auto"/>
              <w:rPr>
                <w:rFonts w:hint="default" w:ascii="Times New Roman" w:hAnsi="Times New Roman" w:cs="Times New Roman" w:eastAsiaTheme="minorEastAsia"/>
                <w:color w:val="000000" w:themeColor="text1"/>
                <w:sz w:val="24"/>
                <w:szCs w:val="24"/>
                <w:highlight w:val="none"/>
                <w:lang w:val="en-US" w:eastAsia="zh-CN"/>
              </w:rPr>
            </w:pPr>
            <w:r>
              <w:rPr>
                <w:rFonts w:hint="default" w:ascii="Times New Roman" w:hAnsi="Times New Roman" w:eastAsia="宋体" w:cs="Times New Roman"/>
                <w:color w:val="000000" w:themeColor="text1"/>
                <w:sz w:val="24"/>
                <w:szCs w:val="24"/>
                <w:highlight w:val="none"/>
                <w:lang w:val="en-US" w:eastAsia="zh-CN"/>
              </w:rPr>
              <w:t>根据《建设项目环境风险评价技术导则》（HJ169-2018）附录B中重点关注的危险物质及临界量，对照本项目所用原辅材料，可确定本项目环境风险物质为</w:t>
            </w:r>
            <w:r>
              <w:rPr>
                <w:rFonts w:hint="eastAsia" w:ascii="Times New Roman" w:hAnsi="Times New Roman" w:eastAsia="宋体" w:cs="Times New Roman"/>
                <w:color w:val="000000" w:themeColor="text1"/>
                <w:sz w:val="24"/>
                <w:szCs w:val="24"/>
                <w:highlight w:val="none"/>
                <w:lang w:val="en-US" w:eastAsia="zh-CN"/>
              </w:rPr>
              <w:t>防腐</w:t>
            </w:r>
            <w:r>
              <w:rPr>
                <w:rFonts w:hint="default" w:ascii="Times New Roman" w:hAnsi="Times New Roman" w:eastAsia="宋体" w:cs="Times New Roman"/>
                <w:color w:val="000000" w:themeColor="text1"/>
                <w:sz w:val="24"/>
                <w:szCs w:val="24"/>
                <w:highlight w:val="none"/>
                <w:lang w:val="en-US" w:eastAsia="zh-CN"/>
              </w:rPr>
              <w:t>时用的</w:t>
            </w:r>
            <w:r>
              <w:rPr>
                <w:rFonts w:hint="eastAsia" w:ascii="Times New Roman" w:hAnsi="Times New Roman" w:eastAsia="宋体" w:cs="Times New Roman"/>
                <w:color w:val="000000" w:themeColor="text1"/>
                <w:sz w:val="24"/>
                <w:szCs w:val="24"/>
                <w:highlight w:val="none"/>
                <w:lang w:val="en-US" w:eastAsia="zh-CN"/>
              </w:rPr>
              <w:t>防腐剂</w:t>
            </w:r>
            <w:r>
              <w:rPr>
                <w:rFonts w:hint="default" w:ascii="Times New Roman" w:hAnsi="Times New Roman" w:eastAsia="宋体" w:cs="Times New Roman"/>
                <w:color w:val="000000" w:themeColor="text1"/>
                <w:sz w:val="24"/>
                <w:szCs w:val="24"/>
                <w:highlight w:val="none"/>
                <w:lang w:val="en-US" w:eastAsia="zh-CN"/>
              </w:rPr>
              <w:t>；设备维护时产生的废机油</w:t>
            </w:r>
            <w:r>
              <w:rPr>
                <w:rFonts w:hint="eastAsia" w:ascii="Times New Roman" w:hAnsi="Times New Roman" w:eastAsia="宋体" w:cs="Times New Roman"/>
                <w:color w:val="000000" w:themeColor="text1"/>
                <w:sz w:val="24"/>
                <w:szCs w:val="24"/>
                <w:highlight w:val="none"/>
                <w:lang w:val="en-US" w:eastAsia="zh-CN"/>
              </w:rPr>
              <w:t>和脱模剂。</w:t>
            </w:r>
            <w:r>
              <w:rPr>
                <w:rFonts w:hint="default" w:ascii="Times New Roman" w:hAnsi="Times New Roman" w:cs="Times New Roman"/>
                <w:color w:val="auto"/>
                <w:kern w:val="0"/>
                <w:sz w:val="24"/>
                <w:szCs w:val="24"/>
                <w:shd w:val="clear" w:color="auto" w:fill="auto"/>
                <w:lang w:val="en-US" w:eastAsia="zh-CN"/>
              </w:rPr>
              <w:t>本项目废</w:t>
            </w:r>
            <w:r>
              <w:rPr>
                <w:rFonts w:hint="default" w:ascii="Times New Roman" w:hAnsi="Times New Roman" w:cs="Times New Roman"/>
                <w:color w:val="auto"/>
                <w:kern w:val="0"/>
                <w:sz w:val="24"/>
                <w:szCs w:val="24"/>
                <w:shd w:val="clear" w:color="auto" w:fill="auto"/>
              </w:rPr>
              <w:t>机油的</w:t>
            </w:r>
            <w:r>
              <w:rPr>
                <w:rFonts w:hint="default" w:ascii="Times New Roman" w:hAnsi="Times New Roman" w:cs="Times New Roman"/>
                <w:color w:val="auto"/>
                <w:kern w:val="0"/>
                <w:sz w:val="24"/>
                <w:szCs w:val="24"/>
                <w:shd w:val="clear" w:color="auto" w:fill="auto"/>
                <w:lang w:val="en-US" w:eastAsia="zh-CN"/>
              </w:rPr>
              <w:t>储存量</w:t>
            </w:r>
            <w:r>
              <w:rPr>
                <w:rFonts w:hint="default" w:ascii="Times New Roman" w:hAnsi="Times New Roman" w:cs="Times New Roman"/>
                <w:color w:val="auto"/>
                <w:kern w:val="0"/>
                <w:sz w:val="24"/>
                <w:szCs w:val="24"/>
                <w:shd w:val="clear" w:color="auto" w:fill="auto"/>
              </w:rPr>
              <w:t>见</w:t>
            </w:r>
            <w:r>
              <w:rPr>
                <w:rFonts w:hint="eastAsia" w:ascii="Times New Roman" w:hAnsi="Times New Roman" w:cs="Times New Roman"/>
                <w:color w:val="auto"/>
                <w:kern w:val="0"/>
                <w:sz w:val="24"/>
                <w:szCs w:val="24"/>
                <w:shd w:val="clear" w:color="auto" w:fill="auto"/>
                <w:lang w:val="en-US" w:eastAsia="zh-CN"/>
              </w:rPr>
              <w:t>下</w:t>
            </w:r>
            <w:r>
              <w:rPr>
                <w:rFonts w:hint="default" w:ascii="Times New Roman" w:hAnsi="Times New Roman" w:cs="Times New Roman"/>
                <w:color w:val="auto"/>
                <w:kern w:val="0"/>
                <w:sz w:val="24"/>
                <w:szCs w:val="24"/>
                <w:shd w:val="clear" w:color="auto" w:fill="auto"/>
              </w:rPr>
              <w:t>表</w:t>
            </w:r>
            <w:r>
              <w:rPr>
                <w:rFonts w:hint="eastAsia" w:ascii="Times New Roman" w:hAnsi="Times New Roman" w:cs="Times New Roman"/>
                <w:color w:val="auto"/>
                <w:kern w:val="0"/>
                <w:sz w:val="24"/>
                <w:szCs w:val="24"/>
                <w:shd w:val="clear" w:color="auto" w:fill="auto"/>
                <w:lang w:val="en-US" w:eastAsia="zh-CN"/>
              </w:rPr>
              <w:t>。</w:t>
            </w:r>
          </w:p>
          <w:p w14:paraId="7FBE66A7">
            <w:pPr>
              <w:pStyle w:val="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b/>
                <w:bCs/>
                <w:color w:val="000000" w:themeColor="text1"/>
                <w:sz w:val="21"/>
                <w:szCs w:val="21"/>
                <w:highlight w:val="none"/>
                <w:lang w:val="en-US" w:eastAsia="zh-CN"/>
              </w:rPr>
            </w:pPr>
            <w:r>
              <w:rPr>
                <w:rFonts w:hint="eastAsia" w:ascii="Times New Roman" w:hAnsi="Times New Roman" w:eastAsia="宋体" w:cs="Times New Roman"/>
                <w:b/>
                <w:bCs/>
                <w:color w:val="000000" w:themeColor="text1"/>
                <w:sz w:val="21"/>
                <w:szCs w:val="21"/>
                <w:highlight w:val="none"/>
                <w:lang w:val="en-US" w:eastAsia="zh-CN"/>
              </w:rPr>
              <w:t>表4-16</w:t>
            </w:r>
            <w:r>
              <w:rPr>
                <w:rFonts w:hint="default" w:ascii="Times New Roman" w:hAnsi="Times New Roman" w:eastAsia="宋体" w:cs="Times New Roman"/>
                <w:b/>
                <w:bCs/>
                <w:color w:val="000000" w:themeColor="text1"/>
                <w:sz w:val="21"/>
                <w:szCs w:val="21"/>
                <w:highlight w:val="none"/>
                <w:lang w:val="en-US" w:eastAsia="zh-CN"/>
              </w:rPr>
              <w:t xml:space="preserve">    </w:t>
            </w:r>
            <w:r>
              <w:rPr>
                <w:rFonts w:hint="eastAsia" w:ascii="Times New Roman" w:hAnsi="Times New Roman" w:eastAsia="宋体" w:cs="Times New Roman"/>
                <w:b/>
                <w:bCs/>
                <w:color w:val="000000" w:themeColor="text1"/>
                <w:sz w:val="21"/>
                <w:szCs w:val="21"/>
                <w:highlight w:val="none"/>
                <w:lang w:val="en-US" w:eastAsia="zh-CN"/>
              </w:rPr>
              <w:t>风险物质贮存量及临界量一览表</w:t>
            </w:r>
          </w:p>
          <w:tbl>
            <w:tblPr>
              <w:tblStyle w:val="24"/>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66"/>
              <w:gridCol w:w="1416"/>
              <w:gridCol w:w="1992"/>
              <w:gridCol w:w="1689"/>
              <w:gridCol w:w="1531"/>
              <w:gridCol w:w="1736"/>
            </w:tblGrid>
            <w:tr w14:paraId="48D402C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419" w:type="pct"/>
                  <w:tcBorders>
                    <w:top w:val="single" w:color="auto" w:sz="12" w:space="0"/>
                    <w:left w:val="nil"/>
                    <w:bottom w:val="single" w:color="auto" w:sz="6" w:space="0"/>
                    <w:right w:val="single" w:color="auto" w:sz="6" w:space="0"/>
                    <w:tl2br w:val="nil"/>
                    <w:tr2bl w:val="nil"/>
                  </w:tcBorders>
                  <w:noWrap w:val="0"/>
                  <w:vAlign w:val="center"/>
                </w:tcPr>
                <w:p w14:paraId="0F6E0A4F">
                  <w:pPr>
                    <w:pStyle w:val="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eastAsia" w:ascii="Times New Roman" w:hAnsi="Times New Roman" w:eastAsia="宋体" w:cs="Times New Roman"/>
                      <w:color w:val="000000" w:themeColor="text1"/>
                      <w:sz w:val="21"/>
                      <w:szCs w:val="21"/>
                      <w:highlight w:val="none"/>
                      <w:lang w:val="en-US" w:eastAsia="zh-CN"/>
                    </w:rPr>
                    <w:t>序号</w:t>
                  </w:r>
                </w:p>
              </w:tc>
              <w:tc>
                <w:tcPr>
                  <w:tcW w:w="775" w:type="pct"/>
                  <w:tcBorders>
                    <w:top w:val="single" w:color="auto" w:sz="12" w:space="0"/>
                    <w:left w:val="single" w:color="auto" w:sz="6" w:space="0"/>
                    <w:bottom w:val="single" w:color="auto" w:sz="6" w:space="0"/>
                    <w:right w:val="single" w:color="auto" w:sz="6" w:space="0"/>
                    <w:tl2br w:val="nil"/>
                    <w:tr2bl w:val="nil"/>
                  </w:tcBorders>
                  <w:noWrap w:val="0"/>
                  <w:vAlign w:val="center"/>
                </w:tcPr>
                <w:p w14:paraId="7017799A">
                  <w:pPr>
                    <w:pStyle w:val="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eastAsia" w:ascii="Times New Roman" w:hAnsi="Times New Roman" w:eastAsia="宋体" w:cs="Times New Roman"/>
                      <w:color w:val="000000" w:themeColor="text1"/>
                      <w:sz w:val="21"/>
                      <w:szCs w:val="21"/>
                      <w:highlight w:val="none"/>
                      <w:lang w:val="en-US" w:eastAsia="zh-CN"/>
                    </w:rPr>
                    <w:t>风险物质</w:t>
                  </w:r>
                </w:p>
              </w:tc>
              <w:tc>
                <w:tcPr>
                  <w:tcW w:w="1090" w:type="pct"/>
                  <w:tcBorders>
                    <w:top w:val="single" w:color="auto" w:sz="12" w:space="0"/>
                    <w:left w:val="single" w:color="auto" w:sz="6" w:space="0"/>
                    <w:bottom w:val="single" w:color="auto" w:sz="6" w:space="0"/>
                    <w:right w:val="single" w:color="auto" w:sz="6" w:space="0"/>
                    <w:tl2br w:val="nil"/>
                    <w:tr2bl w:val="nil"/>
                  </w:tcBorders>
                  <w:noWrap w:val="0"/>
                  <w:vAlign w:val="center"/>
                </w:tcPr>
                <w:p w14:paraId="2895F38D">
                  <w:pPr>
                    <w:pStyle w:val="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eastAsia" w:ascii="Times New Roman" w:hAnsi="Times New Roman" w:eastAsia="宋体" w:cs="Times New Roman"/>
                      <w:color w:val="000000" w:themeColor="text1"/>
                      <w:kern w:val="0"/>
                      <w:sz w:val="21"/>
                      <w:szCs w:val="21"/>
                      <w:highlight w:val="none"/>
                      <w:lang w:val="en-US" w:eastAsia="zh-CN" w:bidi="ar-SA"/>
                    </w:rPr>
                  </w:pPr>
                  <w:r>
                    <w:rPr>
                      <w:rFonts w:hint="eastAsia" w:ascii="Times New Roman" w:hAnsi="Times New Roman" w:eastAsia="宋体" w:cs="Times New Roman"/>
                      <w:color w:val="000000" w:themeColor="text1"/>
                      <w:sz w:val="21"/>
                      <w:szCs w:val="21"/>
                      <w:highlight w:val="none"/>
                      <w:lang w:val="en-US" w:eastAsia="zh-CN"/>
                    </w:rPr>
                    <w:t>最大储存量（吨）</w:t>
                  </w:r>
                </w:p>
              </w:tc>
              <w:tc>
                <w:tcPr>
                  <w:tcW w:w="924" w:type="pct"/>
                  <w:tcBorders>
                    <w:top w:val="single" w:color="auto" w:sz="12" w:space="0"/>
                    <w:left w:val="single" w:color="auto" w:sz="6" w:space="0"/>
                    <w:bottom w:val="single" w:color="auto" w:sz="6" w:space="0"/>
                    <w:right w:val="single" w:color="auto" w:sz="6" w:space="0"/>
                    <w:tl2br w:val="nil"/>
                    <w:tr2bl w:val="nil"/>
                  </w:tcBorders>
                  <w:noWrap w:val="0"/>
                  <w:vAlign w:val="center"/>
                </w:tcPr>
                <w:p w14:paraId="125A25B3">
                  <w:pPr>
                    <w:pStyle w:val="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eastAsia" w:ascii="Times New Roman" w:hAnsi="Times New Roman" w:eastAsia="宋体" w:cs="Times New Roman"/>
                      <w:color w:val="000000" w:themeColor="text1"/>
                      <w:kern w:val="0"/>
                      <w:sz w:val="21"/>
                      <w:szCs w:val="21"/>
                      <w:highlight w:val="none"/>
                      <w:lang w:val="en-US" w:eastAsia="zh-CN" w:bidi="ar-SA"/>
                    </w:rPr>
                  </w:pPr>
                  <w:r>
                    <w:rPr>
                      <w:rFonts w:hint="eastAsia" w:ascii="Times New Roman" w:hAnsi="Times New Roman" w:eastAsia="宋体" w:cs="Times New Roman"/>
                      <w:color w:val="000000" w:themeColor="text1"/>
                      <w:sz w:val="21"/>
                      <w:szCs w:val="21"/>
                      <w:highlight w:val="none"/>
                      <w:lang w:val="en-US" w:eastAsia="zh-CN"/>
                    </w:rPr>
                    <w:t>临界量（吨）</w:t>
                  </w:r>
                </w:p>
              </w:tc>
              <w:tc>
                <w:tcPr>
                  <w:tcW w:w="838" w:type="pct"/>
                  <w:tcBorders>
                    <w:top w:val="single" w:color="auto" w:sz="12" w:space="0"/>
                    <w:left w:val="single" w:color="auto" w:sz="6" w:space="0"/>
                    <w:bottom w:val="single" w:color="auto" w:sz="6" w:space="0"/>
                    <w:right w:val="single" w:color="auto" w:sz="6" w:space="0"/>
                    <w:tl2br w:val="nil"/>
                    <w:tr2bl w:val="nil"/>
                  </w:tcBorders>
                  <w:noWrap w:val="0"/>
                  <w:vAlign w:val="center"/>
                </w:tcPr>
                <w:p w14:paraId="2C8DE1CC">
                  <w:pPr>
                    <w:pStyle w:val="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eastAsia" w:ascii="Times New Roman" w:hAnsi="Times New Roman" w:eastAsia="宋体" w:cs="Times New Roman"/>
                      <w:color w:val="000000" w:themeColor="text1"/>
                      <w:sz w:val="21"/>
                      <w:szCs w:val="21"/>
                      <w:highlight w:val="none"/>
                      <w:lang w:val="en-US" w:eastAsia="zh-CN"/>
                    </w:rPr>
                    <w:t>储存方式</w:t>
                  </w:r>
                </w:p>
              </w:tc>
              <w:tc>
                <w:tcPr>
                  <w:tcW w:w="950" w:type="pct"/>
                  <w:tcBorders>
                    <w:top w:val="single" w:color="auto" w:sz="12" w:space="0"/>
                    <w:left w:val="single" w:color="auto" w:sz="6" w:space="0"/>
                    <w:bottom w:val="single" w:color="auto" w:sz="6" w:space="0"/>
                    <w:right w:val="nil"/>
                    <w:tl2br w:val="nil"/>
                    <w:tr2bl w:val="nil"/>
                  </w:tcBorders>
                  <w:noWrap w:val="0"/>
                  <w:vAlign w:val="center"/>
                </w:tcPr>
                <w:p w14:paraId="1C45E686">
                  <w:pPr>
                    <w:pStyle w:val="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eastAsia" w:ascii="Times New Roman" w:hAnsi="Times New Roman" w:eastAsia="宋体" w:cs="Times New Roman"/>
                      <w:color w:val="000000" w:themeColor="text1"/>
                      <w:sz w:val="21"/>
                      <w:szCs w:val="21"/>
                      <w:highlight w:val="none"/>
                      <w:lang w:val="en-US" w:eastAsia="zh-CN"/>
                    </w:rPr>
                    <w:t>备注</w:t>
                  </w:r>
                </w:p>
              </w:tc>
            </w:tr>
            <w:tr w14:paraId="25BA387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7" w:hRule="atLeast"/>
                <w:jc w:val="center"/>
              </w:trPr>
              <w:tc>
                <w:tcPr>
                  <w:tcW w:w="419" w:type="pct"/>
                  <w:tcBorders>
                    <w:top w:val="single" w:color="auto" w:sz="6" w:space="0"/>
                    <w:left w:val="nil"/>
                    <w:bottom w:val="single" w:color="auto" w:sz="6" w:space="0"/>
                    <w:right w:val="single" w:color="auto" w:sz="6" w:space="0"/>
                    <w:tl2br w:val="nil"/>
                    <w:tr2bl w:val="nil"/>
                  </w:tcBorders>
                  <w:noWrap w:val="0"/>
                  <w:vAlign w:val="center"/>
                </w:tcPr>
                <w:p w14:paraId="63E8639D">
                  <w:pPr>
                    <w:pStyle w:val="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eastAsia" w:ascii="Times New Roman" w:hAnsi="Times New Roman" w:eastAsia="宋体" w:cs="Times New Roman"/>
                      <w:color w:val="000000" w:themeColor="text1"/>
                      <w:sz w:val="21"/>
                      <w:szCs w:val="21"/>
                      <w:highlight w:val="none"/>
                      <w:lang w:val="en-US" w:eastAsia="zh-CN"/>
                    </w:rPr>
                    <w:t>1</w:t>
                  </w:r>
                </w:p>
              </w:tc>
              <w:tc>
                <w:tcPr>
                  <w:tcW w:w="77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B8108D9">
                  <w:pPr>
                    <w:pStyle w:val="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eastAsia" w:ascii="Times New Roman" w:hAnsi="Times New Roman" w:eastAsia="宋体" w:cs="Times New Roman"/>
                      <w:color w:val="000000" w:themeColor="text1"/>
                      <w:sz w:val="21"/>
                      <w:szCs w:val="21"/>
                      <w:highlight w:val="none"/>
                      <w:lang w:val="en-US" w:eastAsia="zh-CN"/>
                    </w:rPr>
                    <w:t>废机油</w:t>
                  </w:r>
                </w:p>
              </w:tc>
              <w:tc>
                <w:tcPr>
                  <w:tcW w:w="109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670F725">
                  <w:pPr>
                    <w:pStyle w:val="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kern w:val="0"/>
                      <w:sz w:val="21"/>
                      <w:szCs w:val="21"/>
                      <w:highlight w:val="none"/>
                      <w:lang w:val="en-US" w:eastAsia="zh-CN" w:bidi="ar-SA"/>
                    </w:rPr>
                  </w:pPr>
                  <w:r>
                    <w:rPr>
                      <w:rFonts w:hint="default" w:ascii="Times New Roman" w:hAnsi="Times New Roman" w:eastAsia="宋体" w:cs="Times New Roman"/>
                      <w:color w:val="000000" w:themeColor="text1"/>
                      <w:sz w:val="21"/>
                      <w:szCs w:val="21"/>
                      <w:highlight w:val="none"/>
                      <w:lang w:val="en-US" w:eastAsia="zh-CN"/>
                    </w:rPr>
                    <w:t>0.</w:t>
                  </w:r>
                  <w:r>
                    <w:rPr>
                      <w:rFonts w:hint="eastAsia" w:ascii="Times New Roman" w:hAnsi="Times New Roman" w:eastAsia="宋体" w:cs="Times New Roman"/>
                      <w:color w:val="000000" w:themeColor="text1"/>
                      <w:sz w:val="21"/>
                      <w:szCs w:val="21"/>
                      <w:highlight w:val="none"/>
                      <w:lang w:val="en-US" w:eastAsia="zh-CN"/>
                    </w:rPr>
                    <w:t>1</w:t>
                  </w:r>
                </w:p>
              </w:tc>
              <w:tc>
                <w:tcPr>
                  <w:tcW w:w="92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46210D4">
                  <w:pPr>
                    <w:pStyle w:val="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eastAsia" w:ascii="Times New Roman" w:hAnsi="Times New Roman" w:eastAsia="宋体" w:cs="Times New Roman"/>
                      <w:color w:val="000000" w:themeColor="text1"/>
                      <w:kern w:val="0"/>
                      <w:sz w:val="21"/>
                      <w:szCs w:val="21"/>
                      <w:highlight w:val="none"/>
                      <w:lang w:val="en-US" w:eastAsia="zh-CN" w:bidi="ar-SA"/>
                    </w:rPr>
                  </w:pPr>
                  <w:r>
                    <w:rPr>
                      <w:rFonts w:hint="default" w:ascii="Times New Roman" w:hAnsi="Times New Roman" w:eastAsia="宋体" w:cs="Times New Roman"/>
                      <w:color w:val="000000" w:themeColor="text1"/>
                      <w:sz w:val="21"/>
                      <w:szCs w:val="21"/>
                      <w:highlight w:val="none"/>
                      <w:lang w:val="en-US" w:eastAsia="zh-CN"/>
                    </w:rPr>
                    <w:t>2500</w:t>
                  </w:r>
                </w:p>
              </w:tc>
              <w:tc>
                <w:tcPr>
                  <w:tcW w:w="83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96076F6">
                  <w:pPr>
                    <w:pStyle w:val="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eastAsia" w:ascii="Times New Roman" w:hAnsi="Times New Roman" w:eastAsia="宋体" w:cs="Times New Roman"/>
                      <w:color w:val="000000" w:themeColor="text1"/>
                      <w:sz w:val="21"/>
                      <w:szCs w:val="21"/>
                      <w:highlight w:val="none"/>
                      <w:lang w:val="en-US" w:eastAsia="zh-CN"/>
                    </w:rPr>
                    <w:t>桶装</w:t>
                  </w:r>
                </w:p>
              </w:tc>
              <w:tc>
                <w:tcPr>
                  <w:tcW w:w="950" w:type="pct"/>
                  <w:tcBorders>
                    <w:top w:val="single" w:color="auto" w:sz="6" w:space="0"/>
                    <w:left w:val="single" w:color="auto" w:sz="6" w:space="0"/>
                    <w:bottom w:val="single" w:color="auto" w:sz="6" w:space="0"/>
                    <w:right w:val="nil"/>
                    <w:tl2br w:val="nil"/>
                    <w:tr2bl w:val="nil"/>
                  </w:tcBorders>
                  <w:noWrap w:val="0"/>
                  <w:vAlign w:val="center"/>
                </w:tcPr>
                <w:p w14:paraId="3D8C9454">
                  <w:pPr>
                    <w:pStyle w:val="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lang w:val="en-US" w:eastAsia="zh-CN"/>
                    </w:rPr>
                    <w:t>/</w:t>
                  </w:r>
                </w:p>
              </w:tc>
            </w:tr>
            <w:tr w14:paraId="639BD43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7" w:hRule="atLeast"/>
                <w:jc w:val="center"/>
              </w:trPr>
              <w:tc>
                <w:tcPr>
                  <w:tcW w:w="419" w:type="pct"/>
                  <w:tcBorders>
                    <w:top w:val="single" w:color="auto" w:sz="6" w:space="0"/>
                    <w:left w:val="nil"/>
                    <w:bottom w:val="single" w:color="auto" w:sz="6" w:space="0"/>
                    <w:right w:val="single" w:color="auto" w:sz="6" w:space="0"/>
                    <w:tl2br w:val="nil"/>
                    <w:tr2bl w:val="nil"/>
                  </w:tcBorders>
                  <w:noWrap w:val="0"/>
                  <w:vAlign w:val="center"/>
                </w:tcPr>
                <w:p w14:paraId="729D372E">
                  <w:pPr>
                    <w:pStyle w:val="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eastAsia" w:ascii="Times New Roman" w:hAnsi="Times New Roman" w:eastAsia="宋体" w:cs="Times New Roman"/>
                      <w:color w:val="000000" w:themeColor="text1"/>
                      <w:sz w:val="21"/>
                      <w:szCs w:val="21"/>
                      <w:highlight w:val="none"/>
                      <w:lang w:val="en-US" w:eastAsia="zh-CN"/>
                    </w:rPr>
                    <w:t>2</w:t>
                  </w:r>
                </w:p>
              </w:tc>
              <w:tc>
                <w:tcPr>
                  <w:tcW w:w="77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892C95F">
                  <w:pPr>
                    <w:pStyle w:val="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eastAsia" w:ascii="Times New Roman" w:hAnsi="Times New Roman" w:eastAsia="宋体" w:cs="Times New Roman"/>
                      <w:color w:val="000000" w:themeColor="text1"/>
                      <w:sz w:val="21"/>
                      <w:szCs w:val="21"/>
                      <w:highlight w:val="none"/>
                      <w:lang w:val="en-US" w:eastAsia="zh-CN"/>
                    </w:rPr>
                    <w:t>防腐剂</w:t>
                  </w:r>
                </w:p>
              </w:tc>
              <w:tc>
                <w:tcPr>
                  <w:tcW w:w="109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1F9FAA5">
                  <w:pPr>
                    <w:pStyle w:val="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eastAsia" w:ascii="Times New Roman" w:hAnsi="Times New Roman" w:eastAsia="宋体" w:cs="Times New Roman"/>
                      <w:color w:val="000000" w:themeColor="text1"/>
                      <w:sz w:val="21"/>
                      <w:szCs w:val="21"/>
                      <w:highlight w:val="none"/>
                      <w:lang w:val="en-US" w:eastAsia="zh-CN"/>
                    </w:rPr>
                    <w:t>1</w:t>
                  </w:r>
                </w:p>
              </w:tc>
              <w:tc>
                <w:tcPr>
                  <w:tcW w:w="92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12C5214">
                  <w:pPr>
                    <w:pStyle w:val="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eastAsia" w:ascii="Times New Roman" w:hAnsi="Times New Roman" w:eastAsia="宋体" w:cs="Times New Roman"/>
                      <w:color w:val="000000" w:themeColor="text1"/>
                      <w:sz w:val="21"/>
                      <w:szCs w:val="21"/>
                      <w:highlight w:val="none"/>
                      <w:lang w:val="en-US" w:eastAsia="zh-CN"/>
                    </w:rPr>
                    <w:t>100</w:t>
                  </w:r>
                </w:p>
              </w:tc>
              <w:tc>
                <w:tcPr>
                  <w:tcW w:w="1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3E576F">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ascii="Times New Roman" w:hAnsi="Times New Roman" w:eastAsia="宋体" w:cs="Times New Roman"/>
                      <w:color w:val="000000" w:themeColor="text1"/>
                      <w:sz w:val="21"/>
                      <w:szCs w:val="21"/>
                      <w:highlight w:val="none"/>
                      <w:lang w:val="en-US" w:eastAsia="zh-CN"/>
                    </w:rPr>
                  </w:pPr>
                  <w:r>
                    <w:rPr>
                      <w:rFonts w:hint="eastAsia" w:ascii="Times New Roman" w:hAnsi="Times New Roman" w:eastAsia="宋体" w:cs="Times New Roman"/>
                      <w:color w:val="000000" w:themeColor="text1"/>
                      <w:sz w:val="21"/>
                      <w:szCs w:val="21"/>
                      <w:highlight w:val="none"/>
                      <w:lang w:val="en-US" w:eastAsia="zh-CN"/>
                    </w:rPr>
                    <w:t>桶装</w:t>
                  </w:r>
                </w:p>
              </w:tc>
              <w:tc>
                <w:tcPr>
                  <w:tcW w:w="1736" w:type="dxa"/>
                  <w:tcBorders>
                    <w:top w:val="single" w:color="auto" w:sz="6" w:space="0"/>
                    <w:left w:val="single" w:color="auto" w:sz="6" w:space="0"/>
                    <w:bottom w:val="single" w:color="auto" w:sz="6" w:space="0"/>
                    <w:right w:val="nil"/>
                    <w:tl2br w:val="nil"/>
                    <w:tr2bl w:val="nil"/>
                  </w:tcBorders>
                  <w:noWrap w:val="0"/>
                  <w:vAlign w:val="center"/>
                </w:tcPr>
                <w:p w14:paraId="5E6D8358">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lang w:val="en-US" w:eastAsia="zh-CN"/>
                    </w:rPr>
                    <w:t>/</w:t>
                  </w:r>
                </w:p>
              </w:tc>
            </w:tr>
            <w:tr w14:paraId="1386420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7" w:hRule="atLeast"/>
                <w:jc w:val="center"/>
              </w:trPr>
              <w:tc>
                <w:tcPr>
                  <w:tcW w:w="419" w:type="pct"/>
                  <w:tcBorders>
                    <w:top w:val="single" w:color="auto" w:sz="6" w:space="0"/>
                    <w:left w:val="nil"/>
                    <w:bottom w:val="single" w:color="auto" w:sz="6" w:space="0"/>
                    <w:right w:val="single" w:color="auto" w:sz="6" w:space="0"/>
                    <w:tl2br w:val="nil"/>
                    <w:tr2bl w:val="nil"/>
                  </w:tcBorders>
                  <w:noWrap w:val="0"/>
                  <w:vAlign w:val="center"/>
                </w:tcPr>
                <w:p w14:paraId="4C138448">
                  <w:pPr>
                    <w:pStyle w:val="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eastAsia" w:ascii="Times New Roman" w:hAnsi="Times New Roman" w:eastAsia="宋体" w:cs="Times New Roman"/>
                      <w:color w:val="000000" w:themeColor="text1"/>
                      <w:sz w:val="21"/>
                      <w:szCs w:val="21"/>
                      <w:highlight w:val="none"/>
                      <w:lang w:val="en-US" w:eastAsia="zh-CN"/>
                    </w:rPr>
                    <w:t>3</w:t>
                  </w:r>
                </w:p>
              </w:tc>
              <w:tc>
                <w:tcPr>
                  <w:tcW w:w="77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7600A8F">
                  <w:pPr>
                    <w:pStyle w:val="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eastAsia" w:ascii="Times New Roman" w:hAnsi="Times New Roman" w:eastAsia="宋体" w:cs="Times New Roman"/>
                      <w:color w:val="000000" w:themeColor="text1"/>
                      <w:sz w:val="21"/>
                      <w:szCs w:val="21"/>
                      <w:highlight w:val="none"/>
                      <w:lang w:val="en-US" w:eastAsia="zh-CN"/>
                    </w:rPr>
                    <w:t>脱模剂</w:t>
                  </w:r>
                </w:p>
              </w:tc>
              <w:tc>
                <w:tcPr>
                  <w:tcW w:w="109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C434759">
                  <w:pPr>
                    <w:pStyle w:val="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eastAsia" w:ascii="Times New Roman" w:hAnsi="Times New Roman" w:eastAsia="宋体" w:cs="Times New Roman"/>
                      <w:color w:val="000000" w:themeColor="text1"/>
                      <w:sz w:val="21"/>
                      <w:szCs w:val="21"/>
                      <w:highlight w:val="none"/>
                      <w:lang w:val="en-US" w:eastAsia="zh-CN"/>
                    </w:rPr>
                    <w:t>1</w:t>
                  </w:r>
                </w:p>
              </w:tc>
              <w:tc>
                <w:tcPr>
                  <w:tcW w:w="92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C00FA4D">
                  <w:pPr>
                    <w:pStyle w:val="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eastAsia" w:ascii="Times New Roman" w:hAnsi="Times New Roman" w:eastAsia="宋体" w:cs="Times New Roman"/>
                      <w:color w:val="000000" w:themeColor="text1"/>
                      <w:sz w:val="21"/>
                      <w:szCs w:val="21"/>
                      <w:highlight w:val="none"/>
                      <w:lang w:val="en-US" w:eastAsia="zh-CN"/>
                    </w:rPr>
                    <w:t>100</w:t>
                  </w:r>
                </w:p>
              </w:tc>
              <w:tc>
                <w:tcPr>
                  <w:tcW w:w="15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D0EC69">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ascii="Times New Roman" w:hAnsi="Times New Roman" w:eastAsia="宋体" w:cs="Times New Roman"/>
                      <w:color w:val="000000" w:themeColor="text1"/>
                      <w:sz w:val="21"/>
                      <w:szCs w:val="21"/>
                      <w:highlight w:val="none"/>
                      <w:lang w:val="en-US" w:eastAsia="zh-CN"/>
                    </w:rPr>
                  </w:pPr>
                  <w:r>
                    <w:rPr>
                      <w:rFonts w:hint="eastAsia" w:ascii="Times New Roman" w:hAnsi="Times New Roman" w:eastAsia="宋体" w:cs="Times New Roman"/>
                      <w:color w:val="000000" w:themeColor="text1"/>
                      <w:sz w:val="21"/>
                      <w:szCs w:val="21"/>
                      <w:highlight w:val="none"/>
                      <w:lang w:val="en-US" w:eastAsia="zh-CN"/>
                    </w:rPr>
                    <w:t>桶装</w:t>
                  </w:r>
                </w:p>
              </w:tc>
              <w:tc>
                <w:tcPr>
                  <w:tcW w:w="1736" w:type="dxa"/>
                  <w:tcBorders>
                    <w:top w:val="single" w:color="auto" w:sz="6" w:space="0"/>
                    <w:left w:val="single" w:color="auto" w:sz="6" w:space="0"/>
                    <w:bottom w:val="single" w:color="auto" w:sz="6" w:space="0"/>
                    <w:right w:val="nil"/>
                    <w:tl2br w:val="nil"/>
                    <w:tr2bl w:val="nil"/>
                  </w:tcBorders>
                  <w:noWrap w:val="0"/>
                  <w:vAlign w:val="center"/>
                </w:tcPr>
                <w:p w14:paraId="24036F85">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lang w:val="en-US" w:eastAsia="zh-CN"/>
                    </w:rPr>
                    <w:t>/</w:t>
                  </w:r>
                </w:p>
              </w:tc>
            </w:tr>
          </w:tbl>
          <w:p w14:paraId="6FA67196">
            <w:pPr>
              <w:pStyle w:val="2"/>
              <w:keepNext w:val="0"/>
              <w:keepLines w:val="0"/>
              <w:pageBreakBefore w:val="0"/>
              <w:widowControl w:val="0"/>
              <w:kinsoku/>
              <w:wordWrap/>
              <w:overflowPunct/>
              <w:topLinePunct w:val="0"/>
              <w:autoSpaceDE/>
              <w:autoSpaceDN/>
              <w:bidi w:val="0"/>
              <w:adjustRightInd/>
              <w:snapToGrid/>
              <w:spacing w:before="0" w:after="0" w:line="360" w:lineRule="auto"/>
              <w:ind w:right="0" w:firstLine="482" w:firstLineChars="200"/>
              <w:textAlignment w:val="auto"/>
              <w:rPr>
                <w:rFonts w:hint="default" w:ascii="Times New Roman" w:hAnsi="Times New Roman" w:eastAsia="宋体" w:cs="Times New Roman"/>
                <w:b/>
                <w:bCs/>
                <w:color w:val="000000" w:themeColor="text1"/>
                <w:sz w:val="24"/>
                <w:szCs w:val="24"/>
                <w:highlight w:val="none"/>
                <w:lang w:val="en-US" w:eastAsia="zh-CN"/>
              </w:rPr>
            </w:pPr>
            <w:r>
              <w:rPr>
                <w:rFonts w:hint="eastAsia" w:ascii="Times New Roman" w:hAnsi="Times New Roman" w:eastAsia="宋体" w:cs="Times New Roman"/>
                <w:b/>
                <w:bCs/>
                <w:color w:val="000000" w:themeColor="text1"/>
                <w:sz w:val="24"/>
                <w:szCs w:val="24"/>
                <w:highlight w:val="none"/>
                <w:lang w:val="en-US" w:eastAsia="zh-CN"/>
              </w:rPr>
              <w:t>7</w:t>
            </w:r>
            <w:r>
              <w:rPr>
                <w:rFonts w:hint="default" w:ascii="Times New Roman" w:hAnsi="Times New Roman" w:eastAsia="宋体" w:cs="Times New Roman"/>
                <w:b/>
                <w:bCs/>
                <w:color w:val="000000" w:themeColor="text1"/>
                <w:sz w:val="24"/>
                <w:szCs w:val="24"/>
                <w:highlight w:val="none"/>
                <w:lang w:val="en-US" w:eastAsia="zh-CN"/>
              </w:rPr>
              <w:t>.2环境风险潜势初判</w:t>
            </w:r>
          </w:p>
          <w:p w14:paraId="6C83810D">
            <w:pPr>
              <w:pStyle w:val="2"/>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textAlignment w:val="auto"/>
              <w:rPr>
                <w:rFonts w:hint="default" w:ascii="Times New Roman" w:hAnsi="Times New Roman" w:eastAsia="宋体" w:cs="Times New Roman"/>
                <w:color w:val="000000" w:themeColor="text1"/>
                <w:sz w:val="24"/>
                <w:szCs w:val="24"/>
                <w:highlight w:val="none"/>
                <w:lang w:val="en-US" w:eastAsia="zh-CN"/>
              </w:rPr>
            </w:pPr>
            <w:r>
              <w:rPr>
                <w:rFonts w:hint="default" w:ascii="Times New Roman" w:hAnsi="Times New Roman" w:eastAsia="宋体" w:cs="Times New Roman"/>
                <w:color w:val="000000" w:themeColor="text1"/>
                <w:sz w:val="24"/>
                <w:szCs w:val="24"/>
                <w:highlight w:val="none"/>
                <w:lang w:val="en-US" w:eastAsia="zh-CN"/>
              </w:rPr>
              <w:t>根据《建设项目环境风险评价技术导则》（HJ 169-2018），建设项目环境风险潜势划分为I、II、III、IV/IV+级。</w:t>
            </w:r>
          </w:p>
          <w:p w14:paraId="28B69EC4">
            <w:pPr>
              <w:pStyle w:val="2"/>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textAlignment w:val="auto"/>
              <w:rPr>
                <w:rFonts w:hint="default" w:ascii="Times New Roman" w:hAnsi="Times New Roman" w:eastAsia="宋体" w:cs="Times New Roman"/>
                <w:b/>
                <w:bCs/>
                <w:color w:val="000000" w:themeColor="text1"/>
                <w:highlight w:val="none"/>
                <w:lang w:val="en-US" w:eastAsia="zh-CN"/>
              </w:rPr>
            </w:pPr>
            <w:r>
              <w:rPr>
                <w:rFonts w:hint="default" w:ascii="Times New Roman" w:hAnsi="Times New Roman" w:eastAsia="宋体" w:cs="Times New Roman"/>
                <w:color w:val="000000" w:themeColor="text1"/>
                <w:sz w:val="24"/>
                <w:szCs w:val="24"/>
                <w:highlight w:val="none"/>
                <w:lang w:val="en-US" w:eastAsia="zh-CN"/>
              </w:rPr>
              <w:t>根据建设项目涉及的物质和工艺系统的危险性及其所在地的环境敏感程度，结合事故情形下环境影响途径，对建设项目潜在环境危害程度进行概化分析，按照</w:t>
            </w:r>
            <w:r>
              <w:rPr>
                <w:rFonts w:hint="eastAsia" w:ascii="Times New Roman" w:hAnsi="Times New Roman" w:eastAsia="宋体" w:cs="Times New Roman"/>
                <w:color w:val="000000" w:themeColor="text1"/>
                <w:sz w:val="24"/>
                <w:szCs w:val="24"/>
                <w:highlight w:val="none"/>
                <w:lang w:val="en-US" w:eastAsia="zh-CN"/>
              </w:rPr>
              <w:t>下</w:t>
            </w:r>
            <w:r>
              <w:rPr>
                <w:rFonts w:hint="default" w:ascii="Times New Roman" w:hAnsi="Times New Roman" w:eastAsia="宋体" w:cs="Times New Roman"/>
                <w:color w:val="000000" w:themeColor="text1"/>
                <w:sz w:val="24"/>
                <w:szCs w:val="24"/>
                <w:highlight w:val="none"/>
                <w:lang w:val="en-US" w:eastAsia="zh-CN"/>
              </w:rPr>
              <w:t>表确定环境风险潜势。</w:t>
            </w:r>
          </w:p>
          <w:p w14:paraId="6321D257">
            <w:pPr>
              <w:pStyle w:val="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b/>
                <w:bCs/>
                <w:color w:val="000000" w:themeColor="text1"/>
                <w:sz w:val="21"/>
                <w:szCs w:val="21"/>
                <w:highlight w:val="none"/>
                <w:lang w:val="en-US" w:eastAsia="zh-CN"/>
              </w:rPr>
            </w:pPr>
            <w:r>
              <w:rPr>
                <w:rFonts w:hint="default" w:ascii="Times New Roman" w:hAnsi="Times New Roman" w:eastAsia="宋体" w:cs="Times New Roman"/>
                <w:b/>
                <w:bCs/>
                <w:color w:val="000000" w:themeColor="text1"/>
                <w:sz w:val="21"/>
                <w:szCs w:val="21"/>
                <w:highlight w:val="none"/>
                <w:lang w:val="en-US" w:eastAsia="zh-CN"/>
              </w:rPr>
              <w:t>表4-1</w:t>
            </w:r>
            <w:r>
              <w:rPr>
                <w:rFonts w:hint="eastAsia" w:ascii="Times New Roman" w:hAnsi="Times New Roman" w:eastAsia="宋体" w:cs="Times New Roman"/>
                <w:b/>
                <w:bCs/>
                <w:color w:val="000000" w:themeColor="text1"/>
                <w:sz w:val="21"/>
                <w:szCs w:val="21"/>
                <w:highlight w:val="none"/>
                <w:lang w:val="en-US" w:eastAsia="zh-CN"/>
              </w:rPr>
              <w:t>7</w:t>
            </w:r>
            <w:r>
              <w:rPr>
                <w:rFonts w:hint="default" w:ascii="Times New Roman" w:hAnsi="Times New Roman" w:eastAsia="宋体" w:cs="Times New Roman"/>
                <w:b/>
                <w:bCs/>
                <w:color w:val="000000" w:themeColor="text1"/>
                <w:sz w:val="21"/>
                <w:szCs w:val="21"/>
                <w:highlight w:val="none"/>
                <w:lang w:val="en-US" w:eastAsia="zh-CN"/>
              </w:rPr>
              <w:t xml:space="preserve">      建设项目环境风险潜势划分</w:t>
            </w:r>
          </w:p>
          <w:tbl>
            <w:tblPr>
              <w:tblStyle w:val="24"/>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2727"/>
              <w:gridCol w:w="1597"/>
              <w:gridCol w:w="1594"/>
              <w:gridCol w:w="1597"/>
              <w:gridCol w:w="1618"/>
            </w:tblGrid>
            <w:tr w14:paraId="47EF3E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94" w:hRule="atLeast"/>
                <w:jc w:val="center"/>
              </w:trPr>
              <w:tc>
                <w:tcPr>
                  <w:tcW w:w="1493" w:type="pct"/>
                  <w:vMerge w:val="restart"/>
                  <w:tcBorders>
                    <w:tl2br w:val="nil"/>
                    <w:tr2bl w:val="nil"/>
                  </w:tcBorders>
                  <w:vAlign w:val="center"/>
                </w:tcPr>
                <w:p w14:paraId="22AD0030">
                  <w:pPr>
                    <w:pStyle w:val="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lang w:val="en-US" w:eastAsia="zh-CN"/>
                    </w:rPr>
                    <w:t>环境敏感程度（E）</w:t>
                  </w:r>
                </w:p>
              </w:tc>
              <w:tc>
                <w:tcPr>
                  <w:tcW w:w="3506" w:type="pct"/>
                  <w:gridSpan w:val="4"/>
                  <w:tcBorders>
                    <w:tl2br w:val="nil"/>
                    <w:tr2bl w:val="nil"/>
                  </w:tcBorders>
                  <w:vAlign w:val="center"/>
                </w:tcPr>
                <w:p w14:paraId="266755BF">
                  <w:pPr>
                    <w:pStyle w:val="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lang w:val="en-US" w:eastAsia="zh-CN"/>
                    </w:rPr>
                    <w:t>危险物质及工艺系统危险性（P）</w:t>
                  </w:r>
                </w:p>
              </w:tc>
            </w:tr>
            <w:tr w14:paraId="735D323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1493" w:type="pct"/>
                  <w:vMerge w:val="continue"/>
                  <w:tcBorders>
                    <w:tl2br w:val="nil"/>
                    <w:tr2bl w:val="nil"/>
                  </w:tcBorders>
                  <w:vAlign w:val="center"/>
                </w:tcPr>
                <w:p w14:paraId="66723A81">
                  <w:pPr>
                    <w:pStyle w:val="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z w:val="21"/>
                      <w:szCs w:val="21"/>
                      <w:highlight w:val="none"/>
                      <w:lang w:val="en-US" w:eastAsia="zh-CN"/>
                    </w:rPr>
                  </w:pPr>
                </w:p>
              </w:tc>
              <w:tc>
                <w:tcPr>
                  <w:tcW w:w="874" w:type="pct"/>
                  <w:tcBorders>
                    <w:tl2br w:val="nil"/>
                    <w:tr2bl w:val="nil"/>
                  </w:tcBorders>
                  <w:vAlign w:val="center"/>
                </w:tcPr>
                <w:p w14:paraId="231E2624">
                  <w:pPr>
                    <w:pStyle w:val="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lang w:val="en-US" w:eastAsia="zh-CN"/>
                    </w:rPr>
                    <w:t>极高危害（P1）</w:t>
                  </w:r>
                </w:p>
              </w:tc>
              <w:tc>
                <w:tcPr>
                  <w:tcW w:w="873" w:type="pct"/>
                  <w:tcBorders>
                    <w:tl2br w:val="nil"/>
                    <w:tr2bl w:val="nil"/>
                  </w:tcBorders>
                  <w:vAlign w:val="center"/>
                </w:tcPr>
                <w:p w14:paraId="746B0B5D">
                  <w:pPr>
                    <w:pStyle w:val="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lang w:val="en-US" w:eastAsia="zh-CN"/>
                    </w:rPr>
                    <w:t>高度危害（P1）</w:t>
                  </w:r>
                </w:p>
              </w:tc>
              <w:tc>
                <w:tcPr>
                  <w:tcW w:w="874" w:type="pct"/>
                  <w:tcBorders>
                    <w:tl2br w:val="nil"/>
                    <w:tr2bl w:val="nil"/>
                  </w:tcBorders>
                  <w:vAlign w:val="center"/>
                </w:tcPr>
                <w:p w14:paraId="5D9D2BF6">
                  <w:pPr>
                    <w:pStyle w:val="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lang w:val="en-US" w:eastAsia="zh-CN"/>
                    </w:rPr>
                    <w:t>中度危害（P1）</w:t>
                  </w:r>
                </w:p>
              </w:tc>
              <w:tc>
                <w:tcPr>
                  <w:tcW w:w="883" w:type="pct"/>
                  <w:tcBorders>
                    <w:tl2br w:val="nil"/>
                    <w:tr2bl w:val="nil"/>
                  </w:tcBorders>
                  <w:vAlign w:val="center"/>
                </w:tcPr>
                <w:p w14:paraId="2AC0E127">
                  <w:pPr>
                    <w:pStyle w:val="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lang w:val="en-US" w:eastAsia="zh-CN"/>
                    </w:rPr>
                    <w:t>轻度危害（P1）</w:t>
                  </w:r>
                </w:p>
              </w:tc>
            </w:tr>
            <w:tr w14:paraId="69C96B0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493" w:type="pct"/>
                  <w:tcBorders>
                    <w:tl2br w:val="nil"/>
                    <w:tr2bl w:val="nil"/>
                  </w:tcBorders>
                  <w:vAlign w:val="center"/>
                </w:tcPr>
                <w:p w14:paraId="21678D4C">
                  <w:pPr>
                    <w:pStyle w:val="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lang w:val="en-US" w:eastAsia="zh-CN"/>
                    </w:rPr>
                    <w:t>环境高度敏感区（E1）</w:t>
                  </w:r>
                </w:p>
              </w:tc>
              <w:tc>
                <w:tcPr>
                  <w:tcW w:w="874" w:type="pct"/>
                  <w:tcBorders>
                    <w:tl2br w:val="nil"/>
                    <w:tr2bl w:val="nil"/>
                  </w:tcBorders>
                  <w:vAlign w:val="center"/>
                </w:tcPr>
                <w:p w14:paraId="5C4F55A8">
                  <w:pPr>
                    <w:pStyle w:val="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lang w:val="en-US" w:eastAsia="zh-CN"/>
                    </w:rPr>
                    <w:fldChar w:fldCharType="begin"/>
                  </w:r>
                  <w:r>
                    <w:rPr>
                      <w:rFonts w:hint="default" w:ascii="Times New Roman" w:hAnsi="Times New Roman" w:eastAsia="宋体" w:cs="Times New Roman"/>
                      <w:color w:val="000000" w:themeColor="text1"/>
                      <w:sz w:val="21"/>
                      <w:szCs w:val="21"/>
                      <w:highlight w:val="none"/>
                      <w:lang w:val="en-US" w:eastAsia="zh-CN"/>
                    </w:rPr>
                    <w:instrText xml:space="preserve"> = 4 \* ROMAN </w:instrText>
                  </w:r>
                  <w:r>
                    <w:rPr>
                      <w:rFonts w:hint="default" w:ascii="Times New Roman" w:hAnsi="Times New Roman" w:eastAsia="宋体" w:cs="Times New Roman"/>
                      <w:color w:val="000000" w:themeColor="text1"/>
                      <w:sz w:val="21"/>
                      <w:szCs w:val="21"/>
                      <w:highlight w:val="none"/>
                      <w:lang w:val="en-US" w:eastAsia="zh-CN"/>
                    </w:rPr>
                    <w:fldChar w:fldCharType="separate"/>
                  </w:r>
                  <w:r>
                    <w:rPr>
                      <w:rFonts w:hint="default" w:ascii="Times New Roman" w:hAnsi="Times New Roman" w:eastAsia="宋体" w:cs="Times New Roman"/>
                      <w:color w:val="000000" w:themeColor="text1"/>
                      <w:sz w:val="21"/>
                      <w:szCs w:val="21"/>
                      <w:highlight w:val="none"/>
                      <w:lang w:val="en-US" w:eastAsia="zh-CN"/>
                    </w:rPr>
                    <w:t>IV</w:t>
                  </w:r>
                  <w:r>
                    <w:rPr>
                      <w:rFonts w:hint="default" w:ascii="Times New Roman" w:hAnsi="Times New Roman" w:eastAsia="宋体" w:cs="Times New Roman"/>
                      <w:color w:val="000000" w:themeColor="text1"/>
                      <w:sz w:val="21"/>
                      <w:szCs w:val="21"/>
                      <w:highlight w:val="none"/>
                      <w:lang w:val="en-US" w:eastAsia="zh-CN"/>
                    </w:rPr>
                    <w:fldChar w:fldCharType="end"/>
                  </w:r>
                  <w:r>
                    <w:rPr>
                      <w:rFonts w:hint="default" w:ascii="Times New Roman" w:hAnsi="Times New Roman" w:eastAsia="宋体" w:cs="Times New Roman"/>
                      <w:color w:val="000000" w:themeColor="text1"/>
                      <w:sz w:val="21"/>
                      <w:szCs w:val="21"/>
                      <w:highlight w:val="none"/>
                      <w:lang w:val="en-US" w:eastAsia="zh-CN"/>
                    </w:rPr>
                    <w:t>+</w:t>
                  </w:r>
                </w:p>
              </w:tc>
              <w:tc>
                <w:tcPr>
                  <w:tcW w:w="873" w:type="pct"/>
                  <w:tcBorders>
                    <w:tl2br w:val="nil"/>
                    <w:tr2bl w:val="nil"/>
                  </w:tcBorders>
                  <w:vAlign w:val="center"/>
                </w:tcPr>
                <w:p w14:paraId="1D1B5B9E">
                  <w:pPr>
                    <w:pStyle w:val="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lang w:val="en-US" w:eastAsia="zh-CN"/>
                    </w:rPr>
                    <w:fldChar w:fldCharType="begin"/>
                  </w:r>
                  <w:r>
                    <w:rPr>
                      <w:rFonts w:hint="default" w:ascii="Times New Roman" w:hAnsi="Times New Roman" w:eastAsia="宋体" w:cs="Times New Roman"/>
                      <w:color w:val="000000" w:themeColor="text1"/>
                      <w:sz w:val="21"/>
                      <w:szCs w:val="21"/>
                      <w:highlight w:val="none"/>
                      <w:lang w:val="en-US" w:eastAsia="zh-CN"/>
                    </w:rPr>
                    <w:instrText xml:space="preserve"> = 4 \* ROMAN </w:instrText>
                  </w:r>
                  <w:r>
                    <w:rPr>
                      <w:rFonts w:hint="default" w:ascii="Times New Roman" w:hAnsi="Times New Roman" w:eastAsia="宋体" w:cs="Times New Roman"/>
                      <w:color w:val="000000" w:themeColor="text1"/>
                      <w:sz w:val="21"/>
                      <w:szCs w:val="21"/>
                      <w:highlight w:val="none"/>
                      <w:lang w:val="en-US" w:eastAsia="zh-CN"/>
                    </w:rPr>
                    <w:fldChar w:fldCharType="separate"/>
                  </w:r>
                  <w:r>
                    <w:rPr>
                      <w:rFonts w:hint="default" w:ascii="Times New Roman" w:hAnsi="Times New Roman" w:eastAsia="宋体" w:cs="Times New Roman"/>
                      <w:color w:val="000000" w:themeColor="text1"/>
                      <w:sz w:val="21"/>
                      <w:szCs w:val="21"/>
                      <w:highlight w:val="none"/>
                      <w:lang w:val="en-US" w:eastAsia="zh-CN"/>
                    </w:rPr>
                    <w:t>IV</w:t>
                  </w:r>
                  <w:r>
                    <w:rPr>
                      <w:rFonts w:hint="default" w:ascii="Times New Roman" w:hAnsi="Times New Roman" w:eastAsia="宋体" w:cs="Times New Roman"/>
                      <w:color w:val="000000" w:themeColor="text1"/>
                      <w:sz w:val="21"/>
                      <w:szCs w:val="21"/>
                      <w:highlight w:val="none"/>
                      <w:lang w:val="en-US" w:eastAsia="zh-CN"/>
                    </w:rPr>
                    <w:fldChar w:fldCharType="end"/>
                  </w:r>
                </w:p>
              </w:tc>
              <w:tc>
                <w:tcPr>
                  <w:tcW w:w="874" w:type="pct"/>
                  <w:tcBorders>
                    <w:tl2br w:val="nil"/>
                    <w:tr2bl w:val="nil"/>
                  </w:tcBorders>
                  <w:vAlign w:val="center"/>
                </w:tcPr>
                <w:p w14:paraId="78C8BD89">
                  <w:pPr>
                    <w:pStyle w:val="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lang w:val="en-US" w:eastAsia="zh-CN"/>
                    </w:rPr>
                    <w:fldChar w:fldCharType="begin"/>
                  </w:r>
                  <w:r>
                    <w:rPr>
                      <w:rFonts w:hint="default" w:ascii="Times New Roman" w:hAnsi="Times New Roman" w:eastAsia="宋体" w:cs="Times New Roman"/>
                      <w:color w:val="000000" w:themeColor="text1"/>
                      <w:sz w:val="21"/>
                      <w:szCs w:val="21"/>
                      <w:highlight w:val="none"/>
                      <w:lang w:val="en-US" w:eastAsia="zh-CN"/>
                    </w:rPr>
                    <w:instrText xml:space="preserve"> = 3 \* ROMAN </w:instrText>
                  </w:r>
                  <w:r>
                    <w:rPr>
                      <w:rFonts w:hint="default" w:ascii="Times New Roman" w:hAnsi="Times New Roman" w:eastAsia="宋体" w:cs="Times New Roman"/>
                      <w:color w:val="000000" w:themeColor="text1"/>
                      <w:sz w:val="21"/>
                      <w:szCs w:val="21"/>
                      <w:highlight w:val="none"/>
                      <w:lang w:val="en-US" w:eastAsia="zh-CN"/>
                    </w:rPr>
                    <w:fldChar w:fldCharType="separate"/>
                  </w:r>
                  <w:r>
                    <w:rPr>
                      <w:rFonts w:hint="default" w:ascii="Times New Roman" w:hAnsi="Times New Roman" w:eastAsia="宋体" w:cs="Times New Roman"/>
                      <w:color w:val="000000" w:themeColor="text1"/>
                      <w:sz w:val="21"/>
                      <w:szCs w:val="21"/>
                      <w:highlight w:val="none"/>
                      <w:lang w:val="en-US" w:eastAsia="zh-CN"/>
                    </w:rPr>
                    <w:t>III</w:t>
                  </w:r>
                  <w:r>
                    <w:rPr>
                      <w:rFonts w:hint="default" w:ascii="Times New Roman" w:hAnsi="Times New Roman" w:eastAsia="宋体" w:cs="Times New Roman"/>
                      <w:color w:val="000000" w:themeColor="text1"/>
                      <w:sz w:val="21"/>
                      <w:szCs w:val="21"/>
                      <w:highlight w:val="none"/>
                      <w:lang w:val="en-US" w:eastAsia="zh-CN"/>
                    </w:rPr>
                    <w:fldChar w:fldCharType="end"/>
                  </w:r>
                </w:p>
              </w:tc>
              <w:tc>
                <w:tcPr>
                  <w:tcW w:w="883" w:type="pct"/>
                  <w:tcBorders>
                    <w:tl2br w:val="nil"/>
                    <w:tr2bl w:val="nil"/>
                  </w:tcBorders>
                  <w:vAlign w:val="center"/>
                </w:tcPr>
                <w:p w14:paraId="319DB28B">
                  <w:pPr>
                    <w:pStyle w:val="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lang w:val="en-US" w:eastAsia="zh-CN"/>
                    </w:rPr>
                    <w:fldChar w:fldCharType="begin"/>
                  </w:r>
                  <w:r>
                    <w:rPr>
                      <w:rFonts w:hint="default" w:ascii="Times New Roman" w:hAnsi="Times New Roman" w:eastAsia="宋体" w:cs="Times New Roman"/>
                      <w:color w:val="000000" w:themeColor="text1"/>
                      <w:sz w:val="21"/>
                      <w:szCs w:val="21"/>
                      <w:highlight w:val="none"/>
                      <w:lang w:val="en-US" w:eastAsia="zh-CN"/>
                    </w:rPr>
                    <w:instrText xml:space="preserve"> = 3 \* ROMAN </w:instrText>
                  </w:r>
                  <w:r>
                    <w:rPr>
                      <w:rFonts w:hint="default" w:ascii="Times New Roman" w:hAnsi="Times New Roman" w:eastAsia="宋体" w:cs="Times New Roman"/>
                      <w:color w:val="000000" w:themeColor="text1"/>
                      <w:sz w:val="21"/>
                      <w:szCs w:val="21"/>
                      <w:highlight w:val="none"/>
                      <w:lang w:val="en-US" w:eastAsia="zh-CN"/>
                    </w:rPr>
                    <w:fldChar w:fldCharType="separate"/>
                  </w:r>
                  <w:r>
                    <w:rPr>
                      <w:rFonts w:hint="default" w:ascii="Times New Roman" w:hAnsi="Times New Roman" w:eastAsia="宋体" w:cs="Times New Roman"/>
                      <w:color w:val="000000" w:themeColor="text1"/>
                      <w:sz w:val="21"/>
                      <w:szCs w:val="21"/>
                      <w:highlight w:val="none"/>
                      <w:lang w:val="en-US" w:eastAsia="zh-CN"/>
                    </w:rPr>
                    <w:t>III</w:t>
                  </w:r>
                  <w:r>
                    <w:rPr>
                      <w:rFonts w:hint="default" w:ascii="Times New Roman" w:hAnsi="Times New Roman" w:eastAsia="宋体" w:cs="Times New Roman"/>
                      <w:color w:val="000000" w:themeColor="text1"/>
                      <w:sz w:val="21"/>
                      <w:szCs w:val="21"/>
                      <w:highlight w:val="none"/>
                      <w:lang w:val="en-US" w:eastAsia="zh-CN"/>
                    </w:rPr>
                    <w:fldChar w:fldCharType="end"/>
                  </w:r>
                </w:p>
              </w:tc>
            </w:tr>
            <w:tr w14:paraId="0D9911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1493" w:type="pct"/>
                  <w:tcBorders>
                    <w:tl2br w:val="nil"/>
                    <w:tr2bl w:val="nil"/>
                  </w:tcBorders>
                  <w:vAlign w:val="center"/>
                </w:tcPr>
                <w:p w14:paraId="4E802756">
                  <w:pPr>
                    <w:pStyle w:val="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lang w:val="en-US" w:eastAsia="zh-CN"/>
                    </w:rPr>
                    <w:t>环境中度敏感区（E2）</w:t>
                  </w:r>
                </w:p>
              </w:tc>
              <w:tc>
                <w:tcPr>
                  <w:tcW w:w="874" w:type="pct"/>
                  <w:tcBorders>
                    <w:tl2br w:val="nil"/>
                    <w:tr2bl w:val="nil"/>
                  </w:tcBorders>
                  <w:vAlign w:val="center"/>
                </w:tcPr>
                <w:p w14:paraId="5A1905C2">
                  <w:pPr>
                    <w:pStyle w:val="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lang w:val="en-US" w:eastAsia="zh-CN"/>
                    </w:rPr>
                    <w:fldChar w:fldCharType="begin"/>
                  </w:r>
                  <w:r>
                    <w:rPr>
                      <w:rFonts w:hint="default" w:ascii="Times New Roman" w:hAnsi="Times New Roman" w:eastAsia="宋体" w:cs="Times New Roman"/>
                      <w:color w:val="000000" w:themeColor="text1"/>
                      <w:sz w:val="21"/>
                      <w:szCs w:val="21"/>
                      <w:highlight w:val="none"/>
                      <w:lang w:val="en-US" w:eastAsia="zh-CN"/>
                    </w:rPr>
                    <w:instrText xml:space="preserve"> = 4 \* ROMAN </w:instrText>
                  </w:r>
                  <w:r>
                    <w:rPr>
                      <w:rFonts w:hint="default" w:ascii="Times New Roman" w:hAnsi="Times New Roman" w:eastAsia="宋体" w:cs="Times New Roman"/>
                      <w:color w:val="000000" w:themeColor="text1"/>
                      <w:sz w:val="21"/>
                      <w:szCs w:val="21"/>
                      <w:highlight w:val="none"/>
                      <w:lang w:val="en-US" w:eastAsia="zh-CN"/>
                    </w:rPr>
                    <w:fldChar w:fldCharType="separate"/>
                  </w:r>
                  <w:r>
                    <w:rPr>
                      <w:rFonts w:hint="default" w:ascii="Times New Roman" w:hAnsi="Times New Roman" w:eastAsia="宋体" w:cs="Times New Roman"/>
                      <w:color w:val="000000" w:themeColor="text1"/>
                      <w:sz w:val="21"/>
                      <w:szCs w:val="21"/>
                      <w:highlight w:val="none"/>
                      <w:lang w:val="en-US" w:eastAsia="zh-CN"/>
                    </w:rPr>
                    <w:t>IV</w:t>
                  </w:r>
                  <w:r>
                    <w:rPr>
                      <w:rFonts w:hint="default" w:ascii="Times New Roman" w:hAnsi="Times New Roman" w:eastAsia="宋体" w:cs="Times New Roman"/>
                      <w:color w:val="000000" w:themeColor="text1"/>
                      <w:sz w:val="21"/>
                      <w:szCs w:val="21"/>
                      <w:highlight w:val="none"/>
                      <w:lang w:val="en-US" w:eastAsia="zh-CN"/>
                    </w:rPr>
                    <w:fldChar w:fldCharType="end"/>
                  </w:r>
                </w:p>
              </w:tc>
              <w:tc>
                <w:tcPr>
                  <w:tcW w:w="873" w:type="pct"/>
                  <w:tcBorders>
                    <w:tl2br w:val="nil"/>
                    <w:tr2bl w:val="nil"/>
                  </w:tcBorders>
                  <w:vAlign w:val="center"/>
                </w:tcPr>
                <w:p w14:paraId="2F2C0A76">
                  <w:pPr>
                    <w:pStyle w:val="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lang w:val="en-US" w:eastAsia="zh-CN"/>
                    </w:rPr>
                    <w:fldChar w:fldCharType="begin"/>
                  </w:r>
                  <w:r>
                    <w:rPr>
                      <w:rFonts w:hint="default" w:ascii="Times New Roman" w:hAnsi="Times New Roman" w:eastAsia="宋体" w:cs="Times New Roman"/>
                      <w:color w:val="000000" w:themeColor="text1"/>
                      <w:sz w:val="21"/>
                      <w:szCs w:val="21"/>
                      <w:highlight w:val="none"/>
                      <w:lang w:val="en-US" w:eastAsia="zh-CN"/>
                    </w:rPr>
                    <w:instrText xml:space="preserve"> = 3 \* ROMAN </w:instrText>
                  </w:r>
                  <w:r>
                    <w:rPr>
                      <w:rFonts w:hint="default" w:ascii="Times New Roman" w:hAnsi="Times New Roman" w:eastAsia="宋体" w:cs="Times New Roman"/>
                      <w:color w:val="000000" w:themeColor="text1"/>
                      <w:sz w:val="21"/>
                      <w:szCs w:val="21"/>
                      <w:highlight w:val="none"/>
                      <w:lang w:val="en-US" w:eastAsia="zh-CN"/>
                    </w:rPr>
                    <w:fldChar w:fldCharType="separate"/>
                  </w:r>
                  <w:r>
                    <w:rPr>
                      <w:rFonts w:hint="default" w:ascii="Times New Roman" w:hAnsi="Times New Roman" w:eastAsia="宋体" w:cs="Times New Roman"/>
                      <w:color w:val="000000" w:themeColor="text1"/>
                      <w:sz w:val="21"/>
                      <w:szCs w:val="21"/>
                      <w:highlight w:val="none"/>
                      <w:lang w:val="en-US" w:eastAsia="zh-CN"/>
                    </w:rPr>
                    <w:t>III</w:t>
                  </w:r>
                  <w:r>
                    <w:rPr>
                      <w:rFonts w:hint="default" w:ascii="Times New Roman" w:hAnsi="Times New Roman" w:eastAsia="宋体" w:cs="Times New Roman"/>
                      <w:color w:val="000000" w:themeColor="text1"/>
                      <w:sz w:val="21"/>
                      <w:szCs w:val="21"/>
                      <w:highlight w:val="none"/>
                      <w:lang w:val="en-US" w:eastAsia="zh-CN"/>
                    </w:rPr>
                    <w:fldChar w:fldCharType="end"/>
                  </w:r>
                </w:p>
              </w:tc>
              <w:tc>
                <w:tcPr>
                  <w:tcW w:w="874" w:type="pct"/>
                  <w:tcBorders>
                    <w:tl2br w:val="nil"/>
                    <w:tr2bl w:val="nil"/>
                  </w:tcBorders>
                  <w:vAlign w:val="center"/>
                </w:tcPr>
                <w:p w14:paraId="0AAFE9D4">
                  <w:pPr>
                    <w:pStyle w:val="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lang w:val="en-US" w:eastAsia="zh-CN"/>
                    </w:rPr>
                    <w:fldChar w:fldCharType="begin"/>
                  </w:r>
                  <w:r>
                    <w:rPr>
                      <w:rFonts w:hint="default" w:ascii="Times New Roman" w:hAnsi="Times New Roman" w:eastAsia="宋体" w:cs="Times New Roman"/>
                      <w:color w:val="000000" w:themeColor="text1"/>
                      <w:sz w:val="21"/>
                      <w:szCs w:val="21"/>
                      <w:highlight w:val="none"/>
                      <w:lang w:val="en-US" w:eastAsia="zh-CN"/>
                    </w:rPr>
                    <w:instrText xml:space="preserve"> = 3 \* ROMAN </w:instrText>
                  </w:r>
                  <w:r>
                    <w:rPr>
                      <w:rFonts w:hint="default" w:ascii="Times New Roman" w:hAnsi="Times New Roman" w:eastAsia="宋体" w:cs="Times New Roman"/>
                      <w:color w:val="000000" w:themeColor="text1"/>
                      <w:sz w:val="21"/>
                      <w:szCs w:val="21"/>
                      <w:highlight w:val="none"/>
                      <w:lang w:val="en-US" w:eastAsia="zh-CN"/>
                    </w:rPr>
                    <w:fldChar w:fldCharType="separate"/>
                  </w:r>
                  <w:r>
                    <w:rPr>
                      <w:rFonts w:hint="default" w:ascii="Times New Roman" w:hAnsi="Times New Roman" w:eastAsia="宋体" w:cs="Times New Roman"/>
                      <w:color w:val="000000" w:themeColor="text1"/>
                      <w:sz w:val="21"/>
                      <w:szCs w:val="21"/>
                      <w:highlight w:val="none"/>
                      <w:lang w:val="en-US" w:eastAsia="zh-CN"/>
                    </w:rPr>
                    <w:t>III</w:t>
                  </w:r>
                  <w:r>
                    <w:rPr>
                      <w:rFonts w:hint="default" w:ascii="Times New Roman" w:hAnsi="Times New Roman" w:eastAsia="宋体" w:cs="Times New Roman"/>
                      <w:color w:val="000000" w:themeColor="text1"/>
                      <w:sz w:val="21"/>
                      <w:szCs w:val="21"/>
                      <w:highlight w:val="none"/>
                      <w:lang w:val="en-US" w:eastAsia="zh-CN"/>
                    </w:rPr>
                    <w:fldChar w:fldCharType="end"/>
                  </w:r>
                </w:p>
              </w:tc>
              <w:tc>
                <w:tcPr>
                  <w:tcW w:w="883" w:type="pct"/>
                  <w:tcBorders>
                    <w:tl2br w:val="nil"/>
                    <w:tr2bl w:val="nil"/>
                  </w:tcBorders>
                  <w:vAlign w:val="center"/>
                </w:tcPr>
                <w:p w14:paraId="38E10464">
                  <w:pPr>
                    <w:pStyle w:val="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lang w:val="en-US" w:eastAsia="zh-CN"/>
                    </w:rPr>
                    <w:fldChar w:fldCharType="begin"/>
                  </w:r>
                  <w:r>
                    <w:rPr>
                      <w:rFonts w:hint="default" w:ascii="Times New Roman" w:hAnsi="Times New Roman" w:eastAsia="宋体" w:cs="Times New Roman"/>
                      <w:color w:val="000000" w:themeColor="text1"/>
                      <w:sz w:val="21"/>
                      <w:szCs w:val="21"/>
                      <w:highlight w:val="none"/>
                      <w:lang w:val="en-US" w:eastAsia="zh-CN"/>
                    </w:rPr>
                    <w:instrText xml:space="preserve"> = 2 \* ROMAN </w:instrText>
                  </w:r>
                  <w:r>
                    <w:rPr>
                      <w:rFonts w:hint="default" w:ascii="Times New Roman" w:hAnsi="Times New Roman" w:eastAsia="宋体" w:cs="Times New Roman"/>
                      <w:color w:val="000000" w:themeColor="text1"/>
                      <w:sz w:val="21"/>
                      <w:szCs w:val="21"/>
                      <w:highlight w:val="none"/>
                      <w:lang w:val="en-US" w:eastAsia="zh-CN"/>
                    </w:rPr>
                    <w:fldChar w:fldCharType="separate"/>
                  </w:r>
                  <w:r>
                    <w:rPr>
                      <w:rFonts w:hint="default" w:ascii="Times New Roman" w:hAnsi="Times New Roman" w:eastAsia="宋体" w:cs="Times New Roman"/>
                      <w:color w:val="000000" w:themeColor="text1"/>
                      <w:sz w:val="21"/>
                      <w:szCs w:val="21"/>
                      <w:highlight w:val="none"/>
                      <w:lang w:val="en-US" w:eastAsia="zh-CN"/>
                    </w:rPr>
                    <w:t>II</w:t>
                  </w:r>
                  <w:r>
                    <w:rPr>
                      <w:rFonts w:hint="default" w:ascii="Times New Roman" w:hAnsi="Times New Roman" w:eastAsia="宋体" w:cs="Times New Roman"/>
                      <w:color w:val="000000" w:themeColor="text1"/>
                      <w:sz w:val="21"/>
                      <w:szCs w:val="21"/>
                      <w:highlight w:val="none"/>
                      <w:lang w:val="en-US" w:eastAsia="zh-CN"/>
                    </w:rPr>
                    <w:fldChar w:fldCharType="end"/>
                  </w:r>
                </w:p>
              </w:tc>
            </w:tr>
            <w:tr w14:paraId="21767DC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1493" w:type="pct"/>
                  <w:tcBorders>
                    <w:tl2br w:val="nil"/>
                    <w:tr2bl w:val="nil"/>
                  </w:tcBorders>
                  <w:vAlign w:val="center"/>
                </w:tcPr>
                <w:p w14:paraId="44B2533F">
                  <w:pPr>
                    <w:pStyle w:val="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lang w:val="en-US" w:eastAsia="zh-CN"/>
                    </w:rPr>
                    <w:t>环境低度敏感区（E3）</w:t>
                  </w:r>
                </w:p>
              </w:tc>
              <w:tc>
                <w:tcPr>
                  <w:tcW w:w="874" w:type="pct"/>
                  <w:tcBorders>
                    <w:tl2br w:val="nil"/>
                    <w:tr2bl w:val="nil"/>
                  </w:tcBorders>
                  <w:vAlign w:val="center"/>
                </w:tcPr>
                <w:p w14:paraId="28B5B17F">
                  <w:pPr>
                    <w:pStyle w:val="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lang w:val="en-US" w:eastAsia="zh-CN"/>
                    </w:rPr>
                    <w:fldChar w:fldCharType="begin"/>
                  </w:r>
                  <w:r>
                    <w:rPr>
                      <w:rFonts w:hint="default" w:ascii="Times New Roman" w:hAnsi="Times New Roman" w:eastAsia="宋体" w:cs="Times New Roman"/>
                      <w:color w:val="000000" w:themeColor="text1"/>
                      <w:sz w:val="21"/>
                      <w:szCs w:val="21"/>
                      <w:highlight w:val="none"/>
                      <w:lang w:val="en-US" w:eastAsia="zh-CN"/>
                    </w:rPr>
                    <w:instrText xml:space="preserve"> = 3 \* ROMAN </w:instrText>
                  </w:r>
                  <w:r>
                    <w:rPr>
                      <w:rFonts w:hint="default" w:ascii="Times New Roman" w:hAnsi="Times New Roman" w:eastAsia="宋体" w:cs="Times New Roman"/>
                      <w:color w:val="000000" w:themeColor="text1"/>
                      <w:sz w:val="21"/>
                      <w:szCs w:val="21"/>
                      <w:highlight w:val="none"/>
                      <w:lang w:val="en-US" w:eastAsia="zh-CN"/>
                    </w:rPr>
                    <w:fldChar w:fldCharType="separate"/>
                  </w:r>
                  <w:r>
                    <w:rPr>
                      <w:rFonts w:hint="default" w:ascii="Times New Roman" w:hAnsi="Times New Roman" w:eastAsia="宋体" w:cs="Times New Roman"/>
                      <w:color w:val="000000" w:themeColor="text1"/>
                      <w:sz w:val="21"/>
                      <w:szCs w:val="21"/>
                      <w:highlight w:val="none"/>
                      <w:lang w:val="en-US" w:eastAsia="zh-CN"/>
                    </w:rPr>
                    <w:t>III</w:t>
                  </w:r>
                  <w:r>
                    <w:rPr>
                      <w:rFonts w:hint="default" w:ascii="Times New Roman" w:hAnsi="Times New Roman" w:eastAsia="宋体" w:cs="Times New Roman"/>
                      <w:color w:val="000000" w:themeColor="text1"/>
                      <w:sz w:val="21"/>
                      <w:szCs w:val="21"/>
                      <w:highlight w:val="none"/>
                      <w:lang w:val="en-US" w:eastAsia="zh-CN"/>
                    </w:rPr>
                    <w:fldChar w:fldCharType="end"/>
                  </w:r>
                </w:p>
              </w:tc>
              <w:tc>
                <w:tcPr>
                  <w:tcW w:w="873" w:type="pct"/>
                  <w:tcBorders>
                    <w:tl2br w:val="nil"/>
                    <w:tr2bl w:val="nil"/>
                  </w:tcBorders>
                  <w:vAlign w:val="center"/>
                </w:tcPr>
                <w:p w14:paraId="4BA85066">
                  <w:pPr>
                    <w:pStyle w:val="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lang w:val="en-US" w:eastAsia="zh-CN"/>
                    </w:rPr>
                    <w:fldChar w:fldCharType="begin"/>
                  </w:r>
                  <w:r>
                    <w:rPr>
                      <w:rFonts w:hint="default" w:ascii="Times New Roman" w:hAnsi="Times New Roman" w:eastAsia="宋体" w:cs="Times New Roman"/>
                      <w:color w:val="000000" w:themeColor="text1"/>
                      <w:sz w:val="21"/>
                      <w:szCs w:val="21"/>
                      <w:highlight w:val="none"/>
                      <w:lang w:val="en-US" w:eastAsia="zh-CN"/>
                    </w:rPr>
                    <w:instrText xml:space="preserve"> = 3 \* ROMAN </w:instrText>
                  </w:r>
                  <w:r>
                    <w:rPr>
                      <w:rFonts w:hint="default" w:ascii="Times New Roman" w:hAnsi="Times New Roman" w:eastAsia="宋体" w:cs="Times New Roman"/>
                      <w:color w:val="000000" w:themeColor="text1"/>
                      <w:sz w:val="21"/>
                      <w:szCs w:val="21"/>
                      <w:highlight w:val="none"/>
                      <w:lang w:val="en-US" w:eastAsia="zh-CN"/>
                    </w:rPr>
                    <w:fldChar w:fldCharType="separate"/>
                  </w:r>
                  <w:r>
                    <w:rPr>
                      <w:rFonts w:hint="default" w:ascii="Times New Roman" w:hAnsi="Times New Roman" w:eastAsia="宋体" w:cs="Times New Roman"/>
                      <w:color w:val="000000" w:themeColor="text1"/>
                      <w:sz w:val="21"/>
                      <w:szCs w:val="21"/>
                      <w:highlight w:val="none"/>
                      <w:lang w:val="en-US" w:eastAsia="zh-CN"/>
                    </w:rPr>
                    <w:t>III</w:t>
                  </w:r>
                  <w:r>
                    <w:rPr>
                      <w:rFonts w:hint="default" w:ascii="Times New Roman" w:hAnsi="Times New Roman" w:eastAsia="宋体" w:cs="Times New Roman"/>
                      <w:color w:val="000000" w:themeColor="text1"/>
                      <w:sz w:val="21"/>
                      <w:szCs w:val="21"/>
                      <w:highlight w:val="none"/>
                      <w:lang w:val="en-US" w:eastAsia="zh-CN"/>
                    </w:rPr>
                    <w:fldChar w:fldCharType="end"/>
                  </w:r>
                </w:p>
              </w:tc>
              <w:tc>
                <w:tcPr>
                  <w:tcW w:w="874" w:type="pct"/>
                  <w:tcBorders>
                    <w:tl2br w:val="nil"/>
                    <w:tr2bl w:val="nil"/>
                  </w:tcBorders>
                  <w:vAlign w:val="center"/>
                </w:tcPr>
                <w:p w14:paraId="2A40E90C">
                  <w:pPr>
                    <w:pStyle w:val="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lang w:val="en-US" w:eastAsia="zh-CN"/>
                    </w:rPr>
                    <w:fldChar w:fldCharType="begin"/>
                  </w:r>
                  <w:r>
                    <w:rPr>
                      <w:rFonts w:hint="default" w:ascii="Times New Roman" w:hAnsi="Times New Roman" w:eastAsia="宋体" w:cs="Times New Roman"/>
                      <w:color w:val="000000" w:themeColor="text1"/>
                      <w:sz w:val="21"/>
                      <w:szCs w:val="21"/>
                      <w:highlight w:val="none"/>
                      <w:lang w:val="en-US" w:eastAsia="zh-CN"/>
                    </w:rPr>
                    <w:instrText xml:space="preserve"> = 2 \* ROMAN </w:instrText>
                  </w:r>
                  <w:r>
                    <w:rPr>
                      <w:rFonts w:hint="default" w:ascii="Times New Roman" w:hAnsi="Times New Roman" w:eastAsia="宋体" w:cs="Times New Roman"/>
                      <w:color w:val="000000" w:themeColor="text1"/>
                      <w:sz w:val="21"/>
                      <w:szCs w:val="21"/>
                      <w:highlight w:val="none"/>
                      <w:lang w:val="en-US" w:eastAsia="zh-CN"/>
                    </w:rPr>
                    <w:fldChar w:fldCharType="separate"/>
                  </w:r>
                  <w:r>
                    <w:rPr>
                      <w:rFonts w:hint="default" w:ascii="Times New Roman" w:hAnsi="Times New Roman" w:eastAsia="宋体" w:cs="Times New Roman"/>
                      <w:color w:val="000000" w:themeColor="text1"/>
                      <w:sz w:val="21"/>
                      <w:szCs w:val="21"/>
                      <w:highlight w:val="none"/>
                      <w:lang w:val="en-US" w:eastAsia="zh-CN"/>
                    </w:rPr>
                    <w:t>II</w:t>
                  </w:r>
                  <w:r>
                    <w:rPr>
                      <w:rFonts w:hint="default" w:ascii="Times New Roman" w:hAnsi="Times New Roman" w:eastAsia="宋体" w:cs="Times New Roman"/>
                      <w:color w:val="000000" w:themeColor="text1"/>
                      <w:sz w:val="21"/>
                      <w:szCs w:val="21"/>
                      <w:highlight w:val="none"/>
                      <w:lang w:val="en-US" w:eastAsia="zh-CN"/>
                    </w:rPr>
                    <w:fldChar w:fldCharType="end"/>
                  </w:r>
                </w:p>
              </w:tc>
              <w:tc>
                <w:tcPr>
                  <w:tcW w:w="883" w:type="pct"/>
                  <w:tcBorders>
                    <w:tl2br w:val="nil"/>
                    <w:tr2bl w:val="nil"/>
                  </w:tcBorders>
                  <w:vAlign w:val="center"/>
                </w:tcPr>
                <w:p w14:paraId="15E1507A">
                  <w:pPr>
                    <w:pStyle w:val="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lang w:val="en-US" w:eastAsia="zh-CN"/>
                    </w:rPr>
                    <w:fldChar w:fldCharType="begin"/>
                  </w:r>
                  <w:r>
                    <w:rPr>
                      <w:rFonts w:hint="default" w:ascii="Times New Roman" w:hAnsi="Times New Roman" w:eastAsia="宋体" w:cs="Times New Roman"/>
                      <w:color w:val="000000" w:themeColor="text1"/>
                      <w:sz w:val="21"/>
                      <w:szCs w:val="21"/>
                      <w:highlight w:val="none"/>
                      <w:lang w:val="en-US" w:eastAsia="zh-CN"/>
                    </w:rPr>
                    <w:instrText xml:space="preserve"> = 1 \* ROMAN </w:instrText>
                  </w:r>
                  <w:r>
                    <w:rPr>
                      <w:rFonts w:hint="default" w:ascii="Times New Roman" w:hAnsi="Times New Roman" w:eastAsia="宋体" w:cs="Times New Roman"/>
                      <w:color w:val="000000" w:themeColor="text1"/>
                      <w:sz w:val="21"/>
                      <w:szCs w:val="21"/>
                      <w:highlight w:val="none"/>
                      <w:lang w:val="en-US" w:eastAsia="zh-CN"/>
                    </w:rPr>
                    <w:fldChar w:fldCharType="separate"/>
                  </w:r>
                  <w:r>
                    <w:rPr>
                      <w:rFonts w:hint="default" w:ascii="Times New Roman" w:hAnsi="Times New Roman" w:eastAsia="宋体" w:cs="Times New Roman"/>
                      <w:color w:val="000000" w:themeColor="text1"/>
                      <w:sz w:val="21"/>
                      <w:szCs w:val="21"/>
                      <w:highlight w:val="none"/>
                      <w:lang w:val="en-US" w:eastAsia="zh-CN"/>
                    </w:rPr>
                    <w:t>I</w:t>
                  </w:r>
                  <w:r>
                    <w:rPr>
                      <w:rFonts w:hint="default" w:ascii="Times New Roman" w:hAnsi="Times New Roman" w:eastAsia="宋体" w:cs="Times New Roman"/>
                      <w:color w:val="000000" w:themeColor="text1"/>
                      <w:sz w:val="21"/>
                      <w:szCs w:val="21"/>
                      <w:highlight w:val="none"/>
                      <w:lang w:val="en-US" w:eastAsia="zh-CN"/>
                    </w:rPr>
                    <w:fldChar w:fldCharType="end"/>
                  </w:r>
                </w:p>
              </w:tc>
            </w:tr>
            <w:tr w14:paraId="7F7D6C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5000" w:type="pct"/>
                  <w:gridSpan w:val="5"/>
                  <w:tcBorders>
                    <w:tl2br w:val="nil"/>
                    <w:tr2bl w:val="nil"/>
                  </w:tcBorders>
                  <w:vAlign w:val="center"/>
                </w:tcPr>
                <w:p w14:paraId="57712E75">
                  <w:pPr>
                    <w:pStyle w:val="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lang w:val="en-US" w:eastAsia="zh-CN"/>
                    </w:rPr>
                    <w:t>注：</w:t>
                  </w:r>
                  <w:r>
                    <w:rPr>
                      <w:rFonts w:hint="default" w:ascii="Times New Roman" w:hAnsi="Times New Roman" w:eastAsia="宋体" w:cs="Times New Roman"/>
                      <w:color w:val="000000" w:themeColor="text1"/>
                      <w:sz w:val="21"/>
                      <w:szCs w:val="21"/>
                      <w:highlight w:val="none"/>
                      <w:lang w:val="en-US" w:eastAsia="zh-CN"/>
                    </w:rPr>
                    <w:fldChar w:fldCharType="begin"/>
                  </w:r>
                  <w:r>
                    <w:rPr>
                      <w:rFonts w:hint="default" w:ascii="Times New Roman" w:hAnsi="Times New Roman" w:eastAsia="宋体" w:cs="Times New Roman"/>
                      <w:color w:val="000000" w:themeColor="text1"/>
                      <w:sz w:val="21"/>
                      <w:szCs w:val="21"/>
                      <w:highlight w:val="none"/>
                      <w:lang w:val="en-US" w:eastAsia="zh-CN"/>
                    </w:rPr>
                    <w:instrText xml:space="preserve"> = 4 \* ROMAN </w:instrText>
                  </w:r>
                  <w:r>
                    <w:rPr>
                      <w:rFonts w:hint="default" w:ascii="Times New Roman" w:hAnsi="Times New Roman" w:eastAsia="宋体" w:cs="Times New Roman"/>
                      <w:color w:val="000000" w:themeColor="text1"/>
                      <w:sz w:val="21"/>
                      <w:szCs w:val="21"/>
                      <w:highlight w:val="none"/>
                      <w:lang w:val="en-US" w:eastAsia="zh-CN"/>
                    </w:rPr>
                    <w:fldChar w:fldCharType="separate"/>
                  </w:r>
                  <w:r>
                    <w:rPr>
                      <w:rFonts w:hint="default" w:ascii="Times New Roman" w:hAnsi="Times New Roman" w:eastAsia="宋体" w:cs="Times New Roman"/>
                      <w:color w:val="000000" w:themeColor="text1"/>
                      <w:sz w:val="21"/>
                      <w:szCs w:val="21"/>
                      <w:highlight w:val="none"/>
                      <w:lang w:val="en-US" w:eastAsia="zh-CN"/>
                    </w:rPr>
                    <w:t>IV</w:t>
                  </w:r>
                  <w:r>
                    <w:rPr>
                      <w:rFonts w:hint="default" w:ascii="Times New Roman" w:hAnsi="Times New Roman" w:eastAsia="宋体" w:cs="Times New Roman"/>
                      <w:color w:val="000000" w:themeColor="text1"/>
                      <w:sz w:val="21"/>
                      <w:szCs w:val="21"/>
                      <w:highlight w:val="none"/>
                      <w:lang w:val="en-US" w:eastAsia="zh-CN"/>
                    </w:rPr>
                    <w:fldChar w:fldCharType="end"/>
                  </w:r>
                  <w:r>
                    <w:rPr>
                      <w:rFonts w:hint="default" w:ascii="Times New Roman" w:hAnsi="Times New Roman" w:eastAsia="宋体" w:cs="Times New Roman"/>
                      <w:color w:val="000000" w:themeColor="text1"/>
                      <w:sz w:val="21"/>
                      <w:szCs w:val="21"/>
                      <w:highlight w:val="none"/>
                      <w:lang w:val="en-US" w:eastAsia="zh-CN"/>
                    </w:rPr>
                    <w:t>+为极高环境风险</w:t>
                  </w:r>
                </w:p>
              </w:tc>
            </w:tr>
          </w:tbl>
          <w:p w14:paraId="7DF63C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1"/>
                <w:highlight w:val="none"/>
              </w:rPr>
            </w:pPr>
            <w:r>
              <w:rPr>
                <w:rFonts w:hint="default" w:ascii="Times New Roman" w:hAnsi="Times New Roman" w:eastAsia="宋体" w:cs="Times New Roman"/>
                <w:color w:val="000000" w:themeColor="text1"/>
                <w:sz w:val="24"/>
                <w:szCs w:val="21"/>
                <w:highlight w:val="none"/>
              </w:rPr>
              <w:t>根据《建设项目环境风险评价技术导则》（HJ169-2018）附录C的规定：</w:t>
            </w:r>
          </w:p>
          <w:p w14:paraId="7A5FC7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1"/>
                <w:highlight w:val="none"/>
              </w:rPr>
            </w:pPr>
            <w:r>
              <w:rPr>
                <w:rFonts w:hint="default" w:ascii="Times New Roman" w:hAnsi="Times New Roman" w:eastAsia="宋体" w:cs="Times New Roman"/>
                <w:color w:val="000000" w:themeColor="text1"/>
                <w:sz w:val="24"/>
                <w:szCs w:val="21"/>
                <w:highlight w:val="none"/>
              </w:rPr>
              <w:t>（1）当厂界内只涉及一种危险物质时，计算该物质的总量与其临界量比值，即为Q；</w:t>
            </w:r>
          </w:p>
          <w:p w14:paraId="370698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1"/>
                <w:highlight w:val="none"/>
              </w:rPr>
            </w:pPr>
            <w:r>
              <w:rPr>
                <w:rFonts w:hint="default" w:ascii="Times New Roman" w:hAnsi="Times New Roman" w:eastAsia="宋体" w:cs="Times New Roman"/>
                <w:color w:val="000000" w:themeColor="text1"/>
                <w:sz w:val="24"/>
                <w:szCs w:val="21"/>
                <w:highlight w:val="none"/>
              </w:rPr>
              <w:t>（2）当厂界内存在多种危险物质时，则按式（C.1）计算物质总量与其临界量比值（Q）：</w:t>
            </w:r>
          </w:p>
          <w:p w14:paraId="7B48E935">
            <w:pPr>
              <w:pStyle w:val="62"/>
              <w:rPr>
                <w:rFonts w:hint="default" w:ascii="Times New Roman" w:hAnsi="Times New Roman" w:eastAsia="宋体" w:cs="Times New Roman"/>
                <w:color w:val="000000" w:themeColor="text1"/>
                <w:highlight w:val="none"/>
              </w:rPr>
            </w:pPr>
            <w:r>
              <w:rPr>
                <w:rFonts w:hint="default" w:ascii="Times New Roman" w:hAnsi="Times New Roman" w:eastAsia="宋体" w:cs="Times New Roman"/>
                <w:color w:val="000000" w:themeColor="text1"/>
                <w:sz w:val="24"/>
                <w:szCs w:val="21"/>
                <w:highlight w:val="none"/>
              </w:rPr>
              <w:pict>
                <v:shape id="_x0000_s2807" o:spid="_x0000_s2807" o:spt="75" type="#_x0000_t75" style="position:absolute;left:0pt;margin-left:145.95pt;margin-top:9.55pt;height:35.4pt;width:97.45pt;z-index:251663360;mso-width-relative:page;mso-height-relative:page;" o:ole="t" filled="f" o:preferrelative="t" stroked="f" coordsize="21600,21600">
                  <v:path/>
                  <v:fill on="f" focussize="0,0"/>
                  <v:stroke on="f" joinstyle="miter"/>
                  <v:imagedata r:id="rId11" o:title=""/>
                  <o:lock v:ext="edit" aspectratio="t"/>
                </v:shape>
                <o:OLEObject Type="Embed" ProgID="Equation.3" ShapeID="_x0000_s2807" DrawAspect="Content" ObjectID="_1468075725" r:id="rId10">
                  <o:LockedField>false</o:LockedField>
                </o:OLEObject>
              </w:pict>
            </w:r>
          </w:p>
          <w:p w14:paraId="3E5A76B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themeColor="text1"/>
                <w:sz w:val="24"/>
                <w:szCs w:val="21"/>
                <w:highlight w:val="none"/>
              </w:rPr>
            </w:pPr>
            <w:r>
              <w:rPr>
                <w:rFonts w:hint="default" w:ascii="Times New Roman" w:hAnsi="Times New Roman" w:eastAsia="宋体" w:cs="Times New Roman"/>
                <w:color w:val="000000" w:themeColor="text1"/>
                <w:sz w:val="24"/>
                <w:szCs w:val="21"/>
                <w:highlight w:val="none"/>
              </w:rPr>
              <w:t>Q=</w:t>
            </w:r>
            <w:r>
              <w:rPr>
                <w:rFonts w:hint="default" w:ascii="Times New Roman" w:hAnsi="Times New Roman" w:eastAsia="宋体" w:cs="Times New Roman"/>
                <w:color w:val="000000" w:themeColor="text1"/>
                <w:sz w:val="24"/>
                <w:szCs w:val="21"/>
                <w:highlight w:val="none"/>
                <w:lang w:val="en-US" w:eastAsia="zh-CN"/>
              </w:rPr>
              <w:t xml:space="preserve">                     </w:t>
            </w:r>
            <w:r>
              <w:rPr>
                <w:rFonts w:hint="default" w:ascii="Times New Roman" w:hAnsi="Times New Roman" w:eastAsia="宋体" w:cs="Times New Roman"/>
                <w:color w:val="000000" w:themeColor="text1"/>
                <w:sz w:val="24"/>
                <w:szCs w:val="21"/>
                <w:highlight w:val="none"/>
              </w:rPr>
              <w:t>……………</w:t>
            </w:r>
          </w:p>
          <w:p w14:paraId="0481219B">
            <w:pPr>
              <w:pStyle w:val="62"/>
              <w:rPr>
                <w:rFonts w:hint="default" w:ascii="Times New Roman" w:hAnsi="Times New Roman" w:eastAsia="宋体" w:cs="Times New Roman"/>
                <w:color w:val="000000" w:themeColor="text1"/>
                <w:highlight w:val="none"/>
              </w:rPr>
            </w:pPr>
          </w:p>
          <w:p w14:paraId="7B823B63">
            <w:pPr>
              <w:spacing w:line="360" w:lineRule="auto"/>
              <w:ind w:firstLine="480" w:firstLineChars="200"/>
              <w:rPr>
                <w:rFonts w:hint="default" w:ascii="Times New Roman" w:hAnsi="Times New Roman" w:eastAsia="宋体" w:cs="Times New Roman"/>
                <w:color w:val="000000" w:themeColor="text1"/>
                <w:sz w:val="24"/>
                <w:szCs w:val="21"/>
                <w:highlight w:val="none"/>
              </w:rPr>
            </w:pPr>
            <w:r>
              <w:rPr>
                <w:rFonts w:hint="default" w:ascii="Times New Roman" w:hAnsi="Times New Roman" w:eastAsia="宋体" w:cs="Times New Roman"/>
                <w:color w:val="000000" w:themeColor="text1"/>
                <w:sz w:val="24"/>
                <w:szCs w:val="21"/>
                <w:highlight w:val="none"/>
              </w:rPr>
              <w:t>式中，q</w:t>
            </w:r>
            <w:r>
              <w:rPr>
                <w:rFonts w:hint="default" w:ascii="Times New Roman" w:hAnsi="Times New Roman" w:eastAsia="宋体" w:cs="Times New Roman"/>
                <w:color w:val="000000" w:themeColor="text1"/>
                <w:sz w:val="24"/>
                <w:szCs w:val="21"/>
                <w:highlight w:val="none"/>
                <w:vertAlign w:val="subscript"/>
              </w:rPr>
              <w:t>1</w:t>
            </w:r>
            <w:r>
              <w:rPr>
                <w:rFonts w:hint="default" w:ascii="Times New Roman" w:hAnsi="Times New Roman" w:eastAsia="宋体" w:cs="Times New Roman"/>
                <w:color w:val="000000" w:themeColor="text1"/>
                <w:sz w:val="24"/>
                <w:szCs w:val="21"/>
                <w:highlight w:val="none"/>
              </w:rPr>
              <w:t>，q</w:t>
            </w:r>
            <w:r>
              <w:rPr>
                <w:rFonts w:hint="default" w:ascii="Times New Roman" w:hAnsi="Times New Roman" w:eastAsia="宋体" w:cs="Times New Roman"/>
                <w:color w:val="000000" w:themeColor="text1"/>
                <w:sz w:val="24"/>
                <w:szCs w:val="21"/>
                <w:highlight w:val="none"/>
                <w:vertAlign w:val="subscript"/>
              </w:rPr>
              <w:t>2</w:t>
            </w:r>
            <w:r>
              <w:rPr>
                <w:rFonts w:hint="default" w:ascii="Times New Roman" w:hAnsi="Times New Roman" w:eastAsia="宋体" w:cs="Times New Roman"/>
                <w:color w:val="000000" w:themeColor="text1"/>
                <w:sz w:val="24"/>
                <w:szCs w:val="21"/>
                <w:highlight w:val="none"/>
              </w:rPr>
              <w:t>，…q</w:t>
            </w:r>
            <w:r>
              <w:rPr>
                <w:rFonts w:hint="default" w:ascii="Times New Roman" w:hAnsi="Times New Roman" w:eastAsia="宋体" w:cs="Times New Roman"/>
                <w:color w:val="000000" w:themeColor="text1"/>
                <w:sz w:val="24"/>
                <w:szCs w:val="21"/>
                <w:highlight w:val="none"/>
                <w:vertAlign w:val="subscript"/>
              </w:rPr>
              <w:t>n</w:t>
            </w:r>
            <w:r>
              <w:rPr>
                <w:rFonts w:hint="default" w:ascii="Times New Roman" w:hAnsi="Times New Roman" w:eastAsia="宋体" w:cs="Times New Roman"/>
                <w:color w:val="000000" w:themeColor="text1"/>
                <w:sz w:val="24"/>
                <w:szCs w:val="21"/>
                <w:highlight w:val="none"/>
              </w:rPr>
              <w:t>—每种危险物质的最大存在总量，</w:t>
            </w:r>
            <w:r>
              <w:rPr>
                <w:rFonts w:hint="eastAsia" w:ascii="Times New Roman" w:hAnsi="Times New Roman" w:eastAsia="宋体" w:cs="Times New Roman"/>
                <w:color w:val="000000" w:themeColor="text1"/>
                <w:sz w:val="24"/>
                <w:szCs w:val="21"/>
                <w:highlight w:val="none"/>
                <w:lang w:val="en-US" w:eastAsia="zh-CN"/>
              </w:rPr>
              <w:t>吨</w:t>
            </w:r>
            <w:r>
              <w:rPr>
                <w:rFonts w:hint="default" w:ascii="Times New Roman" w:hAnsi="Times New Roman" w:eastAsia="宋体" w:cs="Times New Roman"/>
                <w:color w:val="000000" w:themeColor="text1"/>
                <w:sz w:val="24"/>
                <w:szCs w:val="21"/>
                <w:highlight w:val="none"/>
              </w:rPr>
              <w:t>；</w:t>
            </w:r>
          </w:p>
          <w:p w14:paraId="1DD5CF90">
            <w:pPr>
              <w:spacing w:line="360" w:lineRule="auto"/>
              <w:ind w:firstLine="480" w:firstLineChars="200"/>
              <w:rPr>
                <w:rFonts w:hint="eastAsia" w:ascii="Times New Roman" w:hAnsi="Times New Roman" w:eastAsia="宋体" w:cs="Times New Roman"/>
                <w:color w:val="000000" w:themeColor="text1"/>
                <w:sz w:val="24"/>
                <w:szCs w:val="21"/>
                <w:highlight w:val="none"/>
                <w:lang w:val="en-US" w:eastAsia="zh-CN"/>
              </w:rPr>
            </w:pPr>
            <w:r>
              <w:rPr>
                <w:rFonts w:hint="default" w:ascii="Times New Roman" w:hAnsi="Times New Roman" w:eastAsia="宋体" w:cs="Times New Roman"/>
                <w:color w:val="000000" w:themeColor="text1"/>
                <w:sz w:val="24"/>
                <w:szCs w:val="21"/>
                <w:highlight w:val="none"/>
              </w:rPr>
              <w:t>Q</w:t>
            </w:r>
            <w:r>
              <w:rPr>
                <w:rFonts w:hint="default" w:ascii="Times New Roman" w:hAnsi="Times New Roman" w:eastAsia="宋体" w:cs="Times New Roman"/>
                <w:color w:val="000000" w:themeColor="text1"/>
                <w:sz w:val="24"/>
                <w:szCs w:val="21"/>
                <w:highlight w:val="none"/>
                <w:vertAlign w:val="subscript"/>
              </w:rPr>
              <w:t>1</w:t>
            </w:r>
            <w:r>
              <w:rPr>
                <w:rFonts w:hint="default" w:ascii="Times New Roman" w:hAnsi="Times New Roman" w:eastAsia="宋体" w:cs="Times New Roman"/>
                <w:color w:val="000000" w:themeColor="text1"/>
                <w:sz w:val="24"/>
                <w:szCs w:val="21"/>
                <w:highlight w:val="none"/>
              </w:rPr>
              <w:t>，Q</w:t>
            </w:r>
            <w:r>
              <w:rPr>
                <w:rFonts w:hint="default" w:ascii="Times New Roman" w:hAnsi="Times New Roman" w:eastAsia="宋体" w:cs="Times New Roman"/>
                <w:color w:val="000000" w:themeColor="text1"/>
                <w:sz w:val="24"/>
                <w:szCs w:val="21"/>
                <w:highlight w:val="none"/>
                <w:vertAlign w:val="subscript"/>
              </w:rPr>
              <w:t>2</w:t>
            </w:r>
            <w:r>
              <w:rPr>
                <w:rFonts w:hint="default" w:ascii="Times New Roman" w:hAnsi="Times New Roman" w:eastAsia="宋体" w:cs="Times New Roman"/>
                <w:color w:val="000000" w:themeColor="text1"/>
                <w:sz w:val="24"/>
                <w:szCs w:val="21"/>
                <w:highlight w:val="none"/>
              </w:rPr>
              <w:t>，…Q</w:t>
            </w:r>
            <w:r>
              <w:rPr>
                <w:rFonts w:hint="default" w:ascii="Times New Roman" w:hAnsi="Times New Roman" w:eastAsia="宋体" w:cs="Times New Roman"/>
                <w:color w:val="000000" w:themeColor="text1"/>
                <w:sz w:val="24"/>
                <w:szCs w:val="21"/>
                <w:highlight w:val="none"/>
                <w:vertAlign w:val="subscript"/>
              </w:rPr>
              <w:t>n</w:t>
            </w:r>
            <w:r>
              <w:rPr>
                <w:rFonts w:hint="default" w:ascii="Times New Roman" w:hAnsi="Times New Roman" w:eastAsia="宋体" w:cs="Times New Roman"/>
                <w:color w:val="000000" w:themeColor="text1"/>
                <w:sz w:val="24"/>
                <w:szCs w:val="21"/>
                <w:highlight w:val="none"/>
              </w:rPr>
              <w:t>——每种危险物质的临界量，</w:t>
            </w:r>
            <w:r>
              <w:rPr>
                <w:rFonts w:hint="eastAsia" w:ascii="Times New Roman" w:hAnsi="Times New Roman" w:eastAsia="宋体" w:cs="Times New Roman"/>
                <w:color w:val="000000" w:themeColor="text1"/>
                <w:sz w:val="24"/>
                <w:szCs w:val="21"/>
                <w:highlight w:val="none"/>
                <w:lang w:val="en-US" w:eastAsia="zh-CN"/>
              </w:rPr>
              <w:t>吨</w:t>
            </w:r>
            <w:r>
              <w:rPr>
                <w:rFonts w:hint="default" w:ascii="Times New Roman" w:hAnsi="Times New Roman" w:eastAsia="宋体" w:cs="Times New Roman"/>
                <w:color w:val="000000" w:themeColor="text1"/>
                <w:sz w:val="24"/>
                <w:szCs w:val="21"/>
                <w:highlight w:val="none"/>
              </w:rPr>
              <w:t>。</w:t>
            </w:r>
          </w:p>
          <w:p w14:paraId="0B88B8FA">
            <w:pPr>
              <w:spacing w:line="360" w:lineRule="auto"/>
              <w:ind w:firstLine="480" w:firstLineChars="200"/>
              <w:rPr>
                <w:rFonts w:hint="default" w:ascii="Times New Roman" w:hAnsi="Times New Roman" w:eastAsia="宋体" w:cs="Times New Roman"/>
                <w:color w:val="000000" w:themeColor="text1"/>
                <w:sz w:val="24"/>
                <w:szCs w:val="21"/>
                <w:highlight w:val="none"/>
              </w:rPr>
            </w:pPr>
            <w:r>
              <w:rPr>
                <w:rFonts w:hint="default" w:ascii="Times New Roman" w:hAnsi="Times New Roman" w:eastAsia="宋体" w:cs="Times New Roman"/>
                <w:color w:val="000000" w:themeColor="text1"/>
                <w:sz w:val="24"/>
                <w:szCs w:val="21"/>
                <w:highlight w:val="none"/>
              </w:rPr>
              <w:t>当Q＜1时，该项目环境风险潜势为Ⅰ。</w:t>
            </w:r>
          </w:p>
          <w:p w14:paraId="75FCAAD7">
            <w:pPr>
              <w:spacing w:line="360" w:lineRule="auto"/>
              <w:ind w:firstLine="480" w:firstLineChars="200"/>
              <w:rPr>
                <w:rFonts w:hint="default" w:ascii="Times New Roman" w:hAnsi="Times New Roman" w:eastAsia="宋体" w:cs="Times New Roman"/>
                <w:color w:val="000000" w:themeColor="text1"/>
                <w:sz w:val="24"/>
                <w:szCs w:val="21"/>
                <w:highlight w:val="none"/>
              </w:rPr>
            </w:pPr>
            <w:r>
              <w:rPr>
                <w:rFonts w:hint="default" w:ascii="Times New Roman" w:hAnsi="Times New Roman" w:eastAsia="宋体" w:cs="Times New Roman"/>
                <w:color w:val="000000" w:themeColor="text1"/>
                <w:sz w:val="24"/>
                <w:szCs w:val="21"/>
                <w:highlight w:val="none"/>
              </w:rPr>
              <w:t>当Q≥1时，将Q值划分为：</w:t>
            </w:r>
            <w:r>
              <w:rPr>
                <w:rFonts w:hint="default" w:ascii="Times New Roman" w:hAnsi="Times New Roman" w:eastAsia="宋体" w:cs="Times New Roman"/>
                <w:color w:val="000000" w:themeColor="text1"/>
                <w:sz w:val="24"/>
                <w:szCs w:val="21"/>
                <w:highlight w:val="none"/>
              </w:rPr>
              <w:fldChar w:fldCharType="begin"/>
            </w:r>
            <w:r>
              <w:rPr>
                <w:rFonts w:hint="default" w:ascii="Times New Roman" w:hAnsi="Times New Roman" w:eastAsia="宋体" w:cs="Times New Roman"/>
                <w:color w:val="000000" w:themeColor="text1"/>
                <w:sz w:val="24"/>
                <w:szCs w:val="21"/>
                <w:highlight w:val="none"/>
              </w:rPr>
              <w:instrText xml:space="preserve">= 1 \* GB3</w:instrText>
            </w:r>
            <w:r>
              <w:rPr>
                <w:rFonts w:hint="default" w:ascii="Times New Roman" w:hAnsi="Times New Roman" w:eastAsia="宋体" w:cs="Times New Roman"/>
                <w:color w:val="000000" w:themeColor="text1"/>
                <w:sz w:val="24"/>
                <w:szCs w:val="21"/>
                <w:highlight w:val="none"/>
              </w:rPr>
              <w:fldChar w:fldCharType="separate"/>
            </w:r>
            <w:r>
              <w:rPr>
                <w:rFonts w:hint="default" w:ascii="Times New Roman" w:hAnsi="Times New Roman" w:eastAsia="宋体" w:cs="Times New Roman"/>
                <w:color w:val="000000" w:themeColor="text1"/>
                <w:sz w:val="24"/>
                <w:szCs w:val="21"/>
                <w:highlight w:val="none"/>
              </w:rPr>
              <w:t>①</w:t>
            </w:r>
            <w:r>
              <w:rPr>
                <w:rFonts w:hint="default" w:ascii="Times New Roman" w:hAnsi="Times New Roman" w:eastAsia="宋体" w:cs="Times New Roman"/>
                <w:color w:val="000000" w:themeColor="text1"/>
                <w:sz w:val="24"/>
                <w:szCs w:val="21"/>
                <w:highlight w:val="none"/>
              </w:rPr>
              <w:fldChar w:fldCharType="end"/>
            </w:r>
            <w:r>
              <w:rPr>
                <w:rFonts w:hint="default" w:ascii="Times New Roman" w:hAnsi="Times New Roman" w:eastAsia="宋体" w:cs="Times New Roman"/>
                <w:color w:val="000000" w:themeColor="text1"/>
                <w:sz w:val="24"/>
                <w:szCs w:val="21"/>
                <w:highlight w:val="none"/>
              </w:rPr>
              <w:t>1≤Q＜10；</w:t>
            </w:r>
            <w:r>
              <w:rPr>
                <w:rFonts w:hint="default" w:ascii="Times New Roman" w:hAnsi="Times New Roman" w:eastAsia="宋体" w:cs="Times New Roman"/>
                <w:color w:val="000000" w:themeColor="text1"/>
                <w:sz w:val="24"/>
                <w:szCs w:val="21"/>
                <w:highlight w:val="none"/>
              </w:rPr>
              <w:fldChar w:fldCharType="begin"/>
            </w:r>
            <w:r>
              <w:rPr>
                <w:rFonts w:hint="default" w:ascii="Times New Roman" w:hAnsi="Times New Roman" w:eastAsia="宋体" w:cs="Times New Roman"/>
                <w:color w:val="000000" w:themeColor="text1"/>
                <w:sz w:val="24"/>
                <w:szCs w:val="21"/>
                <w:highlight w:val="none"/>
              </w:rPr>
              <w:instrText xml:space="preserve">= 2 \* GB3</w:instrText>
            </w:r>
            <w:r>
              <w:rPr>
                <w:rFonts w:hint="default" w:ascii="Times New Roman" w:hAnsi="Times New Roman" w:eastAsia="宋体" w:cs="Times New Roman"/>
                <w:color w:val="000000" w:themeColor="text1"/>
                <w:sz w:val="24"/>
                <w:szCs w:val="21"/>
                <w:highlight w:val="none"/>
              </w:rPr>
              <w:fldChar w:fldCharType="separate"/>
            </w:r>
            <w:r>
              <w:rPr>
                <w:rFonts w:hint="default" w:ascii="Times New Roman" w:hAnsi="Times New Roman" w:eastAsia="宋体" w:cs="Times New Roman"/>
                <w:color w:val="000000" w:themeColor="text1"/>
                <w:sz w:val="24"/>
                <w:szCs w:val="21"/>
                <w:highlight w:val="none"/>
              </w:rPr>
              <w:t>②</w:t>
            </w:r>
            <w:r>
              <w:rPr>
                <w:rFonts w:hint="default" w:ascii="Times New Roman" w:hAnsi="Times New Roman" w:eastAsia="宋体" w:cs="Times New Roman"/>
                <w:color w:val="000000" w:themeColor="text1"/>
                <w:sz w:val="24"/>
                <w:szCs w:val="21"/>
                <w:highlight w:val="none"/>
              </w:rPr>
              <w:fldChar w:fldCharType="end"/>
            </w:r>
            <w:r>
              <w:rPr>
                <w:rFonts w:hint="default" w:ascii="Times New Roman" w:hAnsi="Times New Roman" w:eastAsia="宋体" w:cs="Times New Roman"/>
                <w:color w:val="000000" w:themeColor="text1"/>
                <w:sz w:val="24"/>
                <w:szCs w:val="21"/>
                <w:highlight w:val="none"/>
              </w:rPr>
              <w:t>10≤Q＜100；</w:t>
            </w:r>
            <w:r>
              <w:rPr>
                <w:rFonts w:hint="default" w:ascii="Times New Roman" w:hAnsi="Times New Roman" w:eastAsia="宋体" w:cs="Times New Roman"/>
                <w:color w:val="000000" w:themeColor="text1"/>
                <w:sz w:val="24"/>
                <w:szCs w:val="21"/>
                <w:highlight w:val="none"/>
              </w:rPr>
              <w:fldChar w:fldCharType="begin"/>
            </w:r>
            <w:r>
              <w:rPr>
                <w:rFonts w:hint="default" w:ascii="Times New Roman" w:hAnsi="Times New Roman" w:eastAsia="宋体" w:cs="Times New Roman"/>
                <w:color w:val="000000" w:themeColor="text1"/>
                <w:sz w:val="24"/>
                <w:szCs w:val="21"/>
                <w:highlight w:val="none"/>
              </w:rPr>
              <w:instrText xml:space="preserve">= 3 \* GB3</w:instrText>
            </w:r>
            <w:r>
              <w:rPr>
                <w:rFonts w:hint="default" w:ascii="Times New Roman" w:hAnsi="Times New Roman" w:eastAsia="宋体" w:cs="Times New Roman"/>
                <w:color w:val="000000" w:themeColor="text1"/>
                <w:sz w:val="24"/>
                <w:szCs w:val="21"/>
                <w:highlight w:val="none"/>
              </w:rPr>
              <w:fldChar w:fldCharType="separate"/>
            </w:r>
            <w:r>
              <w:rPr>
                <w:rFonts w:hint="default" w:ascii="Times New Roman" w:hAnsi="Times New Roman" w:eastAsia="宋体" w:cs="Times New Roman"/>
                <w:color w:val="000000" w:themeColor="text1"/>
                <w:sz w:val="24"/>
                <w:szCs w:val="21"/>
                <w:highlight w:val="none"/>
              </w:rPr>
              <w:t>③</w:t>
            </w:r>
            <w:r>
              <w:rPr>
                <w:rFonts w:hint="default" w:ascii="Times New Roman" w:hAnsi="Times New Roman" w:eastAsia="宋体" w:cs="Times New Roman"/>
                <w:color w:val="000000" w:themeColor="text1"/>
                <w:sz w:val="24"/>
                <w:szCs w:val="21"/>
                <w:highlight w:val="none"/>
              </w:rPr>
              <w:fldChar w:fldCharType="end"/>
            </w:r>
            <w:r>
              <w:rPr>
                <w:rFonts w:hint="default" w:ascii="Times New Roman" w:hAnsi="Times New Roman" w:eastAsia="宋体" w:cs="Times New Roman"/>
                <w:color w:val="000000" w:themeColor="text1"/>
                <w:sz w:val="24"/>
                <w:szCs w:val="21"/>
                <w:highlight w:val="none"/>
              </w:rPr>
              <w:t>Q≥100。</w:t>
            </w:r>
          </w:p>
          <w:p w14:paraId="654FCA2F">
            <w:pPr>
              <w:spacing w:line="360" w:lineRule="auto"/>
              <w:ind w:firstLine="480" w:firstLineChars="200"/>
              <w:rPr>
                <w:rFonts w:hint="default" w:ascii="Times New Roman" w:hAnsi="Times New Roman" w:eastAsia="宋体" w:cs="Times New Roman"/>
                <w:color w:val="000000" w:themeColor="text1"/>
                <w:sz w:val="24"/>
                <w:szCs w:val="21"/>
                <w:highlight w:val="none"/>
                <w:lang w:val="en-US"/>
              </w:rPr>
            </w:pPr>
            <w:r>
              <w:rPr>
                <w:rFonts w:hint="default" w:ascii="Times New Roman" w:hAnsi="Times New Roman" w:eastAsia="宋体" w:cs="Times New Roman"/>
                <w:color w:val="000000" w:themeColor="text1"/>
                <w:sz w:val="24"/>
                <w:szCs w:val="21"/>
                <w:highlight w:val="none"/>
              </w:rPr>
              <w:t>经计算，本项目的Q值为0.</w:t>
            </w:r>
            <w:r>
              <w:rPr>
                <w:rFonts w:hint="eastAsia" w:ascii="Times New Roman" w:hAnsi="Times New Roman" w:eastAsia="宋体" w:cs="Times New Roman"/>
                <w:color w:val="000000" w:themeColor="text1"/>
                <w:sz w:val="24"/>
                <w:szCs w:val="21"/>
                <w:highlight w:val="none"/>
                <w:lang w:val="en-US" w:eastAsia="zh-CN"/>
              </w:rPr>
              <w:t>000004</w:t>
            </w:r>
            <w:r>
              <w:rPr>
                <w:rFonts w:hint="default" w:ascii="Times New Roman" w:hAnsi="Times New Roman" w:eastAsia="宋体" w:cs="Times New Roman"/>
                <w:color w:val="000000" w:themeColor="text1"/>
                <w:sz w:val="24"/>
                <w:szCs w:val="21"/>
                <w:highlight w:val="none"/>
              </w:rPr>
              <w:t>，</w:t>
            </w:r>
            <w:r>
              <w:rPr>
                <w:rFonts w:hint="default" w:ascii="Times New Roman" w:hAnsi="Times New Roman" w:eastAsia="宋体" w:cs="Times New Roman"/>
                <w:color w:val="000000" w:themeColor="text1"/>
                <w:sz w:val="24"/>
                <w:szCs w:val="21"/>
                <w:highlight w:val="none"/>
                <w:lang w:val="en-US" w:eastAsia="zh-CN"/>
              </w:rPr>
              <w:t>因为Q＜1，所以直接判定该项目环境风险潜势为Ⅰ</w:t>
            </w:r>
            <w:r>
              <w:rPr>
                <w:rFonts w:hint="eastAsia" w:ascii="Times New Roman" w:hAnsi="Times New Roman" w:eastAsia="宋体" w:cs="Times New Roman"/>
                <w:color w:val="000000" w:themeColor="text1"/>
                <w:sz w:val="24"/>
                <w:szCs w:val="21"/>
                <w:highlight w:val="none"/>
                <w:lang w:val="en-US" w:eastAsia="zh-CN"/>
              </w:rPr>
              <w:t>。</w:t>
            </w:r>
            <w:r>
              <w:rPr>
                <w:rFonts w:hint="default" w:ascii="Times New Roman" w:hAnsi="Times New Roman" w:eastAsia="宋体" w:cs="Times New Roman"/>
                <w:color w:val="000000" w:themeColor="text1"/>
                <w:sz w:val="24"/>
                <w:szCs w:val="21"/>
                <w:highlight w:val="none"/>
              </w:rPr>
              <w:t>具体见</w:t>
            </w:r>
            <w:r>
              <w:rPr>
                <w:rFonts w:hint="eastAsia" w:ascii="Times New Roman" w:hAnsi="Times New Roman" w:eastAsia="宋体" w:cs="Times New Roman"/>
                <w:color w:val="000000" w:themeColor="text1"/>
                <w:sz w:val="24"/>
                <w:szCs w:val="21"/>
                <w:highlight w:val="none"/>
                <w:lang w:val="en-US" w:eastAsia="zh-CN"/>
              </w:rPr>
              <w:t>下</w:t>
            </w:r>
            <w:r>
              <w:rPr>
                <w:rFonts w:hint="default" w:ascii="Times New Roman" w:hAnsi="Times New Roman" w:eastAsia="宋体" w:cs="Times New Roman"/>
                <w:color w:val="000000" w:themeColor="text1"/>
                <w:sz w:val="24"/>
                <w:szCs w:val="21"/>
                <w:highlight w:val="none"/>
              </w:rPr>
              <w:t>表</w:t>
            </w:r>
            <w:r>
              <w:rPr>
                <w:rFonts w:hint="eastAsia" w:ascii="Times New Roman" w:hAnsi="Times New Roman" w:eastAsia="宋体" w:cs="Times New Roman"/>
                <w:color w:val="000000" w:themeColor="text1"/>
                <w:sz w:val="24"/>
                <w:szCs w:val="21"/>
                <w:highlight w:val="none"/>
                <w:lang w:val="en-US" w:eastAsia="zh-CN"/>
              </w:rPr>
              <w:t>。</w:t>
            </w:r>
          </w:p>
          <w:p w14:paraId="6FC438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snapToGrid w:val="0"/>
                <w:color w:val="000000" w:themeColor="text1"/>
                <w:kern w:val="2"/>
                <w:sz w:val="21"/>
                <w:szCs w:val="21"/>
                <w:highlight w:val="none"/>
                <w:lang w:val="en-US" w:eastAsia="zh-CN" w:bidi="ar-SA"/>
              </w:rPr>
            </w:pPr>
            <w:r>
              <w:rPr>
                <w:rFonts w:hint="default" w:ascii="Times New Roman" w:hAnsi="Times New Roman" w:eastAsia="宋体" w:cs="Times New Roman"/>
                <w:b/>
                <w:snapToGrid w:val="0"/>
                <w:color w:val="000000" w:themeColor="text1"/>
                <w:kern w:val="2"/>
                <w:sz w:val="21"/>
                <w:szCs w:val="21"/>
                <w:highlight w:val="none"/>
                <w:lang w:val="en-US" w:eastAsia="zh-CN" w:bidi="ar-SA"/>
              </w:rPr>
              <w:t>表4-1</w:t>
            </w:r>
            <w:r>
              <w:rPr>
                <w:rFonts w:hint="eastAsia" w:ascii="Times New Roman" w:hAnsi="Times New Roman" w:eastAsia="宋体" w:cs="Times New Roman"/>
                <w:b/>
                <w:snapToGrid w:val="0"/>
                <w:color w:val="000000" w:themeColor="text1"/>
                <w:kern w:val="2"/>
                <w:sz w:val="21"/>
                <w:szCs w:val="21"/>
                <w:highlight w:val="none"/>
                <w:lang w:val="en-US" w:eastAsia="zh-CN" w:bidi="ar-SA"/>
              </w:rPr>
              <w:t>8</w:t>
            </w:r>
            <w:r>
              <w:rPr>
                <w:rFonts w:hint="default" w:ascii="Times New Roman" w:hAnsi="Times New Roman" w:eastAsia="宋体" w:cs="Times New Roman"/>
                <w:b/>
                <w:snapToGrid w:val="0"/>
                <w:color w:val="000000" w:themeColor="text1"/>
                <w:kern w:val="2"/>
                <w:sz w:val="21"/>
                <w:szCs w:val="21"/>
                <w:highlight w:val="none"/>
                <w:lang w:val="en-US" w:eastAsia="zh-CN" w:bidi="ar-SA"/>
              </w:rPr>
              <w:t xml:space="preserve">    建设项目Q值确定表</w:t>
            </w:r>
          </w:p>
          <w:tbl>
            <w:tblPr>
              <w:tblStyle w:val="24"/>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748"/>
              <w:gridCol w:w="1651"/>
              <w:gridCol w:w="1726"/>
              <w:gridCol w:w="2226"/>
              <w:gridCol w:w="2780"/>
            </w:tblGrid>
            <w:tr w14:paraId="1355B23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444" w:type="pct"/>
                  <w:tcBorders>
                    <w:tl2br w:val="nil"/>
                    <w:tr2bl w:val="nil"/>
                  </w:tcBorders>
                  <w:vAlign w:val="center"/>
                </w:tcPr>
                <w:p w14:paraId="12F5CBD8">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color w:val="000000" w:themeColor="text1"/>
                      <w:kern w:val="2"/>
                      <w:sz w:val="21"/>
                      <w:szCs w:val="21"/>
                      <w:highlight w:val="none"/>
                      <w:lang w:val="zh-CN" w:eastAsia="zh-CN" w:bidi="zh-CN"/>
                    </w:rPr>
                  </w:pPr>
                  <w:r>
                    <w:rPr>
                      <w:rFonts w:hint="default" w:ascii="Times New Roman" w:hAnsi="Times New Roman" w:eastAsia="宋体" w:cs="Times New Roman"/>
                      <w:color w:val="000000" w:themeColor="text1"/>
                      <w:kern w:val="2"/>
                      <w:sz w:val="21"/>
                      <w:szCs w:val="21"/>
                      <w:highlight w:val="none"/>
                      <w:lang w:val="zh-CN" w:eastAsia="zh-CN" w:bidi="zh-CN"/>
                    </w:rPr>
                    <w:t>序号</w:t>
                  </w:r>
                </w:p>
              </w:tc>
              <w:tc>
                <w:tcPr>
                  <w:tcW w:w="980" w:type="pct"/>
                  <w:tcBorders>
                    <w:tl2br w:val="nil"/>
                    <w:tr2bl w:val="nil"/>
                  </w:tcBorders>
                  <w:vAlign w:val="center"/>
                </w:tcPr>
                <w:p w14:paraId="72C96DB4">
                  <w:pPr>
                    <w:pStyle w:val="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kern w:val="2"/>
                      <w:sz w:val="21"/>
                      <w:szCs w:val="21"/>
                      <w:highlight w:val="none"/>
                      <w:lang w:val="zh-CN" w:eastAsia="zh-CN" w:bidi="zh-CN"/>
                    </w:rPr>
                  </w:pPr>
                  <w:r>
                    <w:rPr>
                      <w:rFonts w:hint="eastAsia" w:ascii="Times New Roman" w:hAnsi="Times New Roman" w:eastAsia="宋体" w:cs="Times New Roman"/>
                      <w:color w:val="000000" w:themeColor="text1"/>
                      <w:sz w:val="21"/>
                      <w:szCs w:val="21"/>
                      <w:highlight w:val="none"/>
                      <w:lang w:val="en-US" w:eastAsia="zh-CN"/>
                    </w:rPr>
                    <w:t>风险物质</w:t>
                  </w:r>
                </w:p>
              </w:tc>
              <w:tc>
                <w:tcPr>
                  <w:tcW w:w="1025" w:type="pct"/>
                  <w:tcBorders>
                    <w:tl2br w:val="nil"/>
                    <w:tr2bl w:val="nil"/>
                  </w:tcBorders>
                  <w:vAlign w:val="center"/>
                </w:tcPr>
                <w:p w14:paraId="0B852F68">
                  <w:pPr>
                    <w:pStyle w:val="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kern w:val="2"/>
                      <w:sz w:val="21"/>
                      <w:szCs w:val="21"/>
                      <w:highlight w:val="none"/>
                      <w:lang w:val="en-US" w:eastAsia="zh-CN" w:bidi="zh-CN"/>
                    </w:rPr>
                  </w:pPr>
                  <w:r>
                    <w:rPr>
                      <w:rFonts w:hint="eastAsia" w:ascii="Times New Roman" w:hAnsi="Times New Roman" w:eastAsia="宋体" w:cs="Times New Roman"/>
                      <w:color w:val="000000" w:themeColor="text1"/>
                      <w:sz w:val="21"/>
                      <w:szCs w:val="21"/>
                      <w:highlight w:val="none"/>
                      <w:lang w:val="en-US" w:eastAsia="zh-CN"/>
                    </w:rPr>
                    <w:t>最大储存量（吨）</w:t>
                  </w:r>
                </w:p>
              </w:tc>
              <w:tc>
                <w:tcPr>
                  <w:tcW w:w="1027" w:type="pct"/>
                  <w:tcBorders>
                    <w:tl2br w:val="nil"/>
                    <w:tr2bl w:val="nil"/>
                  </w:tcBorders>
                  <w:vAlign w:val="center"/>
                </w:tcPr>
                <w:p w14:paraId="4039CF5B">
                  <w:pPr>
                    <w:pStyle w:val="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kern w:val="2"/>
                      <w:sz w:val="21"/>
                      <w:szCs w:val="21"/>
                      <w:highlight w:val="none"/>
                      <w:lang w:val="zh-CN" w:eastAsia="zh-CN" w:bidi="zh-CN"/>
                    </w:rPr>
                  </w:pPr>
                  <w:r>
                    <w:rPr>
                      <w:rFonts w:hint="eastAsia" w:ascii="Times New Roman" w:hAnsi="Times New Roman" w:eastAsia="宋体" w:cs="Times New Roman"/>
                      <w:color w:val="000000" w:themeColor="text1"/>
                      <w:sz w:val="21"/>
                      <w:szCs w:val="21"/>
                      <w:highlight w:val="none"/>
                      <w:lang w:val="en-US" w:eastAsia="zh-CN"/>
                    </w:rPr>
                    <w:t>临界量（吨）</w:t>
                  </w:r>
                </w:p>
              </w:tc>
              <w:tc>
                <w:tcPr>
                  <w:tcW w:w="1522" w:type="pct"/>
                  <w:tcBorders>
                    <w:tl2br w:val="nil"/>
                    <w:tr2bl w:val="nil"/>
                  </w:tcBorders>
                  <w:vAlign w:val="center"/>
                </w:tcPr>
                <w:p w14:paraId="5E5DB465">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color w:val="000000" w:themeColor="text1"/>
                      <w:kern w:val="2"/>
                      <w:sz w:val="21"/>
                      <w:szCs w:val="21"/>
                      <w:highlight w:val="none"/>
                      <w:lang w:val="zh-CN" w:eastAsia="zh-CN" w:bidi="zh-CN"/>
                    </w:rPr>
                  </w:pPr>
                  <w:r>
                    <w:rPr>
                      <w:rFonts w:hint="default" w:ascii="Times New Roman" w:hAnsi="Times New Roman" w:eastAsia="宋体" w:cs="Times New Roman"/>
                      <w:color w:val="000000" w:themeColor="text1"/>
                      <w:kern w:val="2"/>
                      <w:sz w:val="21"/>
                      <w:szCs w:val="21"/>
                      <w:highlight w:val="none"/>
                      <w:lang w:val="zh-CN" w:eastAsia="zh-CN" w:bidi="zh-CN"/>
                    </w:rPr>
                    <w:t>该种危险物质Q值</w:t>
                  </w:r>
                </w:p>
              </w:tc>
            </w:tr>
            <w:tr w14:paraId="1C1F440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444" w:type="pct"/>
                  <w:tcBorders>
                    <w:tl2br w:val="nil"/>
                    <w:tr2bl w:val="nil"/>
                  </w:tcBorders>
                  <w:vAlign w:val="center"/>
                </w:tcPr>
                <w:p w14:paraId="03C80799">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zh-CN"/>
                    </w:rPr>
                  </w:pPr>
                  <w:r>
                    <w:rPr>
                      <w:rFonts w:hint="eastAsia" w:ascii="Times New Roman" w:hAnsi="Times New Roman" w:eastAsia="宋体" w:cs="Times New Roman"/>
                      <w:color w:val="000000" w:themeColor="text1"/>
                      <w:kern w:val="2"/>
                      <w:sz w:val="21"/>
                      <w:szCs w:val="21"/>
                      <w:highlight w:val="none"/>
                      <w:lang w:val="en-US" w:eastAsia="zh-CN" w:bidi="zh-CN"/>
                    </w:rPr>
                    <w:t>1</w:t>
                  </w:r>
                </w:p>
              </w:tc>
              <w:tc>
                <w:tcPr>
                  <w:tcW w:w="980" w:type="pct"/>
                  <w:tcBorders>
                    <w:tl2br w:val="nil"/>
                    <w:tr2bl w:val="nil"/>
                  </w:tcBorders>
                  <w:vAlign w:val="center"/>
                </w:tcPr>
                <w:p w14:paraId="7B9239E4">
                  <w:pPr>
                    <w:pStyle w:val="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kern w:val="2"/>
                      <w:sz w:val="21"/>
                      <w:szCs w:val="21"/>
                      <w:highlight w:val="none"/>
                      <w:lang w:val="en-US" w:eastAsia="zh-CN" w:bidi="zh-CN"/>
                    </w:rPr>
                  </w:pPr>
                  <w:r>
                    <w:rPr>
                      <w:rFonts w:hint="eastAsia" w:ascii="Times New Roman" w:hAnsi="Times New Roman" w:eastAsia="宋体" w:cs="Times New Roman"/>
                      <w:color w:val="000000" w:themeColor="text1"/>
                      <w:sz w:val="21"/>
                      <w:szCs w:val="21"/>
                      <w:highlight w:val="none"/>
                      <w:lang w:val="en-US" w:eastAsia="zh-CN"/>
                    </w:rPr>
                    <w:t>废机油</w:t>
                  </w:r>
                </w:p>
              </w:tc>
              <w:tc>
                <w:tcPr>
                  <w:tcW w:w="1025" w:type="pct"/>
                  <w:tcBorders>
                    <w:tl2br w:val="nil"/>
                    <w:tr2bl w:val="nil"/>
                  </w:tcBorders>
                  <w:vAlign w:val="center"/>
                </w:tcPr>
                <w:p w14:paraId="155ED0B7">
                  <w:pPr>
                    <w:pStyle w:val="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kern w:val="2"/>
                      <w:sz w:val="21"/>
                      <w:szCs w:val="21"/>
                      <w:highlight w:val="none"/>
                      <w:lang w:val="en-US" w:eastAsia="zh-CN" w:bidi="zh-CN"/>
                    </w:rPr>
                  </w:pPr>
                  <w:r>
                    <w:rPr>
                      <w:rFonts w:hint="default" w:ascii="Times New Roman" w:hAnsi="Times New Roman" w:eastAsia="宋体" w:cs="Times New Roman"/>
                      <w:color w:val="000000" w:themeColor="text1"/>
                      <w:sz w:val="21"/>
                      <w:szCs w:val="21"/>
                      <w:highlight w:val="none"/>
                      <w:lang w:val="en-US" w:eastAsia="zh-CN"/>
                    </w:rPr>
                    <w:t>0.</w:t>
                  </w:r>
                  <w:r>
                    <w:rPr>
                      <w:rFonts w:hint="eastAsia" w:ascii="Times New Roman" w:hAnsi="Times New Roman" w:eastAsia="宋体" w:cs="Times New Roman"/>
                      <w:color w:val="000000" w:themeColor="text1"/>
                      <w:sz w:val="21"/>
                      <w:szCs w:val="21"/>
                      <w:highlight w:val="none"/>
                      <w:lang w:val="en-US" w:eastAsia="zh-CN"/>
                    </w:rPr>
                    <w:t>1</w:t>
                  </w:r>
                </w:p>
              </w:tc>
              <w:tc>
                <w:tcPr>
                  <w:tcW w:w="1027" w:type="pct"/>
                  <w:tcBorders>
                    <w:tl2br w:val="nil"/>
                    <w:tr2bl w:val="nil"/>
                  </w:tcBorders>
                  <w:vAlign w:val="center"/>
                </w:tcPr>
                <w:p w14:paraId="6E019C03">
                  <w:pPr>
                    <w:pStyle w:val="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kern w:val="2"/>
                      <w:sz w:val="21"/>
                      <w:szCs w:val="21"/>
                      <w:highlight w:val="none"/>
                      <w:lang w:val="en-US" w:eastAsia="zh-CN" w:bidi="zh-CN"/>
                    </w:rPr>
                  </w:pPr>
                  <w:r>
                    <w:rPr>
                      <w:rFonts w:hint="default" w:ascii="Times New Roman" w:hAnsi="Times New Roman" w:eastAsia="宋体" w:cs="Times New Roman"/>
                      <w:color w:val="000000" w:themeColor="text1"/>
                      <w:sz w:val="21"/>
                      <w:szCs w:val="21"/>
                      <w:highlight w:val="none"/>
                      <w:lang w:val="en-US" w:eastAsia="zh-CN"/>
                    </w:rPr>
                    <w:t>2500</w:t>
                  </w:r>
                </w:p>
              </w:tc>
              <w:tc>
                <w:tcPr>
                  <w:tcW w:w="1522" w:type="pct"/>
                  <w:tcBorders>
                    <w:tl2br w:val="nil"/>
                    <w:tr2bl w:val="nil"/>
                  </w:tcBorders>
                  <w:vAlign w:val="center"/>
                </w:tcPr>
                <w:p w14:paraId="1665AEF9">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zh-CN"/>
                    </w:rPr>
                  </w:pPr>
                  <w:r>
                    <w:rPr>
                      <w:rFonts w:hint="default" w:ascii="Times New Roman" w:hAnsi="Times New Roman" w:eastAsia="宋体" w:cs="Times New Roman"/>
                      <w:color w:val="000000" w:themeColor="text1"/>
                      <w:kern w:val="2"/>
                      <w:sz w:val="21"/>
                      <w:szCs w:val="21"/>
                      <w:highlight w:val="none"/>
                      <w:lang w:val="en-US" w:eastAsia="zh-CN" w:bidi="zh-CN"/>
                    </w:rPr>
                    <w:t>0.</w:t>
                  </w:r>
                  <w:r>
                    <w:rPr>
                      <w:rFonts w:hint="eastAsia" w:ascii="Times New Roman" w:hAnsi="Times New Roman" w:eastAsia="宋体" w:cs="Times New Roman"/>
                      <w:color w:val="000000" w:themeColor="text1"/>
                      <w:kern w:val="2"/>
                      <w:sz w:val="21"/>
                      <w:szCs w:val="21"/>
                      <w:highlight w:val="none"/>
                      <w:lang w:val="en-US" w:eastAsia="zh-CN" w:bidi="zh-CN"/>
                    </w:rPr>
                    <w:t>00004</w:t>
                  </w:r>
                </w:p>
              </w:tc>
            </w:tr>
            <w:tr w14:paraId="355EA5F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748" w:type="dxa"/>
                  <w:tcBorders>
                    <w:tl2br w:val="nil"/>
                    <w:tr2bl w:val="nil"/>
                  </w:tcBorders>
                  <w:vAlign w:val="center"/>
                </w:tcPr>
                <w:p w14:paraId="54901604">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ascii="Times New Roman" w:hAnsi="Times New Roman" w:eastAsia="宋体" w:cs="Times New Roman"/>
                      <w:color w:val="000000" w:themeColor="text1"/>
                      <w:kern w:val="2"/>
                      <w:sz w:val="21"/>
                      <w:szCs w:val="21"/>
                      <w:highlight w:val="none"/>
                      <w:lang w:val="en-US" w:eastAsia="zh-CN" w:bidi="zh-CN"/>
                    </w:rPr>
                  </w:pPr>
                  <w:r>
                    <w:rPr>
                      <w:rFonts w:hint="eastAsia" w:ascii="Times New Roman" w:hAnsi="Times New Roman" w:eastAsia="宋体" w:cs="Times New Roman"/>
                      <w:color w:val="000000" w:themeColor="text1"/>
                      <w:sz w:val="21"/>
                      <w:szCs w:val="21"/>
                      <w:highlight w:val="none"/>
                      <w:lang w:val="en-US" w:eastAsia="zh-CN"/>
                    </w:rPr>
                    <w:t>2</w:t>
                  </w:r>
                </w:p>
              </w:tc>
              <w:tc>
                <w:tcPr>
                  <w:tcW w:w="1651" w:type="dxa"/>
                  <w:tcBorders>
                    <w:tl2br w:val="nil"/>
                    <w:tr2bl w:val="nil"/>
                  </w:tcBorders>
                  <w:vAlign w:val="center"/>
                </w:tcPr>
                <w:p w14:paraId="268E07C0">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ascii="Times New Roman" w:hAnsi="Times New Roman" w:eastAsia="宋体" w:cs="Times New Roman"/>
                      <w:color w:val="000000" w:themeColor="text1"/>
                      <w:sz w:val="21"/>
                      <w:szCs w:val="21"/>
                      <w:highlight w:val="none"/>
                      <w:lang w:val="en-US" w:eastAsia="zh-CN"/>
                    </w:rPr>
                  </w:pPr>
                  <w:r>
                    <w:rPr>
                      <w:rFonts w:hint="eastAsia" w:ascii="Times New Roman" w:hAnsi="Times New Roman" w:eastAsia="宋体" w:cs="Times New Roman"/>
                      <w:color w:val="000000" w:themeColor="text1"/>
                      <w:sz w:val="21"/>
                      <w:szCs w:val="21"/>
                      <w:highlight w:val="none"/>
                      <w:lang w:val="en-US" w:eastAsia="zh-CN"/>
                    </w:rPr>
                    <w:t>防腐剂</w:t>
                  </w:r>
                </w:p>
              </w:tc>
              <w:tc>
                <w:tcPr>
                  <w:tcW w:w="1726" w:type="dxa"/>
                  <w:tcBorders>
                    <w:tl2br w:val="nil"/>
                    <w:tr2bl w:val="nil"/>
                  </w:tcBorders>
                  <w:vAlign w:val="center"/>
                </w:tcPr>
                <w:p w14:paraId="11BC9D8B">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eastAsia" w:ascii="Times New Roman" w:hAnsi="Times New Roman" w:eastAsia="宋体" w:cs="Times New Roman"/>
                      <w:color w:val="000000" w:themeColor="text1"/>
                      <w:sz w:val="21"/>
                      <w:szCs w:val="21"/>
                      <w:highlight w:val="none"/>
                      <w:lang w:val="en-US" w:eastAsia="zh-CN"/>
                    </w:rPr>
                    <w:t>1</w:t>
                  </w:r>
                </w:p>
              </w:tc>
              <w:tc>
                <w:tcPr>
                  <w:tcW w:w="1027" w:type="pct"/>
                  <w:tcBorders>
                    <w:tl2br w:val="nil"/>
                    <w:tr2bl w:val="nil"/>
                  </w:tcBorders>
                  <w:vAlign w:val="center"/>
                </w:tcPr>
                <w:p w14:paraId="4C020D23">
                  <w:pPr>
                    <w:pStyle w:val="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eastAsia" w:ascii="Times New Roman" w:hAnsi="Times New Roman" w:eastAsia="宋体" w:cs="Times New Roman"/>
                      <w:color w:val="000000" w:themeColor="text1"/>
                      <w:sz w:val="21"/>
                      <w:szCs w:val="21"/>
                      <w:highlight w:val="none"/>
                      <w:lang w:val="en-US" w:eastAsia="zh-CN"/>
                    </w:rPr>
                    <w:t>100</w:t>
                  </w:r>
                </w:p>
              </w:tc>
              <w:tc>
                <w:tcPr>
                  <w:tcW w:w="1522" w:type="pct"/>
                  <w:tcBorders>
                    <w:tl2br w:val="nil"/>
                    <w:tr2bl w:val="nil"/>
                  </w:tcBorders>
                  <w:vAlign w:val="center"/>
                </w:tcPr>
                <w:p w14:paraId="3A6A6B4B">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zh-CN"/>
                    </w:rPr>
                  </w:pPr>
                  <w:r>
                    <w:rPr>
                      <w:rFonts w:hint="eastAsia" w:ascii="Times New Roman" w:hAnsi="Times New Roman" w:eastAsia="宋体" w:cs="Times New Roman"/>
                      <w:color w:val="000000" w:themeColor="text1"/>
                      <w:kern w:val="2"/>
                      <w:sz w:val="21"/>
                      <w:szCs w:val="21"/>
                      <w:highlight w:val="none"/>
                      <w:lang w:val="en-US" w:eastAsia="zh-CN" w:bidi="zh-CN"/>
                    </w:rPr>
                    <w:t>0.01</w:t>
                  </w:r>
                </w:p>
              </w:tc>
            </w:tr>
            <w:tr w14:paraId="1853662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748" w:type="dxa"/>
                  <w:tcBorders>
                    <w:tl2br w:val="nil"/>
                    <w:tr2bl w:val="nil"/>
                  </w:tcBorders>
                  <w:vAlign w:val="center"/>
                </w:tcPr>
                <w:p w14:paraId="09439ACC">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ascii="Times New Roman" w:hAnsi="Times New Roman" w:eastAsia="宋体" w:cs="Times New Roman"/>
                      <w:color w:val="000000" w:themeColor="text1"/>
                      <w:kern w:val="2"/>
                      <w:sz w:val="21"/>
                      <w:szCs w:val="21"/>
                      <w:highlight w:val="none"/>
                      <w:lang w:val="en-US" w:eastAsia="zh-CN" w:bidi="zh-CN"/>
                    </w:rPr>
                  </w:pPr>
                  <w:r>
                    <w:rPr>
                      <w:rFonts w:hint="eastAsia" w:ascii="Times New Roman" w:hAnsi="Times New Roman" w:eastAsia="宋体" w:cs="Times New Roman"/>
                      <w:color w:val="000000" w:themeColor="text1"/>
                      <w:sz w:val="21"/>
                      <w:szCs w:val="21"/>
                      <w:highlight w:val="none"/>
                      <w:lang w:val="en-US" w:eastAsia="zh-CN"/>
                    </w:rPr>
                    <w:t>3</w:t>
                  </w:r>
                </w:p>
              </w:tc>
              <w:tc>
                <w:tcPr>
                  <w:tcW w:w="1651" w:type="dxa"/>
                  <w:tcBorders>
                    <w:tl2br w:val="nil"/>
                    <w:tr2bl w:val="nil"/>
                  </w:tcBorders>
                  <w:vAlign w:val="center"/>
                </w:tcPr>
                <w:p w14:paraId="11401432">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ascii="Times New Roman" w:hAnsi="Times New Roman" w:eastAsia="宋体" w:cs="Times New Roman"/>
                      <w:color w:val="000000" w:themeColor="text1"/>
                      <w:sz w:val="21"/>
                      <w:szCs w:val="21"/>
                      <w:highlight w:val="none"/>
                      <w:lang w:val="en-US" w:eastAsia="zh-CN"/>
                    </w:rPr>
                  </w:pPr>
                  <w:r>
                    <w:rPr>
                      <w:rFonts w:hint="eastAsia" w:ascii="Times New Roman" w:hAnsi="Times New Roman" w:eastAsia="宋体" w:cs="Times New Roman"/>
                      <w:color w:val="000000" w:themeColor="text1"/>
                      <w:sz w:val="21"/>
                      <w:szCs w:val="21"/>
                      <w:highlight w:val="none"/>
                      <w:lang w:val="en-US" w:eastAsia="zh-CN"/>
                    </w:rPr>
                    <w:t>脱模剂</w:t>
                  </w:r>
                </w:p>
              </w:tc>
              <w:tc>
                <w:tcPr>
                  <w:tcW w:w="1726" w:type="dxa"/>
                  <w:tcBorders>
                    <w:tl2br w:val="nil"/>
                    <w:tr2bl w:val="nil"/>
                  </w:tcBorders>
                  <w:vAlign w:val="center"/>
                </w:tcPr>
                <w:p w14:paraId="74001342">
                  <w:pPr>
                    <w:pStyle w:val="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eastAsia" w:ascii="Times New Roman" w:hAnsi="Times New Roman" w:eastAsia="宋体" w:cs="Times New Roman"/>
                      <w:color w:val="000000" w:themeColor="text1"/>
                      <w:sz w:val="21"/>
                      <w:szCs w:val="21"/>
                      <w:highlight w:val="none"/>
                      <w:lang w:val="en-US" w:eastAsia="zh-CN"/>
                    </w:rPr>
                    <w:t>1</w:t>
                  </w:r>
                </w:p>
              </w:tc>
              <w:tc>
                <w:tcPr>
                  <w:tcW w:w="1027" w:type="pct"/>
                  <w:tcBorders>
                    <w:tl2br w:val="nil"/>
                    <w:tr2bl w:val="nil"/>
                  </w:tcBorders>
                  <w:vAlign w:val="center"/>
                </w:tcPr>
                <w:p w14:paraId="2D3397F6">
                  <w:pPr>
                    <w:pStyle w:val="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eastAsia" w:ascii="Times New Roman" w:hAnsi="Times New Roman" w:eastAsia="宋体" w:cs="Times New Roman"/>
                      <w:color w:val="000000" w:themeColor="text1"/>
                      <w:sz w:val="21"/>
                      <w:szCs w:val="21"/>
                      <w:highlight w:val="none"/>
                      <w:lang w:val="en-US" w:eastAsia="zh-CN"/>
                    </w:rPr>
                    <w:t>100</w:t>
                  </w:r>
                </w:p>
              </w:tc>
              <w:tc>
                <w:tcPr>
                  <w:tcW w:w="1522" w:type="pct"/>
                  <w:tcBorders>
                    <w:tl2br w:val="nil"/>
                    <w:tr2bl w:val="nil"/>
                  </w:tcBorders>
                  <w:vAlign w:val="center"/>
                </w:tcPr>
                <w:p w14:paraId="7734B72D">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zh-CN"/>
                    </w:rPr>
                  </w:pPr>
                  <w:r>
                    <w:rPr>
                      <w:rFonts w:hint="eastAsia" w:ascii="Times New Roman" w:hAnsi="Times New Roman" w:eastAsia="宋体" w:cs="Times New Roman"/>
                      <w:color w:val="000000" w:themeColor="text1"/>
                      <w:kern w:val="2"/>
                      <w:sz w:val="21"/>
                      <w:szCs w:val="21"/>
                      <w:highlight w:val="none"/>
                      <w:lang w:val="en-US" w:eastAsia="zh-CN" w:bidi="zh-CN"/>
                    </w:rPr>
                    <w:t>0.01</w:t>
                  </w:r>
                </w:p>
              </w:tc>
            </w:tr>
            <w:tr w14:paraId="24D4DDD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3477" w:type="pct"/>
                  <w:gridSpan w:val="4"/>
                  <w:tcBorders>
                    <w:tl2br w:val="nil"/>
                    <w:tr2bl w:val="nil"/>
                  </w:tcBorders>
                  <w:vAlign w:val="center"/>
                </w:tcPr>
                <w:p w14:paraId="014F4152">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zh-CN"/>
                    </w:rPr>
                  </w:pPr>
                  <w:r>
                    <w:rPr>
                      <w:rFonts w:hint="default" w:ascii="Times New Roman" w:hAnsi="Times New Roman" w:eastAsia="宋体" w:cs="Times New Roman"/>
                      <w:color w:val="000000" w:themeColor="text1"/>
                      <w:kern w:val="2"/>
                      <w:sz w:val="21"/>
                      <w:szCs w:val="21"/>
                      <w:highlight w:val="none"/>
                      <w:lang w:val="en-US" w:eastAsia="zh-CN" w:bidi="zh-CN"/>
                    </w:rPr>
                    <w:t>合计</w:t>
                  </w:r>
                </w:p>
              </w:tc>
              <w:tc>
                <w:tcPr>
                  <w:tcW w:w="1522" w:type="pct"/>
                  <w:tcBorders>
                    <w:tl2br w:val="nil"/>
                    <w:tr2bl w:val="nil"/>
                  </w:tcBorders>
                  <w:vAlign w:val="center"/>
                </w:tcPr>
                <w:p w14:paraId="1E6E4CB5">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zh-CN"/>
                    </w:rPr>
                  </w:pPr>
                  <w:r>
                    <w:rPr>
                      <w:rFonts w:hint="default" w:ascii="Times New Roman" w:hAnsi="Times New Roman" w:eastAsia="宋体" w:cs="Times New Roman"/>
                      <w:color w:val="000000" w:themeColor="text1"/>
                      <w:kern w:val="2"/>
                      <w:sz w:val="21"/>
                      <w:szCs w:val="21"/>
                      <w:highlight w:val="none"/>
                      <w:lang w:val="en-US" w:eastAsia="zh-CN" w:bidi="zh-CN"/>
                    </w:rPr>
                    <w:t>0.</w:t>
                  </w:r>
                  <w:r>
                    <w:rPr>
                      <w:rFonts w:hint="eastAsia" w:ascii="Times New Roman" w:hAnsi="Times New Roman" w:eastAsia="宋体" w:cs="Times New Roman"/>
                      <w:color w:val="000000" w:themeColor="text1"/>
                      <w:kern w:val="2"/>
                      <w:sz w:val="21"/>
                      <w:szCs w:val="21"/>
                      <w:highlight w:val="none"/>
                      <w:lang w:val="en-US" w:eastAsia="zh-CN" w:bidi="zh-CN"/>
                    </w:rPr>
                    <w:t>02004</w:t>
                  </w:r>
                </w:p>
              </w:tc>
            </w:tr>
          </w:tbl>
          <w:p w14:paraId="1148BB01">
            <w:pPr>
              <w:pStyle w:val="2"/>
              <w:keepNext w:val="0"/>
              <w:keepLines w:val="0"/>
              <w:pageBreakBefore w:val="0"/>
              <w:widowControl w:val="0"/>
              <w:kinsoku/>
              <w:wordWrap/>
              <w:overflowPunct/>
              <w:topLinePunct w:val="0"/>
              <w:autoSpaceDE/>
              <w:autoSpaceDN/>
              <w:bidi w:val="0"/>
              <w:adjustRightInd/>
              <w:snapToGrid/>
              <w:spacing w:before="0" w:after="0" w:line="360" w:lineRule="auto"/>
              <w:ind w:right="0" w:firstLine="482" w:firstLineChars="200"/>
              <w:textAlignment w:val="auto"/>
              <w:rPr>
                <w:rFonts w:hint="default" w:ascii="Times New Roman" w:hAnsi="Times New Roman" w:eastAsia="宋体" w:cs="Times New Roman"/>
                <w:b/>
                <w:bCs/>
                <w:color w:val="000000" w:themeColor="text1"/>
                <w:sz w:val="24"/>
                <w:szCs w:val="24"/>
                <w:highlight w:val="none"/>
                <w:lang w:val="en-US" w:eastAsia="zh-CN"/>
              </w:rPr>
            </w:pPr>
            <w:r>
              <w:rPr>
                <w:rFonts w:hint="eastAsia" w:ascii="Times New Roman" w:hAnsi="Times New Roman" w:eastAsia="宋体" w:cs="Times New Roman"/>
                <w:b/>
                <w:bCs/>
                <w:color w:val="000000" w:themeColor="text1"/>
                <w:sz w:val="24"/>
                <w:szCs w:val="24"/>
                <w:highlight w:val="none"/>
                <w:lang w:val="en-US" w:eastAsia="zh-CN"/>
              </w:rPr>
              <w:t>7</w:t>
            </w:r>
            <w:r>
              <w:rPr>
                <w:rFonts w:hint="default" w:ascii="Times New Roman" w:hAnsi="Times New Roman" w:eastAsia="宋体" w:cs="Times New Roman"/>
                <w:b/>
                <w:bCs/>
                <w:color w:val="000000" w:themeColor="text1"/>
                <w:sz w:val="24"/>
                <w:szCs w:val="24"/>
                <w:highlight w:val="none"/>
                <w:lang w:val="en-US" w:eastAsia="zh-CN"/>
              </w:rPr>
              <w:t>.3评价等级</w:t>
            </w:r>
          </w:p>
          <w:p w14:paraId="5233E47C">
            <w:pPr>
              <w:pStyle w:val="2"/>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textAlignment w:val="auto"/>
              <w:rPr>
                <w:rFonts w:hint="default" w:ascii="Times New Roman" w:hAnsi="Times New Roman" w:eastAsia="宋体" w:cs="Times New Roman"/>
                <w:color w:val="000000" w:themeColor="text1"/>
                <w:sz w:val="24"/>
                <w:szCs w:val="24"/>
                <w:highlight w:val="none"/>
                <w:lang w:val="en-US" w:eastAsia="zh-CN"/>
              </w:rPr>
            </w:pPr>
            <w:r>
              <w:rPr>
                <w:rFonts w:hint="default" w:ascii="Times New Roman" w:hAnsi="Times New Roman" w:eastAsia="宋体" w:cs="Times New Roman"/>
                <w:color w:val="000000" w:themeColor="text1"/>
                <w:sz w:val="24"/>
                <w:szCs w:val="24"/>
                <w:highlight w:val="none"/>
                <w:lang w:val="en-US" w:eastAsia="zh-CN"/>
              </w:rPr>
              <w:t>根据《建设项目环境风险评价技术导则》（HJ T169-2018）中的规定，环境风险评价工作等级划分表见</w:t>
            </w:r>
            <w:r>
              <w:rPr>
                <w:rFonts w:hint="eastAsia" w:ascii="Times New Roman" w:hAnsi="Times New Roman" w:eastAsia="宋体" w:cs="Times New Roman"/>
                <w:color w:val="000000" w:themeColor="text1"/>
                <w:sz w:val="24"/>
                <w:szCs w:val="24"/>
                <w:highlight w:val="none"/>
                <w:lang w:val="en-US" w:eastAsia="zh-CN"/>
              </w:rPr>
              <w:t>下</w:t>
            </w:r>
            <w:r>
              <w:rPr>
                <w:rFonts w:hint="default" w:ascii="Times New Roman" w:hAnsi="Times New Roman" w:eastAsia="宋体" w:cs="Times New Roman"/>
                <w:color w:val="000000" w:themeColor="text1"/>
                <w:sz w:val="24"/>
                <w:szCs w:val="24"/>
                <w:highlight w:val="none"/>
                <w:lang w:val="en-US" w:eastAsia="zh-CN"/>
              </w:rPr>
              <w:t>表。</w:t>
            </w:r>
          </w:p>
          <w:p w14:paraId="7F9AD165">
            <w:pPr>
              <w:pStyle w:val="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b/>
                <w:bCs/>
                <w:color w:val="000000" w:themeColor="text1"/>
                <w:sz w:val="21"/>
                <w:szCs w:val="21"/>
                <w:highlight w:val="none"/>
                <w:lang w:val="en-US" w:eastAsia="zh-CN"/>
              </w:rPr>
            </w:pPr>
            <w:r>
              <w:rPr>
                <w:rFonts w:hint="default" w:ascii="Times New Roman" w:hAnsi="Times New Roman" w:eastAsia="宋体" w:cs="Times New Roman"/>
                <w:b/>
                <w:bCs/>
                <w:color w:val="000000" w:themeColor="text1"/>
                <w:sz w:val="21"/>
                <w:szCs w:val="21"/>
                <w:highlight w:val="none"/>
                <w:lang w:val="en-US" w:eastAsia="zh-CN"/>
              </w:rPr>
              <w:t>表4-1</w:t>
            </w:r>
            <w:r>
              <w:rPr>
                <w:rFonts w:hint="eastAsia" w:ascii="Times New Roman" w:hAnsi="Times New Roman" w:eastAsia="宋体" w:cs="Times New Roman"/>
                <w:b/>
                <w:bCs/>
                <w:color w:val="000000" w:themeColor="text1"/>
                <w:sz w:val="21"/>
                <w:szCs w:val="21"/>
                <w:highlight w:val="none"/>
                <w:lang w:val="en-US" w:eastAsia="zh-CN"/>
              </w:rPr>
              <w:t>9</w:t>
            </w:r>
            <w:r>
              <w:rPr>
                <w:rFonts w:hint="default" w:ascii="Times New Roman" w:hAnsi="Times New Roman" w:eastAsia="宋体" w:cs="Times New Roman"/>
                <w:b/>
                <w:bCs/>
                <w:color w:val="000000" w:themeColor="text1"/>
                <w:sz w:val="21"/>
                <w:szCs w:val="21"/>
                <w:highlight w:val="none"/>
                <w:lang w:val="en-US" w:eastAsia="zh-CN"/>
              </w:rPr>
              <w:t xml:space="preserve">       环境风险评价工作等级划分表</w:t>
            </w:r>
          </w:p>
          <w:tbl>
            <w:tblPr>
              <w:tblStyle w:val="24"/>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1770"/>
              <w:gridCol w:w="1771"/>
              <w:gridCol w:w="1771"/>
              <w:gridCol w:w="1775"/>
            </w:tblGrid>
            <w:tr w14:paraId="5657ED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119" w:type="pct"/>
                  <w:tcBorders>
                    <w:tl2br w:val="nil"/>
                    <w:tr2bl w:val="nil"/>
                  </w:tcBorders>
                  <w:vAlign w:val="center"/>
                </w:tcPr>
                <w:p w14:paraId="34872ED6">
                  <w:pPr>
                    <w:pStyle w:val="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lang w:val="en-US" w:eastAsia="zh-CN"/>
                    </w:rPr>
                    <w:t>环境风险潜势</w:t>
                  </w:r>
                </w:p>
              </w:tc>
              <w:tc>
                <w:tcPr>
                  <w:tcW w:w="969" w:type="pct"/>
                  <w:tcBorders>
                    <w:tl2br w:val="nil"/>
                    <w:tr2bl w:val="nil"/>
                  </w:tcBorders>
                  <w:vAlign w:val="center"/>
                </w:tcPr>
                <w:p w14:paraId="1849938B">
                  <w:pPr>
                    <w:pStyle w:val="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lang w:val="en-US" w:eastAsia="zh-CN"/>
                    </w:rPr>
                    <w:fldChar w:fldCharType="begin"/>
                  </w:r>
                  <w:r>
                    <w:rPr>
                      <w:rFonts w:hint="default" w:ascii="Times New Roman" w:hAnsi="Times New Roman" w:eastAsia="宋体" w:cs="Times New Roman"/>
                      <w:color w:val="000000" w:themeColor="text1"/>
                      <w:sz w:val="21"/>
                      <w:szCs w:val="21"/>
                      <w:highlight w:val="none"/>
                      <w:lang w:val="en-US" w:eastAsia="zh-CN"/>
                    </w:rPr>
                    <w:instrText xml:space="preserve"> = 4 \* ROMAN </w:instrText>
                  </w:r>
                  <w:r>
                    <w:rPr>
                      <w:rFonts w:hint="default" w:ascii="Times New Roman" w:hAnsi="Times New Roman" w:eastAsia="宋体" w:cs="Times New Roman"/>
                      <w:color w:val="000000" w:themeColor="text1"/>
                      <w:sz w:val="21"/>
                      <w:szCs w:val="21"/>
                      <w:highlight w:val="none"/>
                      <w:lang w:val="en-US" w:eastAsia="zh-CN"/>
                    </w:rPr>
                    <w:fldChar w:fldCharType="separate"/>
                  </w:r>
                  <w:r>
                    <w:rPr>
                      <w:rFonts w:hint="default" w:ascii="Times New Roman" w:hAnsi="Times New Roman" w:eastAsia="宋体" w:cs="Times New Roman"/>
                      <w:color w:val="000000" w:themeColor="text1"/>
                      <w:sz w:val="21"/>
                      <w:szCs w:val="21"/>
                      <w:highlight w:val="none"/>
                      <w:lang w:val="en-US" w:eastAsia="zh-CN"/>
                    </w:rPr>
                    <w:t>IV</w:t>
                  </w:r>
                  <w:r>
                    <w:rPr>
                      <w:rFonts w:hint="default" w:ascii="Times New Roman" w:hAnsi="Times New Roman" w:eastAsia="宋体" w:cs="Times New Roman"/>
                      <w:color w:val="000000" w:themeColor="text1"/>
                      <w:sz w:val="21"/>
                      <w:szCs w:val="21"/>
                      <w:highlight w:val="none"/>
                      <w:lang w:val="en-US" w:eastAsia="zh-CN"/>
                    </w:rPr>
                    <w:fldChar w:fldCharType="end"/>
                  </w:r>
                  <w:r>
                    <w:rPr>
                      <w:rFonts w:hint="default" w:ascii="Times New Roman" w:hAnsi="Times New Roman" w:eastAsia="宋体" w:cs="Times New Roman"/>
                      <w:color w:val="000000" w:themeColor="text1"/>
                      <w:sz w:val="21"/>
                      <w:szCs w:val="21"/>
                      <w:highlight w:val="none"/>
                      <w:lang w:val="en-US" w:eastAsia="zh-CN"/>
                    </w:rPr>
                    <w:t>、</w:t>
                  </w:r>
                  <w:r>
                    <w:rPr>
                      <w:rFonts w:hint="default" w:ascii="Times New Roman" w:hAnsi="Times New Roman" w:eastAsia="宋体" w:cs="Times New Roman"/>
                      <w:color w:val="000000" w:themeColor="text1"/>
                      <w:sz w:val="21"/>
                      <w:szCs w:val="21"/>
                      <w:highlight w:val="none"/>
                      <w:lang w:val="en-US" w:eastAsia="zh-CN"/>
                    </w:rPr>
                    <w:fldChar w:fldCharType="begin"/>
                  </w:r>
                  <w:r>
                    <w:rPr>
                      <w:rFonts w:hint="default" w:ascii="Times New Roman" w:hAnsi="Times New Roman" w:eastAsia="宋体" w:cs="Times New Roman"/>
                      <w:color w:val="000000" w:themeColor="text1"/>
                      <w:sz w:val="21"/>
                      <w:szCs w:val="21"/>
                      <w:highlight w:val="none"/>
                      <w:lang w:val="en-US" w:eastAsia="zh-CN"/>
                    </w:rPr>
                    <w:instrText xml:space="preserve"> = 4 \* ROMAN </w:instrText>
                  </w:r>
                  <w:r>
                    <w:rPr>
                      <w:rFonts w:hint="default" w:ascii="Times New Roman" w:hAnsi="Times New Roman" w:eastAsia="宋体" w:cs="Times New Roman"/>
                      <w:color w:val="000000" w:themeColor="text1"/>
                      <w:sz w:val="21"/>
                      <w:szCs w:val="21"/>
                      <w:highlight w:val="none"/>
                      <w:lang w:val="en-US" w:eastAsia="zh-CN"/>
                    </w:rPr>
                    <w:fldChar w:fldCharType="separate"/>
                  </w:r>
                  <w:r>
                    <w:rPr>
                      <w:rFonts w:hint="default" w:ascii="Times New Roman" w:hAnsi="Times New Roman" w:eastAsia="宋体" w:cs="Times New Roman"/>
                      <w:color w:val="000000" w:themeColor="text1"/>
                      <w:sz w:val="21"/>
                      <w:szCs w:val="21"/>
                      <w:highlight w:val="none"/>
                      <w:lang w:val="en-US" w:eastAsia="zh-CN"/>
                    </w:rPr>
                    <w:t>IV</w:t>
                  </w:r>
                  <w:r>
                    <w:rPr>
                      <w:rFonts w:hint="default" w:ascii="Times New Roman" w:hAnsi="Times New Roman" w:eastAsia="宋体" w:cs="Times New Roman"/>
                      <w:color w:val="000000" w:themeColor="text1"/>
                      <w:sz w:val="21"/>
                      <w:szCs w:val="21"/>
                      <w:highlight w:val="none"/>
                      <w:lang w:val="en-US" w:eastAsia="zh-CN"/>
                    </w:rPr>
                    <w:fldChar w:fldCharType="end"/>
                  </w:r>
                  <w:r>
                    <w:rPr>
                      <w:rFonts w:hint="default" w:ascii="Times New Roman" w:hAnsi="Times New Roman" w:eastAsia="宋体" w:cs="Times New Roman"/>
                      <w:color w:val="000000" w:themeColor="text1"/>
                      <w:sz w:val="21"/>
                      <w:szCs w:val="21"/>
                      <w:highlight w:val="none"/>
                      <w:lang w:val="en-US" w:eastAsia="zh-CN"/>
                    </w:rPr>
                    <w:t>+</w:t>
                  </w:r>
                </w:p>
              </w:tc>
              <w:tc>
                <w:tcPr>
                  <w:tcW w:w="970" w:type="pct"/>
                  <w:tcBorders>
                    <w:tl2br w:val="nil"/>
                    <w:tr2bl w:val="nil"/>
                  </w:tcBorders>
                  <w:vAlign w:val="center"/>
                </w:tcPr>
                <w:p w14:paraId="400BE481">
                  <w:pPr>
                    <w:pStyle w:val="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lang w:val="en-US" w:eastAsia="zh-CN"/>
                    </w:rPr>
                    <w:fldChar w:fldCharType="begin"/>
                  </w:r>
                  <w:r>
                    <w:rPr>
                      <w:rFonts w:hint="default" w:ascii="Times New Roman" w:hAnsi="Times New Roman" w:eastAsia="宋体" w:cs="Times New Roman"/>
                      <w:color w:val="000000" w:themeColor="text1"/>
                      <w:sz w:val="21"/>
                      <w:szCs w:val="21"/>
                      <w:highlight w:val="none"/>
                      <w:lang w:val="en-US" w:eastAsia="zh-CN"/>
                    </w:rPr>
                    <w:instrText xml:space="preserve"> = 3 \* ROMAN </w:instrText>
                  </w:r>
                  <w:r>
                    <w:rPr>
                      <w:rFonts w:hint="default" w:ascii="Times New Roman" w:hAnsi="Times New Roman" w:eastAsia="宋体" w:cs="Times New Roman"/>
                      <w:color w:val="000000" w:themeColor="text1"/>
                      <w:sz w:val="21"/>
                      <w:szCs w:val="21"/>
                      <w:highlight w:val="none"/>
                      <w:lang w:val="en-US" w:eastAsia="zh-CN"/>
                    </w:rPr>
                    <w:fldChar w:fldCharType="separate"/>
                  </w:r>
                  <w:r>
                    <w:rPr>
                      <w:rFonts w:hint="default" w:ascii="Times New Roman" w:hAnsi="Times New Roman" w:eastAsia="宋体" w:cs="Times New Roman"/>
                      <w:color w:val="000000" w:themeColor="text1"/>
                      <w:sz w:val="21"/>
                      <w:szCs w:val="21"/>
                      <w:highlight w:val="none"/>
                      <w:lang w:val="en-US" w:eastAsia="zh-CN"/>
                    </w:rPr>
                    <w:t>III</w:t>
                  </w:r>
                  <w:r>
                    <w:rPr>
                      <w:rFonts w:hint="default" w:ascii="Times New Roman" w:hAnsi="Times New Roman" w:eastAsia="宋体" w:cs="Times New Roman"/>
                      <w:color w:val="000000" w:themeColor="text1"/>
                      <w:sz w:val="21"/>
                      <w:szCs w:val="21"/>
                      <w:highlight w:val="none"/>
                      <w:lang w:val="en-US" w:eastAsia="zh-CN"/>
                    </w:rPr>
                    <w:fldChar w:fldCharType="end"/>
                  </w:r>
                </w:p>
              </w:tc>
              <w:tc>
                <w:tcPr>
                  <w:tcW w:w="970" w:type="pct"/>
                  <w:tcBorders>
                    <w:tl2br w:val="nil"/>
                    <w:tr2bl w:val="nil"/>
                  </w:tcBorders>
                  <w:vAlign w:val="center"/>
                </w:tcPr>
                <w:p w14:paraId="2DDBE143">
                  <w:pPr>
                    <w:pStyle w:val="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lang w:val="en-US" w:eastAsia="zh-CN"/>
                    </w:rPr>
                    <w:fldChar w:fldCharType="begin"/>
                  </w:r>
                  <w:r>
                    <w:rPr>
                      <w:rFonts w:hint="default" w:ascii="Times New Roman" w:hAnsi="Times New Roman" w:eastAsia="宋体" w:cs="Times New Roman"/>
                      <w:color w:val="000000" w:themeColor="text1"/>
                      <w:sz w:val="21"/>
                      <w:szCs w:val="21"/>
                      <w:highlight w:val="none"/>
                      <w:lang w:val="en-US" w:eastAsia="zh-CN"/>
                    </w:rPr>
                    <w:instrText xml:space="preserve"> = 2 \* ROMAN </w:instrText>
                  </w:r>
                  <w:r>
                    <w:rPr>
                      <w:rFonts w:hint="default" w:ascii="Times New Roman" w:hAnsi="Times New Roman" w:eastAsia="宋体" w:cs="Times New Roman"/>
                      <w:color w:val="000000" w:themeColor="text1"/>
                      <w:sz w:val="21"/>
                      <w:szCs w:val="21"/>
                      <w:highlight w:val="none"/>
                      <w:lang w:val="en-US" w:eastAsia="zh-CN"/>
                    </w:rPr>
                    <w:fldChar w:fldCharType="separate"/>
                  </w:r>
                  <w:r>
                    <w:rPr>
                      <w:rFonts w:hint="default" w:ascii="Times New Roman" w:hAnsi="Times New Roman" w:eastAsia="宋体" w:cs="Times New Roman"/>
                      <w:color w:val="000000" w:themeColor="text1"/>
                      <w:sz w:val="21"/>
                      <w:szCs w:val="21"/>
                      <w:highlight w:val="none"/>
                      <w:lang w:val="en-US" w:eastAsia="zh-CN"/>
                    </w:rPr>
                    <w:t>II</w:t>
                  </w:r>
                  <w:r>
                    <w:rPr>
                      <w:rFonts w:hint="default" w:ascii="Times New Roman" w:hAnsi="Times New Roman" w:eastAsia="宋体" w:cs="Times New Roman"/>
                      <w:color w:val="000000" w:themeColor="text1"/>
                      <w:sz w:val="21"/>
                      <w:szCs w:val="21"/>
                      <w:highlight w:val="none"/>
                      <w:lang w:val="en-US" w:eastAsia="zh-CN"/>
                    </w:rPr>
                    <w:fldChar w:fldCharType="end"/>
                  </w:r>
                </w:p>
              </w:tc>
              <w:tc>
                <w:tcPr>
                  <w:tcW w:w="970" w:type="pct"/>
                  <w:tcBorders>
                    <w:tl2br w:val="nil"/>
                    <w:tr2bl w:val="nil"/>
                  </w:tcBorders>
                  <w:vAlign w:val="center"/>
                </w:tcPr>
                <w:p w14:paraId="10A4AE2A">
                  <w:pPr>
                    <w:pStyle w:val="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lang w:val="en-US" w:eastAsia="zh-CN"/>
                    </w:rPr>
                    <w:fldChar w:fldCharType="begin"/>
                  </w:r>
                  <w:r>
                    <w:rPr>
                      <w:rFonts w:hint="default" w:ascii="Times New Roman" w:hAnsi="Times New Roman" w:eastAsia="宋体" w:cs="Times New Roman"/>
                      <w:color w:val="000000" w:themeColor="text1"/>
                      <w:sz w:val="21"/>
                      <w:szCs w:val="21"/>
                      <w:highlight w:val="none"/>
                      <w:lang w:val="en-US" w:eastAsia="zh-CN"/>
                    </w:rPr>
                    <w:instrText xml:space="preserve"> = 1 \* ROMAN </w:instrText>
                  </w:r>
                  <w:r>
                    <w:rPr>
                      <w:rFonts w:hint="default" w:ascii="Times New Roman" w:hAnsi="Times New Roman" w:eastAsia="宋体" w:cs="Times New Roman"/>
                      <w:color w:val="000000" w:themeColor="text1"/>
                      <w:sz w:val="21"/>
                      <w:szCs w:val="21"/>
                      <w:highlight w:val="none"/>
                      <w:lang w:val="en-US" w:eastAsia="zh-CN"/>
                    </w:rPr>
                    <w:fldChar w:fldCharType="separate"/>
                  </w:r>
                  <w:r>
                    <w:rPr>
                      <w:rFonts w:hint="default" w:ascii="Times New Roman" w:hAnsi="Times New Roman" w:eastAsia="宋体" w:cs="Times New Roman"/>
                      <w:color w:val="000000" w:themeColor="text1"/>
                      <w:sz w:val="21"/>
                      <w:szCs w:val="21"/>
                      <w:highlight w:val="none"/>
                      <w:lang w:val="en-US" w:eastAsia="zh-CN"/>
                    </w:rPr>
                    <w:t>I</w:t>
                  </w:r>
                  <w:r>
                    <w:rPr>
                      <w:rFonts w:hint="default" w:ascii="Times New Roman" w:hAnsi="Times New Roman" w:eastAsia="宋体" w:cs="Times New Roman"/>
                      <w:color w:val="000000" w:themeColor="text1"/>
                      <w:sz w:val="21"/>
                      <w:szCs w:val="21"/>
                      <w:highlight w:val="none"/>
                      <w:lang w:val="en-US" w:eastAsia="zh-CN"/>
                    </w:rPr>
                    <w:fldChar w:fldCharType="end"/>
                  </w:r>
                </w:p>
              </w:tc>
            </w:tr>
            <w:tr w14:paraId="0627FE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119" w:type="pct"/>
                  <w:tcBorders>
                    <w:tl2br w:val="nil"/>
                    <w:tr2bl w:val="nil"/>
                  </w:tcBorders>
                  <w:vAlign w:val="center"/>
                </w:tcPr>
                <w:p w14:paraId="0A823B38">
                  <w:pPr>
                    <w:pStyle w:val="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lang w:val="en-US" w:eastAsia="zh-CN"/>
                    </w:rPr>
                    <w:t>评价工作等级</w:t>
                  </w:r>
                </w:p>
              </w:tc>
              <w:tc>
                <w:tcPr>
                  <w:tcW w:w="969" w:type="pct"/>
                  <w:tcBorders>
                    <w:tl2br w:val="nil"/>
                    <w:tr2bl w:val="nil"/>
                  </w:tcBorders>
                  <w:vAlign w:val="center"/>
                </w:tcPr>
                <w:p w14:paraId="0EEA19DA">
                  <w:pPr>
                    <w:pStyle w:val="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lang w:val="en-US" w:eastAsia="zh-CN"/>
                    </w:rPr>
                    <w:t>一</w:t>
                  </w:r>
                </w:p>
              </w:tc>
              <w:tc>
                <w:tcPr>
                  <w:tcW w:w="970" w:type="pct"/>
                  <w:tcBorders>
                    <w:tl2br w:val="nil"/>
                    <w:tr2bl w:val="nil"/>
                  </w:tcBorders>
                  <w:vAlign w:val="center"/>
                </w:tcPr>
                <w:p w14:paraId="4D8162DF">
                  <w:pPr>
                    <w:pStyle w:val="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lang w:val="en-US" w:eastAsia="zh-CN"/>
                    </w:rPr>
                    <w:t>二</w:t>
                  </w:r>
                </w:p>
              </w:tc>
              <w:tc>
                <w:tcPr>
                  <w:tcW w:w="970" w:type="pct"/>
                  <w:tcBorders>
                    <w:tl2br w:val="nil"/>
                    <w:tr2bl w:val="nil"/>
                  </w:tcBorders>
                  <w:vAlign w:val="center"/>
                </w:tcPr>
                <w:p w14:paraId="7AA3782D">
                  <w:pPr>
                    <w:pStyle w:val="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lang w:val="en-US" w:eastAsia="zh-CN"/>
                    </w:rPr>
                    <w:t>三</w:t>
                  </w:r>
                </w:p>
              </w:tc>
              <w:tc>
                <w:tcPr>
                  <w:tcW w:w="970" w:type="pct"/>
                  <w:tcBorders>
                    <w:tl2br w:val="nil"/>
                    <w:tr2bl w:val="nil"/>
                  </w:tcBorders>
                  <w:vAlign w:val="center"/>
                </w:tcPr>
                <w:p w14:paraId="1C280EFF">
                  <w:pPr>
                    <w:pStyle w:val="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lang w:val="en-US" w:eastAsia="zh-CN"/>
                    </w:rPr>
                    <w:t>简单分析a</w:t>
                  </w:r>
                </w:p>
              </w:tc>
            </w:tr>
            <w:tr w14:paraId="61E0312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gridSpan w:val="5"/>
                  <w:tcBorders>
                    <w:tl2br w:val="nil"/>
                    <w:tr2bl w:val="nil"/>
                  </w:tcBorders>
                  <w:vAlign w:val="center"/>
                </w:tcPr>
                <w:p w14:paraId="40A69960">
                  <w:pPr>
                    <w:pStyle w:val="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lang w:val="en-US" w:eastAsia="zh-CN"/>
                    </w:rPr>
                    <w:t>a是相对于详细评价工作内容而言，在描述危险物质、环境影响途径、环境危害后果、风险防范措施等方面给出定性的说明。见附录A。</w:t>
                  </w:r>
                </w:p>
              </w:tc>
            </w:tr>
          </w:tbl>
          <w:p w14:paraId="5A708016">
            <w:pPr>
              <w:pStyle w:val="2"/>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textAlignment w:val="auto"/>
              <w:rPr>
                <w:rFonts w:hint="default" w:ascii="Times New Roman" w:hAnsi="Times New Roman" w:eastAsia="宋体" w:cs="Times New Roman"/>
                <w:color w:val="000000" w:themeColor="text1"/>
                <w:sz w:val="24"/>
                <w:szCs w:val="24"/>
                <w:highlight w:val="none"/>
                <w:lang w:val="en-US" w:eastAsia="zh-CN"/>
              </w:rPr>
            </w:pPr>
            <w:r>
              <w:rPr>
                <w:rFonts w:hint="default" w:ascii="Times New Roman" w:hAnsi="Times New Roman" w:eastAsia="宋体" w:cs="Times New Roman"/>
                <w:color w:val="000000" w:themeColor="text1"/>
                <w:sz w:val="24"/>
                <w:szCs w:val="24"/>
                <w:highlight w:val="none"/>
                <w:lang w:val="en-US" w:eastAsia="zh-CN"/>
              </w:rPr>
              <w:t>根据项目类型及风险调查初判，本项目不涉及风险物质也不涉及风险单元，该项目风险潜势为I，因此环境风险评价工作等级为简单分析。</w:t>
            </w:r>
          </w:p>
          <w:p w14:paraId="42A6AE63">
            <w:pPr>
              <w:keepNext/>
              <w:keepLines/>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3"/>
              <w:rPr>
                <w:rFonts w:hint="default" w:ascii="Times New Roman" w:hAnsi="Times New Roman" w:eastAsia="宋体" w:cs="Times New Roman"/>
                <w:b/>
                <w:bCs/>
                <w:color w:val="000000" w:themeColor="text1"/>
                <w:kern w:val="2"/>
                <w:sz w:val="24"/>
                <w:szCs w:val="28"/>
                <w:highlight w:val="none"/>
                <w:lang w:val="en-US" w:eastAsia="zh-CN" w:bidi="ar-SA"/>
              </w:rPr>
            </w:pPr>
            <w:r>
              <w:rPr>
                <w:rFonts w:hint="eastAsia" w:ascii="Times New Roman" w:hAnsi="Times New Roman" w:eastAsia="宋体" w:cs="Times New Roman"/>
                <w:b/>
                <w:bCs/>
                <w:color w:val="000000" w:themeColor="text1"/>
                <w:sz w:val="24"/>
                <w:szCs w:val="24"/>
                <w:highlight w:val="none"/>
                <w:lang w:val="en-US" w:eastAsia="zh-CN"/>
              </w:rPr>
              <w:t>7</w:t>
            </w:r>
            <w:r>
              <w:rPr>
                <w:rFonts w:hint="default" w:ascii="Times New Roman" w:hAnsi="Times New Roman" w:eastAsia="宋体" w:cs="Times New Roman"/>
                <w:b/>
                <w:bCs/>
                <w:color w:val="000000" w:themeColor="text1"/>
                <w:sz w:val="24"/>
                <w:szCs w:val="24"/>
                <w:highlight w:val="none"/>
                <w:lang w:val="en-US" w:eastAsia="zh-CN"/>
              </w:rPr>
              <w:t>.4</w:t>
            </w:r>
            <w:r>
              <w:rPr>
                <w:rFonts w:hint="default" w:ascii="Times New Roman" w:hAnsi="Times New Roman" w:eastAsia="宋体" w:cs="Times New Roman"/>
                <w:b/>
                <w:bCs/>
                <w:color w:val="000000" w:themeColor="text1"/>
                <w:kern w:val="2"/>
                <w:sz w:val="24"/>
                <w:szCs w:val="28"/>
                <w:highlight w:val="none"/>
                <w:lang w:val="en-US" w:eastAsia="zh-CN" w:bidi="ar-SA"/>
              </w:rPr>
              <w:t>环境风险防范措施及应急要求</w:t>
            </w:r>
          </w:p>
          <w:p w14:paraId="3A61E2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color w:val="auto"/>
                <w:kern w:val="0"/>
                <w:sz w:val="24"/>
                <w:highlight w:val="none"/>
                <w:lang w:bidi="ar"/>
              </w:rPr>
            </w:pPr>
            <w:r>
              <w:rPr>
                <w:rFonts w:hint="default" w:ascii="Times New Roman" w:hAnsi="Times New Roman" w:eastAsia="宋体" w:cs="Times New Roman"/>
                <w:color w:val="auto"/>
                <w:kern w:val="0"/>
                <w:sz w:val="24"/>
                <w:highlight w:val="none"/>
                <w:lang w:val="en-US" w:eastAsia="zh-CN" w:bidi="ar"/>
              </w:rPr>
              <w:t>（1）</w:t>
            </w:r>
            <w:r>
              <w:rPr>
                <w:rFonts w:hint="default" w:ascii="Times New Roman" w:hAnsi="Times New Roman" w:eastAsia="宋体" w:cs="Times New Roman"/>
                <w:color w:val="auto"/>
                <w:kern w:val="0"/>
                <w:sz w:val="24"/>
                <w:highlight w:val="none"/>
                <w:lang w:bidi="ar"/>
              </w:rPr>
              <w:t>废气事故风险预防措施</w:t>
            </w:r>
          </w:p>
          <w:p w14:paraId="0A6A058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color w:val="auto"/>
                <w:kern w:val="0"/>
                <w:sz w:val="24"/>
                <w:highlight w:val="none"/>
                <w:lang w:bidi="ar"/>
              </w:rPr>
            </w:pPr>
            <w:r>
              <w:rPr>
                <w:rFonts w:hint="default" w:ascii="Times New Roman" w:hAnsi="Times New Roman" w:eastAsia="宋体" w:cs="Times New Roman"/>
                <w:color w:val="auto"/>
                <w:kern w:val="0"/>
                <w:sz w:val="24"/>
                <w:highlight w:val="none"/>
                <w:lang w:bidi="ar"/>
              </w:rPr>
              <w:t>①平时加强废气处理设施的维护保养，及时发现处理设备的隐患，并及时进行维修，确保废气处理系统正常运行；</w:t>
            </w:r>
          </w:p>
          <w:p w14:paraId="5E16BD6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color w:val="auto"/>
                <w:kern w:val="0"/>
                <w:sz w:val="24"/>
                <w:highlight w:val="none"/>
                <w:lang w:bidi="ar"/>
              </w:rPr>
            </w:pPr>
            <w:r>
              <w:rPr>
                <w:rFonts w:hint="default" w:ascii="Times New Roman" w:hAnsi="Times New Roman" w:eastAsia="宋体" w:cs="Times New Roman"/>
                <w:color w:val="auto"/>
                <w:kern w:val="0"/>
                <w:sz w:val="24"/>
                <w:highlight w:val="none"/>
                <w:lang w:bidi="ar"/>
              </w:rPr>
              <w:t>②建立健全的环保机构，配置必要的监测仪器，对管理人员和技术人员进行岗位培训，对废气处理实行全过程跟踪控制。</w:t>
            </w:r>
          </w:p>
          <w:p w14:paraId="7F692A1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（2）</w:t>
            </w:r>
            <w:r>
              <w:rPr>
                <w:rFonts w:hint="eastAsia" w:ascii="Times New Roman" w:hAnsi="Times New Roman" w:eastAsia="宋体" w:cs="Times New Roman"/>
                <w:color w:val="auto"/>
                <w:sz w:val="24"/>
                <w:highlight w:val="none"/>
                <w:lang w:val="en-US" w:eastAsia="zh-CN"/>
              </w:rPr>
              <w:t>危废贮存库</w:t>
            </w:r>
            <w:r>
              <w:rPr>
                <w:rFonts w:hint="default" w:ascii="Times New Roman" w:hAnsi="Times New Roman" w:eastAsia="宋体" w:cs="Times New Roman"/>
                <w:color w:val="auto"/>
                <w:sz w:val="24"/>
                <w:highlight w:val="none"/>
              </w:rPr>
              <w:t>境风险防范措施</w:t>
            </w:r>
          </w:p>
          <w:p w14:paraId="75A3609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建设单位应结合本评价提出的措施建议，制定一套完善的固体废物风险防范措施。根据本项目实际情况，本评价提出如下风险防范措施：</w:t>
            </w:r>
          </w:p>
          <w:p w14:paraId="57B7D72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①危险废物暂存场所必须严格按照国家标准和规范进行设置，必须设置防渗、防漏、防腐、防雨、防火等防范措施。</w:t>
            </w:r>
          </w:p>
          <w:p w14:paraId="401FEC6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②危险废物暂存场所需设置便于危险废物泄漏后收集处理的设施，设置围堰，并对其地面进行硬化防渗、防漏处理。</w:t>
            </w:r>
          </w:p>
          <w:p w14:paraId="067FCD6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③加强管理工作，设专人负责危险废物的安全贮存、厂区内</w:t>
            </w:r>
            <w:r>
              <w:rPr>
                <w:rFonts w:hint="default" w:ascii="Times New Roman" w:hAnsi="Times New Roman" w:eastAsia="宋体" w:cs="Times New Roman"/>
                <w:color w:val="auto"/>
                <w:sz w:val="24"/>
                <w:highlight w:val="none"/>
                <w:lang w:eastAsia="zh-CN"/>
              </w:rPr>
              <w:t>运输</w:t>
            </w:r>
            <w:r>
              <w:rPr>
                <w:rFonts w:hint="default" w:ascii="Times New Roman" w:hAnsi="Times New Roman" w:eastAsia="宋体" w:cs="Times New Roman"/>
                <w:color w:val="auto"/>
                <w:sz w:val="24"/>
                <w:highlight w:val="none"/>
              </w:rPr>
              <w:t>以及使用，在暂存场所内，各危险废物种类必须分类储存，并设置相应的标签，标明危废的来源，具体的成分，主要成分的性质和泄漏、火灾等处置方式，不得混合储存，各储存分区之间必须设置相应的防护距离，防止发生连锁反应。</w:t>
            </w:r>
          </w:p>
          <w:p w14:paraId="0E6B760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④针对危险废物的贮存、</w:t>
            </w:r>
            <w:r>
              <w:rPr>
                <w:rFonts w:hint="default" w:ascii="Times New Roman" w:hAnsi="Times New Roman" w:eastAsia="宋体" w:cs="Times New Roman"/>
                <w:color w:val="auto"/>
                <w:sz w:val="24"/>
                <w:highlight w:val="none"/>
                <w:lang w:eastAsia="zh-CN"/>
              </w:rPr>
              <w:t>运输</w:t>
            </w:r>
            <w:r>
              <w:rPr>
                <w:rFonts w:hint="default" w:ascii="Times New Roman" w:hAnsi="Times New Roman" w:eastAsia="宋体" w:cs="Times New Roman"/>
                <w:color w:val="auto"/>
                <w:sz w:val="24"/>
                <w:highlight w:val="none"/>
              </w:rPr>
              <w:t>制定安全条例。制定严格的操作规程，操作人员进行必要的安全培训后方可进行使用。</w:t>
            </w:r>
            <w:r>
              <w:rPr>
                <w:rFonts w:hint="eastAsia" w:ascii="Times New Roman" w:hAnsi="Times New Roman" w:eastAsia="宋体" w:cs="Times New Roman"/>
                <w:color w:val="auto"/>
                <w:sz w:val="24"/>
                <w:highlight w:val="none"/>
                <w:lang w:eastAsia="zh-CN"/>
              </w:rPr>
              <w:t>危废贮存库</w:t>
            </w:r>
            <w:r>
              <w:rPr>
                <w:rFonts w:hint="default" w:ascii="Times New Roman" w:hAnsi="Times New Roman" w:eastAsia="宋体" w:cs="Times New Roman"/>
                <w:color w:val="auto"/>
                <w:sz w:val="24"/>
                <w:highlight w:val="none"/>
              </w:rPr>
              <w:t>均进行地面防渗处理，并设置导流沟；配备吸油棉、废料储存容器等应急物资；发生泄漏事故时，及时将围堰内泄漏物料用吸油棉吸附，放入废料储存容器，作为危废处置。</w:t>
            </w:r>
          </w:p>
          <w:p w14:paraId="771A7BA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bCs/>
                <w:color w:val="auto"/>
                <w:sz w:val="24"/>
                <w:szCs w:val="22"/>
                <w:highlight w:val="none"/>
                <w:lang w:val="en-US" w:eastAsia="zh-CN"/>
              </w:rPr>
            </w:pP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应急预案</w:t>
            </w:r>
          </w:p>
          <w:p w14:paraId="126E1F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根据《建设项目环境风险评价技术导则》（HJ/T169-2018），本项目建设单位须按照《国家突发环境事件应急预案》等有关要求，结合项目实际情况，编制应急预案。</w:t>
            </w:r>
          </w:p>
          <w:p w14:paraId="54BFAAD2">
            <w:pPr>
              <w:keepNext w:val="0"/>
              <w:keepLines w:val="0"/>
              <w:pageBreakBefore w:val="0"/>
              <w:widowControl w:val="0"/>
              <w:kinsoku/>
              <w:wordWrap/>
              <w:overflowPunct/>
              <w:topLinePunct w:val="0"/>
              <w:bidi w:val="0"/>
              <w:adjustRightInd/>
              <w:snapToGrid/>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表4-</w:t>
            </w:r>
            <w:r>
              <w:rPr>
                <w:rFonts w:hint="eastAsia" w:ascii="Times New Roman" w:hAnsi="Times New Roman" w:eastAsia="宋体" w:cs="Times New Roman"/>
                <w:b/>
                <w:color w:val="auto"/>
                <w:sz w:val="21"/>
                <w:szCs w:val="21"/>
                <w:highlight w:val="none"/>
                <w:lang w:val="en-US" w:eastAsia="zh-CN"/>
              </w:rPr>
              <w:t>2</w:t>
            </w:r>
            <w:r>
              <w:rPr>
                <w:rFonts w:hint="eastAsia" w:cs="Times New Roman"/>
                <w:b/>
                <w:color w:val="auto"/>
                <w:sz w:val="21"/>
                <w:szCs w:val="21"/>
                <w:highlight w:val="none"/>
                <w:lang w:val="en-US" w:eastAsia="zh-CN"/>
              </w:rPr>
              <w:t>0</w:t>
            </w:r>
            <w:r>
              <w:rPr>
                <w:rFonts w:hint="default" w:ascii="Times New Roman" w:hAnsi="Times New Roman" w:eastAsia="宋体" w:cs="Times New Roman"/>
                <w:b/>
                <w:color w:val="auto"/>
                <w:sz w:val="21"/>
                <w:szCs w:val="21"/>
                <w:highlight w:val="none"/>
              </w:rPr>
              <w:t xml:space="preserve">  应急预案内容</w:t>
            </w:r>
          </w:p>
          <w:tbl>
            <w:tblPr>
              <w:tblStyle w:val="24"/>
              <w:tblW w:w="5000"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2536"/>
              <w:gridCol w:w="5359"/>
            </w:tblGrid>
            <w:tr w14:paraId="235186A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340" w:hRule="atLeast"/>
                <w:jc w:val="center"/>
              </w:trPr>
              <w:tc>
                <w:tcPr>
                  <w:tcW w:w="1088" w:type="dxa"/>
                  <w:noWrap w:val="0"/>
                  <w:vAlign w:val="center"/>
                </w:tcPr>
                <w:p w14:paraId="7A0027DE">
                  <w:pPr>
                    <w:keepNext w:val="0"/>
                    <w:keepLines w:val="0"/>
                    <w:pageBreakBefore w:val="0"/>
                    <w:widowControl w:val="0"/>
                    <w:kinsoku/>
                    <w:wordWrap/>
                    <w:overflowPunct/>
                    <w:topLinePunct w:val="0"/>
                    <w:bidi w:val="0"/>
                    <w:adjustRightInd/>
                    <w:snapToGrid/>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序号</w:t>
                  </w:r>
                </w:p>
              </w:tc>
              <w:tc>
                <w:tcPr>
                  <w:tcW w:w="2255" w:type="dxa"/>
                  <w:noWrap w:val="0"/>
                  <w:vAlign w:val="center"/>
                </w:tcPr>
                <w:p w14:paraId="15FF7D08">
                  <w:pPr>
                    <w:keepNext w:val="0"/>
                    <w:keepLines w:val="0"/>
                    <w:pageBreakBefore w:val="0"/>
                    <w:widowControl w:val="0"/>
                    <w:kinsoku/>
                    <w:wordWrap/>
                    <w:overflowPunct/>
                    <w:topLinePunct w:val="0"/>
                    <w:bidi w:val="0"/>
                    <w:adjustRightInd/>
                    <w:snapToGrid/>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项目</w:t>
                  </w:r>
                </w:p>
              </w:tc>
              <w:tc>
                <w:tcPr>
                  <w:tcW w:w="4764" w:type="dxa"/>
                  <w:noWrap w:val="0"/>
                  <w:vAlign w:val="center"/>
                </w:tcPr>
                <w:p w14:paraId="7F2B5634">
                  <w:pPr>
                    <w:keepNext w:val="0"/>
                    <w:keepLines w:val="0"/>
                    <w:pageBreakBefore w:val="0"/>
                    <w:widowControl w:val="0"/>
                    <w:kinsoku/>
                    <w:wordWrap/>
                    <w:overflowPunct/>
                    <w:topLinePunct w:val="0"/>
                    <w:bidi w:val="0"/>
                    <w:adjustRightInd/>
                    <w:snapToGrid/>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内容及要求</w:t>
                  </w:r>
                </w:p>
              </w:tc>
            </w:tr>
            <w:tr w14:paraId="2B83287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8" w:type="dxa"/>
                  <w:noWrap w:val="0"/>
                  <w:vAlign w:val="center"/>
                </w:tcPr>
                <w:p w14:paraId="697A888A">
                  <w:pPr>
                    <w:keepNext w:val="0"/>
                    <w:keepLines w:val="0"/>
                    <w:pageBreakBefore w:val="0"/>
                    <w:widowControl w:val="0"/>
                    <w:kinsoku/>
                    <w:wordWrap/>
                    <w:overflowPunct/>
                    <w:topLinePunct w:val="0"/>
                    <w:bidi w:val="0"/>
                    <w:adjustRightInd/>
                    <w:snapToGrid/>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2255" w:type="dxa"/>
                  <w:noWrap w:val="0"/>
                  <w:vAlign w:val="center"/>
                </w:tcPr>
                <w:p w14:paraId="27152B8E">
                  <w:pPr>
                    <w:keepNext w:val="0"/>
                    <w:keepLines w:val="0"/>
                    <w:pageBreakBefore w:val="0"/>
                    <w:widowControl w:val="0"/>
                    <w:kinsoku/>
                    <w:wordWrap/>
                    <w:overflowPunct/>
                    <w:topLinePunct w:val="0"/>
                    <w:bidi w:val="0"/>
                    <w:adjustRightInd/>
                    <w:snapToGrid/>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应急计划区</w:t>
                  </w:r>
                </w:p>
              </w:tc>
              <w:tc>
                <w:tcPr>
                  <w:tcW w:w="4764" w:type="dxa"/>
                  <w:noWrap w:val="0"/>
                  <w:vAlign w:val="center"/>
                </w:tcPr>
                <w:p w14:paraId="3986E34C">
                  <w:pPr>
                    <w:keepNext w:val="0"/>
                    <w:keepLines w:val="0"/>
                    <w:pageBreakBefore w:val="0"/>
                    <w:widowControl w:val="0"/>
                    <w:kinsoku/>
                    <w:wordWrap/>
                    <w:overflowPunct/>
                    <w:topLinePunct w:val="0"/>
                    <w:bidi w:val="0"/>
                    <w:adjustRightInd/>
                    <w:snapToGrid/>
                    <w:jc w:val="center"/>
                    <w:textAlignment w:val="auto"/>
                    <w:rPr>
                      <w:rFonts w:hint="eastAsia"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rPr>
                    <w:t>危险目标：污水处理池、危险废物</w:t>
                  </w:r>
                  <w:r>
                    <w:rPr>
                      <w:rFonts w:hint="eastAsia" w:ascii="Times New Roman" w:hAnsi="Times New Roman" w:eastAsia="宋体" w:cs="Times New Roman"/>
                      <w:bCs/>
                      <w:color w:val="auto"/>
                      <w:sz w:val="21"/>
                      <w:szCs w:val="21"/>
                      <w:highlight w:val="none"/>
                      <w:lang w:val="en-US" w:eastAsia="zh-CN"/>
                    </w:rPr>
                    <w:t>贮存库</w:t>
                  </w:r>
                </w:p>
              </w:tc>
            </w:tr>
            <w:tr w14:paraId="059E2D7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8" w:type="dxa"/>
                  <w:noWrap w:val="0"/>
                  <w:vAlign w:val="center"/>
                </w:tcPr>
                <w:p w14:paraId="11667014">
                  <w:pPr>
                    <w:keepNext w:val="0"/>
                    <w:keepLines w:val="0"/>
                    <w:pageBreakBefore w:val="0"/>
                    <w:widowControl w:val="0"/>
                    <w:kinsoku/>
                    <w:wordWrap/>
                    <w:overflowPunct/>
                    <w:topLinePunct w:val="0"/>
                    <w:bidi w:val="0"/>
                    <w:adjustRightInd/>
                    <w:snapToGrid/>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w:t>
                  </w:r>
                </w:p>
              </w:tc>
              <w:tc>
                <w:tcPr>
                  <w:tcW w:w="2255" w:type="dxa"/>
                  <w:noWrap w:val="0"/>
                  <w:vAlign w:val="center"/>
                </w:tcPr>
                <w:p w14:paraId="07709E48">
                  <w:pPr>
                    <w:keepNext w:val="0"/>
                    <w:keepLines w:val="0"/>
                    <w:pageBreakBefore w:val="0"/>
                    <w:widowControl w:val="0"/>
                    <w:kinsoku/>
                    <w:wordWrap/>
                    <w:overflowPunct/>
                    <w:topLinePunct w:val="0"/>
                    <w:bidi w:val="0"/>
                    <w:adjustRightInd/>
                    <w:snapToGrid/>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应急组织机构、人员</w:t>
                  </w:r>
                </w:p>
              </w:tc>
              <w:tc>
                <w:tcPr>
                  <w:tcW w:w="4764" w:type="dxa"/>
                  <w:noWrap w:val="0"/>
                  <w:vAlign w:val="center"/>
                </w:tcPr>
                <w:p w14:paraId="0537A478">
                  <w:pPr>
                    <w:keepNext w:val="0"/>
                    <w:keepLines w:val="0"/>
                    <w:pageBreakBefore w:val="0"/>
                    <w:widowControl w:val="0"/>
                    <w:kinsoku/>
                    <w:wordWrap/>
                    <w:overflowPunct/>
                    <w:topLinePunct w:val="0"/>
                    <w:bidi w:val="0"/>
                    <w:adjustRightInd/>
                    <w:snapToGrid/>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工厂、地区应急组织机构、人员</w:t>
                  </w:r>
                </w:p>
              </w:tc>
            </w:tr>
            <w:tr w14:paraId="76B49CC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8" w:type="dxa"/>
                  <w:noWrap w:val="0"/>
                  <w:vAlign w:val="center"/>
                </w:tcPr>
                <w:p w14:paraId="7106C332">
                  <w:pPr>
                    <w:keepNext w:val="0"/>
                    <w:keepLines w:val="0"/>
                    <w:pageBreakBefore w:val="0"/>
                    <w:widowControl w:val="0"/>
                    <w:kinsoku/>
                    <w:wordWrap/>
                    <w:overflowPunct/>
                    <w:topLinePunct w:val="0"/>
                    <w:bidi w:val="0"/>
                    <w:adjustRightInd/>
                    <w:snapToGrid/>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3</w:t>
                  </w:r>
                </w:p>
              </w:tc>
              <w:tc>
                <w:tcPr>
                  <w:tcW w:w="2255" w:type="dxa"/>
                  <w:noWrap w:val="0"/>
                  <w:vAlign w:val="center"/>
                </w:tcPr>
                <w:p w14:paraId="7BDBC53D">
                  <w:pPr>
                    <w:keepNext w:val="0"/>
                    <w:keepLines w:val="0"/>
                    <w:pageBreakBefore w:val="0"/>
                    <w:widowControl w:val="0"/>
                    <w:kinsoku/>
                    <w:wordWrap/>
                    <w:overflowPunct/>
                    <w:topLinePunct w:val="0"/>
                    <w:bidi w:val="0"/>
                    <w:adjustRightInd/>
                    <w:snapToGrid/>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预案分级响应条件</w:t>
                  </w:r>
                </w:p>
              </w:tc>
              <w:tc>
                <w:tcPr>
                  <w:tcW w:w="4764" w:type="dxa"/>
                  <w:noWrap w:val="0"/>
                  <w:vAlign w:val="center"/>
                </w:tcPr>
                <w:p w14:paraId="036D195D">
                  <w:pPr>
                    <w:keepNext w:val="0"/>
                    <w:keepLines w:val="0"/>
                    <w:pageBreakBefore w:val="0"/>
                    <w:widowControl w:val="0"/>
                    <w:kinsoku/>
                    <w:wordWrap/>
                    <w:overflowPunct/>
                    <w:topLinePunct w:val="0"/>
                    <w:bidi w:val="0"/>
                    <w:adjustRightInd/>
                    <w:snapToGrid/>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规定预案的级别及分级响应程序</w:t>
                  </w:r>
                </w:p>
              </w:tc>
            </w:tr>
            <w:tr w14:paraId="3D7DC66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8" w:type="dxa"/>
                  <w:noWrap w:val="0"/>
                  <w:vAlign w:val="center"/>
                </w:tcPr>
                <w:p w14:paraId="4546F246">
                  <w:pPr>
                    <w:keepNext w:val="0"/>
                    <w:keepLines w:val="0"/>
                    <w:pageBreakBefore w:val="0"/>
                    <w:widowControl w:val="0"/>
                    <w:kinsoku/>
                    <w:wordWrap/>
                    <w:overflowPunct/>
                    <w:topLinePunct w:val="0"/>
                    <w:bidi w:val="0"/>
                    <w:adjustRightInd/>
                    <w:snapToGrid/>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4</w:t>
                  </w:r>
                </w:p>
              </w:tc>
              <w:tc>
                <w:tcPr>
                  <w:tcW w:w="2255" w:type="dxa"/>
                  <w:noWrap w:val="0"/>
                  <w:vAlign w:val="center"/>
                </w:tcPr>
                <w:p w14:paraId="6E319EC3">
                  <w:pPr>
                    <w:keepNext w:val="0"/>
                    <w:keepLines w:val="0"/>
                    <w:pageBreakBefore w:val="0"/>
                    <w:widowControl w:val="0"/>
                    <w:kinsoku/>
                    <w:wordWrap/>
                    <w:overflowPunct/>
                    <w:topLinePunct w:val="0"/>
                    <w:bidi w:val="0"/>
                    <w:adjustRightInd/>
                    <w:snapToGrid/>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应急救援保障</w:t>
                  </w:r>
                </w:p>
              </w:tc>
              <w:tc>
                <w:tcPr>
                  <w:tcW w:w="4764" w:type="dxa"/>
                  <w:noWrap w:val="0"/>
                  <w:vAlign w:val="center"/>
                </w:tcPr>
                <w:p w14:paraId="1251EAA7">
                  <w:pPr>
                    <w:keepNext w:val="0"/>
                    <w:keepLines w:val="0"/>
                    <w:pageBreakBefore w:val="0"/>
                    <w:widowControl w:val="0"/>
                    <w:kinsoku/>
                    <w:wordWrap/>
                    <w:overflowPunct/>
                    <w:topLinePunct w:val="0"/>
                    <w:bidi w:val="0"/>
                    <w:adjustRightInd/>
                    <w:snapToGrid/>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应急设施，设备与器材等</w:t>
                  </w:r>
                </w:p>
              </w:tc>
            </w:tr>
            <w:tr w14:paraId="3E8C147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8" w:type="dxa"/>
                  <w:noWrap w:val="0"/>
                  <w:vAlign w:val="center"/>
                </w:tcPr>
                <w:p w14:paraId="0575BD53">
                  <w:pPr>
                    <w:keepNext w:val="0"/>
                    <w:keepLines w:val="0"/>
                    <w:pageBreakBefore w:val="0"/>
                    <w:widowControl w:val="0"/>
                    <w:kinsoku/>
                    <w:wordWrap/>
                    <w:overflowPunct/>
                    <w:topLinePunct w:val="0"/>
                    <w:bidi w:val="0"/>
                    <w:adjustRightInd/>
                    <w:snapToGrid/>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5</w:t>
                  </w:r>
                </w:p>
              </w:tc>
              <w:tc>
                <w:tcPr>
                  <w:tcW w:w="2255" w:type="dxa"/>
                  <w:noWrap w:val="0"/>
                  <w:vAlign w:val="center"/>
                </w:tcPr>
                <w:p w14:paraId="759AD742">
                  <w:pPr>
                    <w:keepNext w:val="0"/>
                    <w:keepLines w:val="0"/>
                    <w:pageBreakBefore w:val="0"/>
                    <w:widowControl w:val="0"/>
                    <w:kinsoku/>
                    <w:wordWrap/>
                    <w:overflowPunct/>
                    <w:topLinePunct w:val="0"/>
                    <w:bidi w:val="0"/>
                    <w:adjustRightInd/>
                    <w:snapToGrid/>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报警、通讯联络方式</w:t>
                  </w:r>
                </w:p>
              </w:tc>
              <w:tc>
                <w:tcPr>
                  <w:tcW w:w="4764" w:type="dxa"/>
                  <w:noWrap w:val="0"/>
                  <w:vAlign w:val="center"/>
                </w:tcPr>
                <w:p w14:paraId="74A21C4A">
                  <w:pPr>
                    <w:keepNext w:val="0"/>
                    <w:keepLines w:val="0"/>
                    <w:pageBreakBefore w:val="0"/>
                    <w:widowControl w:val="0"/>
                    <w:kinsoku/>
                    <w:wordWrap/>
                    <w:overflowPunct/>
                    <w:topLinePunct w:val="0"/>
                    <w:bidi w:val="0"/>
                    <w:adjustRightInd/>
                    <w:snapToGrid/>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规定应急状态下的报警通讯方式、通知方式和交通保障、管制</w:t>
                  </w:r>
                </w:p>
              </w:tc>
            </w:tr>
            <w:tr w14:paraId="344E632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8" w:type="dxa"/>
                  <w:noWrap w:val="0"/>
                  <w:vAlign w:val="center"/>
                </w:tcPr>
                <w:p w14:paraId="24D7AE73">
                  <w:pPr>
                    <w:keepNext w:val="0"/>
                    <w:keepLines w:val="0"/>
                    <w:pageBreakBefore w:val="0"/>
                    <w:widowControl w:val="0"/>
                    <w:kinsoku/>
                    <w:wordWrap/>
                    <w:overflowPunct/>
                    <w:topLinePunct w:val="0"/>
                    <w:bidi w:val="0"/>
                    <w:adjustRightInd/>
                    <w:snapToGrid/>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6</w:t>
                  </w:r>
                </w:p>
              </w:tc>
              <w:tc>
                <w:tcPr>
                  <w:tcW w:w="2255" w:type="dxa"/>
                  <w:noWrap w:val="0"/>
                  <w:vAlign w:val="center"/>
                </w:tcPr>
                <w:p w14:paraId="3ACDB99D">
                  <w:pPr>
                    <w:keepNext w:val="0"/>
                    <w:keepLines w:val="0"/>
                    <w:pageBreakBefore w:val="0"/>
                    <w:widowControl w:val="0"/>
                    <w:kinsoku/>
                    <w:wordWrap/>
                    <w:overflowPunct/>
                    <w:topLinePunct w:val="0"/>
                    <w:bidi w:val="0"/>
                    <w:adjustRightInd/>
                    <w:snapToGrid/>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应急环境监测、抢险、</w:t>
                  </w:r>
                </w:p>
                <w:p w14:paraId="3220535F">
                  <w:pPr>
                    <w:keepNext w:val="0"/>
                    <w:keepLines w:val="0"/>
                    <w:pageBreakBefore w:val="0"/>
                    <w:widowControl w:val="0"/>
                    <w:kinsoku/>
                    <w:wordWrap/>
                    <w:overflowPunct/>
                    <w:topLinePunct w:val="0"/>
                    <w:bidi w:val="0"/>
                    <w:adjustRightInd/>
                    <w:snapToGrid/>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救援及控制措施</w:t>
                  </w:r>
                </w:p>
              </w:tc>
              <w:tc>
                <w:tcPr>
                  <w:tcW w:w="4764" w:type="dxa"/>
                  <w:noWrap w:val="0"/>
                  <w:vAlign w:val="center"/>
                </w:tcPr>
                <w:p w14:paraId="289AE524">
                  <w:pPr>
                    <w:keepNext w:val="0"/>
                    <w:keepLines w:val="0"/>
                    <w:pageBreakBefore w:val="0"/>
                    <w:widowControl w:val="0"/>
                    <w:kinsoku/>
                    <w:wordWrap/>
                    <w:overflowPunct/>
                    <w:topLinePunct w:val="0"/>
                    <w:bidi w:val="0"/>
                    <w:adjustRightInd/>
                    <w:snapToGrid/>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由专业队伍负责对事故现场进行侦察监测，对事故性质、参数与后果进行评估，为指挥部门提供决策依据</w:t>
                  </w:r>
                </w:p>
              </w:tc>
            </w:tr>
            <w:tr w14:paraId="4AE479A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8" w:type="dxa"/>
                  <w:noWrap w:val="0"/>
                  <w:vAlign w:val="center"/>
                </w:tcPr>
                <w:p w14:paraId="3EF550BF">
                  <w:pPr>
                    <w:keepNext w:val="0"/>
                    <w:keepLines w:val="0"/>
                    <w:pageBreakBefore w:val="0"/>
                    <w:widowControl w:val="0"/>
                    <w:kinsoku/>
                    <w:wordWrap/>
                    <w:overflowPunct/>
                    <w:topLinePunct w:val="0"/>
                    <w:bidi w:val="0"/>
                    <w:adjustRightInd/>
                    <w:snapToGrid/>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255" w:type="dxa"/>
                  <w:noWrap w:val="0"/>
                  <w:vAlign w:val="center"/>
                </w:tcPr>
                <w:p w14:paraId="16E805B2">
                  <w:pPr>
                    <w:keepNext w:val="0"/>
                    <w:keepLines w:val="0"/>
                    <w:pageBreakBefore w:val="0"/>
                    <w:widowControl w:val="0"/>
                    <w:kinsoku/>
                    <w:wordWrap/>
                    <w:overflowPunct/>
                    <w:topLinePunct w:val="0"/>
                    <w:bidi w:val="0"/>
                    <w:adjustRightInd/>
                    <w:snapToGrid/>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应急检测、防护措施、清除泄漏措施和器材</w:t>
                  </w:r>
                </w:p>
              </w:tc>
              <w:tc>
                <w:tcPr>
                  <w:tcW w:w="4764" w:type="dxa"/>
                  <w:noWrap w:val="0"/>
                  <w:vAlign w:val="center"/>
                </w:tcPr>
                <w:p w14:paraId="0A57E9B3">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事故现场、邻近区域、控制防火区域，控制和清除污染措施及相应设备</w:t>
                  </w:r>
                </w:p>
              </w:tc>
            </w:tr>
            <w:tr w14:paraId="547FA72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8" w:type="dxa"/>
                  <w:noWrap w:val="0"/>
                  <w:vAlign w:val="center"/>
                </w:tcPr>
                <w:p w14:paraId="7C9D3BF3">
                  <w:pPr>
                    <w:keepNext w:val="0"/>
                    <w:keepLines w:val="0"/>
                    <w:pageBreakBefore w:val="0"/>
                    <w:widowControl w:val="0"/>
                    <w:kinsoku/>
                    <w:wordWrap/>
                    <w:overflowPunct/>
                    <w:topLinePunct w:val="0"/>
                    <w:bidi w:val="0"/>
                    <w:adjustRightInd/>
                    <w:snapToGrid/>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8</w:t>
                  </w:r>
                </w:p>
              </w:tc>
              <w:tc>
                <w:tcPr>
                  <w:tcW w:w="2255" w:type="dxa"/>
                  <w:noWrap w:val="0"/>
                  <w:vAlign w:val="center"/>
                </w:tcPr>
                <w:p w14:paraId="618084B8">
                  <w:pPr>
                    <w:keepNext w:val="0"/>
                    <w:keepLines w:val="0"/>
                    <w:pageBreakBefore w:val="0"/>
                    <w:widowControl w:val="0"/>
                    <w:kinsoku/>
                    <w:wordWrap/>
                    <w:overflowPunct/>
                    <w:topLinePunct w:val="0"/>
                    <w:bidi w:val="0"/>
                    <w:adjustRightInd/>
                    <w:snapToGrid/>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人员紧急撤离、疏散，应急剂量控制、撤离组织计划</w:t>
                  </w:r>
                </w:p>
              </w:tc>
              <w:tc>
                <w:tcPr>
                  <w:tcW w:w="4764" w:type="dxa"/>
                  <w:noWrap w:val="0"/>
                  <w:vAlign w:val="center"/>
                </w:tcPr>
                <w:p w14:paraId="787DA004">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事故现场、工厂邻近区、受事故影响的区域人员及公众对毒物应急剂量控制规定，撤离组织计划及救护，医疗救护与公众健康</w:t>
                  </w:r>
                </w:p>
              </w:tc>
            </w:tr>
            <w:tr w14:paraId="4CA40E7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8" w:type="dxa"/>
                  <w:noWrap w:val="0"/>
                  <w:vAlign w:val="center"/>
                </w:tcPr>
                <w:p w14:paraId="066075F9">
                  <w:pPr>
                    <w:keepNext w:val="0"/>
                    <w:keepLines w:val="0"/>
                    <w:pageBreakBefore w:val="0"/>
                    <w:widowControl w:val="0"/>
                    <w:kinsoku/>
                    <w:wordWrap/>
                    <w:overflowPunct/>
                    <w:topLinePunct w:val="0"/>
                    <w:bidi w:val="0"/>
                    <w:adjustRightInd/>
                    <w:snapToGrid/>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9</w:t>
                  </w:r>
                </w:p>
              </w:tc>
              <w:tc>
                <w:tcPr>
                  <w:tcW w:w="2255" w:type="dxa"/>
                  <w:noWrap w:val="0"/>
                  <w:vAlign w:val="center"/>
                </w:tcPr>
                <w:p w14:paraId="6C1EEB51">
                  <w:pPr>
                    <w:keepNext w:val="0"/>
                    <w:keepLines w:val="0"/>
                    <w:pageBreakBefore w:val="0"/>
                    <w:widowControl w:val="0"/>
                    <w:kinsoku/>
                    <w:wordWrap/>
                    <w:overflowPunct/>
                    <w:topLinePunct w:val="0"/>
                    <w:bidi w:val="0"/>
                    <w:adjustRightInd/>
                    <w:snapToGrid/>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事故应急救援关闭程序与恢复措施</w:t>
                  </w:r>
                </w:p>
              </w:tc>
              <w:tc>
                <w:tcPr>
                  <w:tcW w:w="4764" w:type="dxa"/>
                  <w:noWrap w:val="0"/>
                  <w:vAlign w:val="center"/>
                </w:tcPr>
                <w:p w14:paraId="3E2C3825">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规定应急状态终止程序故现场善后处理，恢复措施邻近区域解除事故警戒及善后恢复措施</w:t>
                  </w:r>
                </w:p>
              </w:tc>
            </w:tr>
            <w:tr w14:paraId="61C1BCD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8" w:type="dxa"/>
                  <w:noWrap w:val="0"/>
                  <w:vAlign w:val="center"/>
                </w:tcPr>
                <w:p w14:paraId="72326D97">
                  <w:pPr>
                    <w:keepNext w:val="0"/>
                    <w:keepLines w:val="0"/>
                    <w:pageBreakBefore w:val="0"/>
                    <w:widowControl w:val="0"/>
                    <w:kinsoku/>
                    <w:wordWrap/>
                    <w:overflowPunct/>
                    <w:topLinePunct w:val="0"/>
                    <w:bidi w:val="0"/>
                    <w:adjustRightInd/>
                    <w:snapToGrid/>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10</w:t>
                  </w:r>
                </w:p>
              </w:tc>
              <w:tc>
                <w:tcPr>
                  <w:tcW w:w="2255" w:type="dxa"/>
                  <w:noWrap w:val="0"/>
                  <w:vAlign w:val="center"/>
                </w:tcPr>
                <w:p w14:paraId="62740BAF">
                  <w:pPr>
                    <w:keepNext w:val="0"/>
                    <w:keepLines w:val="0"/>
                    <w:pageBreakBefore w:val="0"/>
                    <w:widowControl w:val="0"/>
                    <w:kinsoku/>
                    <w:wordWrap/>
                    <w:overflowPunct/>
                    <w:topLinePunct w:val="0"/>
                    <w:bidi w:val="0"/>
                    <w:adjustRightInd/>
                    <w:snapToGrid/>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应急培训计划</w:t>
                  </w:r>
                </w:p>
              </w:tc>
              <w:tc>
                <w:tcPr>
                  <w:tcW w:w="4764" w:type="dxa"/>
                  <w:noWrap w:val="0"/>
                  <w:vAlign w:val="center"/>
                </w:tcPr>
                <w:p w14:paraId="40C19398">
                  <w:pPr>
                    <w:keepNext w:val="0"/>
                    <w:keepLines w:val="0"/>
                    <w:pageBreakBefore w:val="0"/>
                    <w:widowControl w:val="0"/>
                    <w:kinsoku/>
                    <w:wordWrap/>
                    <w:overflowPunct/>
                    <w:topLinePunct w:val="0"/>
                    <w:bidi w:val="0"/>
                    <w:adjustRightInd/>
                    <w:snapToGrid/>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应急计划制定后，平时安排人员培训与演练</w:t>
                  </w:r>
                </w:p>
              </w:tc>
            </w:tr>
            <w:tr w14:paraId="6B0E63E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340" w:hRule="atLeast"/>
                <w:jc w:val="center"/>
              </w:trPr>
              <w:tc>
                <w:tcPr>
                  <w:tcW w:w="1088" w:type="dxa"/>
                  <w:noWrap w:val="0"/>
                  <w:vAlign w:val="center"/>
                </w:tcPr>
                <w:p w14:paraId="0A53A5ED">
                  <w:pPr>
                    <w:keepNext w:val="0"/>
                    <w:keepLines w:val="0"/>
                    <w:pageBreakBefore w:val="0"/>
                    <w:widowControl w:val="0"/>
                    <w:kinsoku/>
                    <w:wordWrap/>
                    <w:overflowPunct/>
                    <w:topLinePunct w:val="0"/>
                    <w:bidi w:val="0"/>
                    <w:adjustRightInd/>
                    <w:snapToGrid/>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11</w:t>
                  </w:r>
                </w:p>
              </w:tc>
              <w:tc>
                <w:tcPr>
                  <w:tcW w:w="2255" w:type="dxa"/>
                  <w:noWrap w:val="0"/>
                  <w:vAlign w:val="center"/>
                </w:tcPr>
                <w:p w14:paraId="3837D57F">
                  <w:pPr>
                    <w:keepNext w:val="0"/>
                    <w:keepLines w:val="0"/>
                    <w:pageBreakBefore w:val="0"/>
                    <w:widowControl w:val="0"/>
                    <w:kinsoku/>
                    <w:wordWrap/>
                    <w:overflowPunct/>
                    <w:topLinePunct w:val="0"/>
                    <w:bidi w:val="0"/>
                    <w:adjustRightInd/>
                    <w:snapToGrid/>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公众教育和信息</w:t>
                  </w:r>
                </w:p>
              </w:tc>
              <w:tc>
                <w:tcPr>
                  <w:tcW w:w="4764" w:type="dxa"/>
                  <w:noWrap w:val="0"/>
                  <w:vAlign w:val="center"/>
                </w:tcPr>
                <w:p w14:paraId="1AE78B30">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对工厂邻近地区开展公众教育、培训和发布有关信息</w:t>
                  </w:r>
                </w:p>
              </w:tc>
            </w:tr>
          </w:tbl>
          <w:p w14:paraId="09F2191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Times New Roman" w:hAnsi="Times New Roman" w:eastAsia="宋体" w:cs="Times New Roman"/>
                <w:color w:val="000000" w:themeColor="text1"/>
                <w:kern w:val="0"/>
                <w:sz w:val="24"/>
                <w:szCs w:val="24"/>
                <w:highlight w:val="none"/>
                <w:lang w:eastAsia="zh-CN"/>
              </w:rPr>
            </w:pPr>
            <w:r>
              <w:rPr>
                <w:rFonts w:hint="default" w:ascii="Times New Roman" w:hAnsi="Times New Roman" w:eastAsia="宋体" w:cs="Times New Roman"/>
                <w:color w:val="000000" w:themeColor="text1"/>
                <w:kern w:val="0"/>
                <w:sz w:val="24"/>
                <w:szCs w:val="24"/>
                <w:highlight w:val="none"/>
                <w:lang w:eastAsia="zh-CN"/>
              </w:rPr>
              <w:t>通过制定风险防范措施，制定安全生产规范，通过加强员</w:t>
            </w:r>
            <w:r>
              <w:rPr>
                <w:rFonts w:hint="default" w:ascii="Times New Roman" w:hAnsi="Times New Roman" w:eastAsia="宋体" w:cs="Times New Roman"/>
                <w:color w:val="000000" w:themeColor="text1"/>
                <w:kern w:val="0"/>
                <w:sz w:val="24"/>
                <w:szCs w:val="24"/>
                <w:highlight w:val="none"/>
                <w:lang w:val="en-US" w:eastAsia="zh-CN"/>
              </w:rPr>
              <w:t>工</w:t>
            </w:r>
            <w:r>
              <w:rPr>
                <w:rFonts w:hint="default" w:ascii="Times New Roman" w:hAnsi="Times New Roman" w:eastAsia="宋体" w:cs="Times New Roman"/>
                <w:color w:val="000000" w:themeColor="text1"/>
                <w:kern w:val="0"/>
                <w:sz w:val="24"/>
                <w:szCs w:val="24"/>
                <w:highlight w:val="none"/>
                <w:lang w:eastAsia="zh-CN"/>
              </w:rPr>
              <w:t>的安全、环保知识和风险事故安全教育，提高职工的风险意识，掌握本职工作所需安全知识和技能，严格遵守安全规章制度和操作规程，了解其作业场所和工作存在的危险有害因素以及企业所采取的防范措施和环境突发事故应急措施，以减少风险发生的概率。因此，拟建项目通过落实上述风险防范措施，其发生概率可进一步降低，其影响可以进一步减轻，环境风险是可以承受的</w:t>
            </w:r>
            <w:r>
              <w:rPr>
                <w:rFonts w:hint="eastAsia" w:ascii="Times New Roman" w:hAnsi="Times New Roman" w:eastAsia="宋体" w:cs="Times New Roman"/>
                <w:color w:val="000000" w:themeColor="text1"/>
                <w:kern w:val="0"/>
                <w:sz w:val="24"/>
                <w:szCs w:val="24"/>
                <w:highlight w:val="none"/>
                <w:lang w:eastAsia="zh-CN"/>
              </w:rPr>
              <w:t>。</w:t>
            </w:r>
          </w:p>
          <w:p w14:paraId="664CAC8C">
            <w:pPr>
              <w:jc w:val="center"/>
              <w:rPr>
                <w:b/>
              </w:rPr>
            </w:pPr>
            <w:r>
              <w:rPr>
                <w:rFonts w:hint="eastAsia"/>
                <w:b/>
              </w:rPr>
              <w:t>表4-</w:t>
            </w:r>
            <w:r>
              <w:rPr>
                <w:rFonts w:hint="eastAsia"/>
                <w:b/>
                <w:lang w:val="en-US" w:eastAsia="zh-CN"/>
              </w:rPr>
              <w:t>21</w:t>
            </w:r>
            <w:r>
              <w:rPr>
                <w:rFonts w:hint="eastAsia"/>
                <w:b/>
              </w:rPr>
              <w:t xml:space="preserve">  建设项目环境风险简单分析内容表</w:t>
            </w:r>
          </w:p>
          <w:tbl>
            <w:tblPr>
              <w:tblStyle w:val="25"/>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1047"/>
              <w:gridCol w:w="834"/>
              <w:gridCol w:w="1179"/>
              <w:gridCol w:w="520"/>
              <w:gridCol w:w="1056"/>
              <w:gridCol w:w="2525"/>
            </w:tblGrid>
            <w:tr w14:paraId="38E85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tcBorders>
                    <w:tl2br w:val="nil"/>
                    <w:tr2bl w:val="nil"/>
                  </w:tcBorders>
                  <w:noWrap/>
                  <w:vAlign w:val="center"/>
                </w:tcPr>
                <w:p w14:paraId="41AE8196">
                  <w:pPr>
                    <w:pStyle w:val="14"/>
                    <w:numPr>
                      <w:ilvl w:val="0"/>
                      <w:numId w:val="0"/>
                    </w:numPr>
                    <w:jc w:val="center"/>
                    <w:rPr>
                      <w:b/>
                      <w:bCs/>
                      <w:sz w:val="21"/>
                      <w:szCs w:val="21"/>
                    </w:rPr>
                  </w:pPr>
                  <w:r>
                    <w:rPr>
                      <w:rFonts w:hint="eastAsia"/>
                      <w:b/>
                      <w:bCs/>
                      <w:sz w:val="21"/>
                      <w:szCs w:val="21"/>
                    </w:rPr>
                    <w:t>建设项目名称</w:t>
                  </w:r>
                </w:p>
              </w:tc>
              <w:tc>
                <w:tcPr>
                  <w:tcW w:w="7161" w:type="dxa"/>
                  <w:gridSpan w:val="6"/>
                  <w:tcBorders>
                    <w:tl2br w:val="nil"/>
                    <w:tr2bl w:val="nil"/>
                  </w:tcBorders>
                  <w:noWrap/>
                  <w:vAlign w:val="center"/>
                </w:tcPr>
                <w:p w14:paraId="4975945A">
                  <w:pPr>
                    <w:pStyle w:val="14"/>
                    <w:numPr>
                      <w:ilvl w:val="0"/>
                      <w:numId w:val="0"/>
                    </w:numPr>
                    <w:rPr>
                      <w:rFonts w:hint="eastAsia" w:eastAsia="宋体"/>
                      <w:b/>
                      <w:bCs/>
                      <w:sz w:val="21"/>
                      <w:szCs w:val="21"/>
                      <w:lang w:eastAsia="zh-CN"/>
                    </w:rPr>
                  </w:pPr>
                  <w:r>
                    <w:rPr>
                      <w:rFonts w:hint="eastAsia"/>
                      <w:b w:val="0"/>
                      <w:bCs/>
                      <w:sz w:val="21"/>
                      <w:szCs w:val="21"/>
                      <w:lang w:eastAsia="zh-CN"/>
                    </w:rPr>
                    <w:t>胡杨河市广泰建材有限公司年产20万m</w:t>
                  </w:r>
                  <w:r>
                    <w:rPr>
                      <w:rFonts w:hint="eastAsia"/>
                      <w:b w:val="0"/>
                      <w:bCs/>
                      <w:sz w:val="21"/>
                      <w:szCs w:val="21"/>
                      <w:vertAlign w:val="superscript"/>
                      <w:lang w:eastAsia="zh-CN"/>
                    </w:rPr>
                    <w:t>3</w:t>
                  </w:r>
                  <w:r>
                    <w:rPr>
                      <w:rFonts w:hint="eastAsia"/>
                      <w:b w:val="0"/>
                      <w:bCs/>
                      <w:sz w:val="21"/>
                      <w:szCs w:val="21"/>
                      <w:lang w:eastAsia="zh-CN"/>
                    </w:rPr>
                    <w:t>蒸压加气混凝土砌块和蒸压加气混凝土ALC配筋板材建设</w:t>
                  </w:r>
                </w:p>
              </w:tc>
            </w:tr>
            <w:tr w14:paraId="0A754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tcBorders>
                    <w:tl2br w:val="nil"/>
                    <w:tr2bl w:val="nil"/>
                  </w:tcBorders>
                  <w:noWrap/>
                  <w:vAlign w:val="center"/>
                </w:tcPr>
                <w:p w14:paraId="760DA91E">
                  <w:pPr>
                    <w:pStyle w:val="14"/>
                    <w:numPr>
                      <w:ilvl w:val="0"/>
                      <w:numId w:val="0"/>
                    </w:numPr>
                    <w:jc w:val="center"/>
                    <w:rPr>
                      <w:b/>
                      <w:bCs/>
                      <w:sz w:val="21"/>
                      <w:szCs w:val="21"/>
                    </w:rPr>
                  </w:pPr>
                  <w:r>
                    <w:rPr>
                      <w:rFonts w:hint="eastAsia"/>
                      <w:b/>
                      <w:bCs/>
                      <w:sz w:val="21"/>
                      <w:szCs w:val="21"/>
                    </w:rPr>
                    <w:t>建设地点</w:t>
                  </w:r>
                </w:p>
              </w:tc>
              <w:tc>
                <w:tcPr>
                  <w:tcW w:w="1881" w:type="dxa"/>
                  <w:gridSpan w:val="2"/>
                  <w:tcBorders>
                    <w:tl2br w:val="nil"/>
                    <w:tr2bl w:val="nil"/>
                  </w:tcBorders>
                  <w:noWrap/>
                  <w:vAlign w:val="center"/>
                </w:tcPr>
                <w:p w14:paraId="6B07CAF6">
                  <w:pPr>
                    <w:pStyle w:val="14"/>
                    <w:numPr>
                      <w:ilvl w:val="0"/>
                      <w:numId w:val="0"/>
                    </w:numPr>
                    <w:ind w:left="0" w:leftChars="0" w:firstLine="0" w:firstLineChars="0"/>
                    <w:jc w:val="center"/>
                    <w:rPr>
                      <w:rFonts w:hint="eastAsia" w:eastAsia="宋体"/>
                      <w:sz w:val="21"/>
                      <w:szCs w:val="21"/>
                      <w:lang w:val="en-US" w:eastAsia="zh-CN"/>
                    </w:rPr>
                  </w:pPr>
                  <w:r>
                    <w:rPr>
                      <w:rFonts w:hint="eastAsia"/>
                      <w:sz w:val="21"/>
                      <w:szCs w:val="21"/>
                      <w:lang w:val="en-US" w:eastAsia="zh-CN"/>
                    </w:rPr>
                    <w:t>第七师</w:t>
                  </w:r>
                </w:p>
              </w:tc>
              <w:tc>
                <w:tcPr>
                  <w:tcW w:w="1179" w:type="dxa"/>
                  <w:tcBorders>
                    <w:tl2br w:val="nil"/>
                    <w:tr2bl w:val="nil"/>
                  </w:tcBorders>
                  <w:noWrap/>
                  <w:vAlign w:val="center"/>
                </w:tcPr>
                <w:p w14:paraId="5437ED19">
                  <w:pPr>
                    <w:pStyle w:val="14"/>
                    <w:numPr>
                      <w:ilvl w:val="0"/>
                      <w:numId w:val="0"/>
                    </w:numPr>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胡杨河市</w:t>
                  </w:r>
                </w:p>
              </w:tc>
              <w:tc>
                <w:tcPr>
                  <w:tcW w:w="4101" w:type="dxa"/>
                  <w:gridSpan w:val="3"/>
                  <w:tcBorders>
                    <w:tl2br w:val="nil"/>
                    <w:tr2bl w:val="nil"/>
                  </w:tcBorders>
                  <w:noWrap/>
                  <w:vAlign w:val="center"/>
                </w:tcPr>
                <w:p w14:paraId="6EE3B29F">
                  <w:pPr>
                    <w:pStyle w:val="14"/>
                    <w:numPr>
                      <w:ilvl w:val="0"/>
                      <w:numId w:val="0"/>
                    </w:numPr>
                    <w:rPr>
                      <w:rFonts w:hint="eastAsia" w:ascii="Times New Roman" w:hAnsi="Times New Roman" w:eastAsia="宋体" w:cs="Times New Roman"/>
                      <w:b w:val="0"/>
                      <w:bCs/>
                      <w:sz w:val="21"/>
                      <w:szCs w:val="21"/>
                      <w:lang w:eastAsia="zh-CN"/>
                    </w:rPr>
                  </w:pPr>
                  <w:r>
                    <w:rPr>
                      <w:rFonts w:hint="eastAsia" w:ascii="Times New Roman" w:hAnsi="Times New Roman" w:eastAsia="宋体" w:cs="Times New Roman"/>
                      <w:b w:val="0"/>
                      <w:bCs/>
                      <w:sz w:val="21"/>
                      <w:szCs w:val="21"/>
                      <w:lang w:val="en-US" w:eastAsia="zh-CN"/>
                    </w:rPr>
                    <w:t>胡杨河经济技术开发区大道18号</w:t>
                  </w:r>
                </w:p>
              </w:tc>
            </w:tr>
            <w:tr w14:paraId="6DD36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tcBorders>
                    <w:tl2br w:val="nil"/>
                    <w:tr2bl w:val="nil"/>
                  </w:tcBorders>
                  <w:noWrap/>
                  <w:vAlign w:val="center"/>
                </w:tcPr>
                <w:p w14:paraId="4E40B42E">
                  <w:pPr>
                    <w:pStyle w:val="14"/>
                    <w:numPr>
                      <w:ilvl w:val="0"/>
                      <w:numId w:val="0"/>
                    </w:numPr>
                    <w:jc w:val="center"/>
                    <w:rPr>
                      <w:b/>
                      <w:bCs/>
                      <w:sz w:val="21"/>
                      <w:szCs w:val="21"/>
                    </w:rPr>
                  </w:pPr>
                  <w:r>
                    <w:rPr>
                      <w:rFonts w:hint="eastAsia"/>
                      <w:b/>
                      <w:bCs/>
                      <w:sz w:val="21"/>
                      <w:szCs w:val="21"/>
                    </w:rPr>
                    <w:t>地理坐标</w:t>
                  </w:r>
                </w:p>
              </w:tc>
              <w:tc>
                <w:tcPr>
                  <w:tcW w:w="1047" w:type="dxa"/>
                  <w:tcBorders>
                    <w:tl2br w:val="nil"/>
                    <w:tr2bl w:val="nil"/>
                  </w:tcBorders>
                  <w:noWrap/>
                  <w:vAlign w:val="center"/>
                </w:tcPr>
                <w:p w14:paraId="7D074A24">
                  <w:pPr>
                    <w:pStyle w:val="14"/>
                    <w:numPr>
                      <w:ilvl w:val="0"/>
                      <w:numId w:val="0"/>
                    </w:numPr>
                    <w:jc w:val="center"/>
                    <w:rPr>
                      <w:sz w:val="21"/>
                      <w:szCs w:val="21"/>
                    </w:rPr>
                  </w:pPr>
                  <w:r>
                    <w:rPr>
                      <w:rFonts w:hint="eastAsia"/>
                      <w:sz w:val="21"/>
                      <w:szCs w:val="21"/>
                    </w:rPr>
                    <w:t>经度</w:t>
                  </w:r>
                </w:p>
              </w:tc>
              <w:tc>
                <w:tcPr>
                  <w:tcW w:w="2533" w:type="dxa"/>
                  <w:gridSpan w:val="3"/>
                  <w:tcBorders>
                    <w:tl2br w:val="nil"/>
                    <w:tr2bl w:val="nil"/>
                  </w:tcBorders>
                  <w:noWrap/>
                  <w:vAlign w:val="center"/>
                </w:tcPr>
                <w:p w14:paraId="23823B33">
                  <w:pPr>
                    <w:pStyle w:val="14"/>
                    <w:numPr>
                      <w:ilvl w:val="0"/>
                      <w:numId w:val="0"/>
                    </w:numPr>
                    <w:jc w:val="center"/>
                    <w:rPr>
                      <w:rFonts w:hint="eastAsia" w:ascii="Times New Roman" w:hAnsi="Times New Roman" w:eastAsia="宋体" w:cs="Times New Roman"/>
                      <w:b w:val="0"/>
                      <w:bCs/>
                      <w:sz w:val="21"/>
                      <w:szCs w:val="21"/>
                      <w:lang w:eastAsia="zh-CN"/>
                    </w:rPr>
                  </w:pPr>
                  <w:r>
                    <w:rPr>
                      <w:rFonts w:hint="eastAsia" w:ascii="Times New Roman" w:hAnsi="Times New Roman" w:eastAsia="宋体" w:cs="Times New Roman"/>
                      <w:b w:val="0"/>
                      <w:bCs/>
                      <w:sz w:val="21"/>
                      <w:szCs w:val="21"/>
                      <w:lang w:eastAsia="zh-CN"/>
                    </w:rPr>
                    <w:t>8</w:t>
                  </w:r>
                  <w:r>
                    <w:rPr>
                      <w:rFonts w:hint="eastAsia" w:ascii="Times New Roman" w:hAnsi="Times New Roman" w:eastAsia="宋体" w:cs="Times New Roman"/>
                      <w:b w:val="0"/>
                      <w:bCs/>
                      <w:sz w:val="21"/>
                      <w:szCs w:val="21"/>
                      <w:lang w:val="en-US" w:eastAsia="zh-CN"/>
                    </w:rPr>
                    <w:t>4</w:t>
                  </w:r>
                  <w:r>
                    <w:rPr>
                      <w:rFonts w:hint="eastAsia" w:ascii="Times New Roman" w:hAnsi="Times New Roman" w:eastAsia="宋体" w:cs="Times New Roman"/>
                      <w:b w:val="0"/>
                      <w:bCs/>
                      <w:sz w:val="21"/>
                      <w:szCs w:val="21"/>
                      <w:lang w:eastAsia="zh-CN"/>
                    </w:rPr>
                    <w:t>°</w:t>
                  </w:r>
                  <w:r>
                    <w:rPr>
                      <w:rFonts w:hint="eastAsia" w:ascii="Times New Roman" w:hAnsi="Times New Roman" w:eastAsia="宋体" w:cs="Times New Roman"/>
                      <w:b w:val="0"/>
                      <w:bCs/>
                      <w:sz w:val="21"/>
                      <w:szCs w:val="21"/>
                      <w:lang w:val="en-US" w:eastAsia="zh-CN"/>
                    </w:rPr>
                    <w:t>52</w:t>
                  </w:r>
                  <w:r>
                    <w:rPr>
                      <w:rFonts w:hint="eastAsia" w:ascii="Times New Roman" w:hAnsi="Times New Roman" w:eastAsia="宋体" w:cs="Times New Roman"/>
                      <w:b w:val="0"/>
                      <w:bCs/>
                      <w:sz w:val="21"/>
                      <w:szCs w:val="21"/>
                      <w:lang w:eastAsia="zh-CN"/>
                    </w:rPr>
                    <w:t>′</w:t>
                  </w:r>
                  <w:r>
                    <w:rPr>
                      <w:rFonts w:hint="eastAsia" w:ascii="Times New Roman" w:hAnsi="Times New Roman" w:eastAsia="宋体" w:cs="Times New Roman"/>
                      <w:b w:val="0"/>
                      <w:bCs/>
                      <w:sz w:val="21"/>
                      <w:szCs w:val="21"/>
                      <w:lang w:val="en-US" w:eastAsia="zh-CN"/>
                    </w:rPr>
                    <w:t>11.921</w:t>
                  </w:r>
                  <w:r>
                    <w:rPr>
                      <w:rFonts w:hint="eastAsia" w:ascii="Times New Roman" w:hAnsi="Times New Roman" w:eastAsia="宋体" w:cs="Times New Roman"/>
                      <w:b w:val="0"/>
                      <w:bCs/>
                      <w:sz w:val="21"/>
                      <w:szCs w:val="21"/>
                      <w:lang w:eastAsia="zh-CN"/>
                    </w:rPr>
                    <w:t>″</w:t>
                  </w:r>
                </w:p>
              </w:tc>
              <w:tc>
                <w:tcPr>
                  <w:tcW w:w="1056" w:type="dxa"/>
                  <w:tcBorders>
                    <w:tl2br w:val="nil"/>
                    <w:tr2bl w:val="nil"/>
                  </w:tcBorders>
                  <w:noWrap/>
                  <w:vAlign w:val="center"/>
                </w:tcPr>
                <w:p w14:paraId="03162F89">
                  <w:pPr>
                    <w:pStyle w:val="14"/>
                    <w:numPr>
                      <w:ilvl w:val="0"/>
                      <w:numId w:val="0"/>
                    </w:numPr>
                    <w:jc w:val="center"/>
                    <w:rPr>
                      <w:rFonts w:hint="eastAsia" w:ascii="Times New Roman" w:hAnsi="Times New Roman" w:eastAsia="宋体" w:cs="Times New Roman"/>
                      <w:b w:val="0"/>
                      <w:bCs/>
                      <w:sz w:val="21"/>
                      <w:szCs w:val="21"/>
                      <w:lang w:eastAsia="zh-CN"/>
                    </w:rPr>
                  </w:pPr>
                  <w:r>
                    <w:rPr>
                      <w:rFonts w:hint="eastAsia" w:ascii="Times New Roman" w:hAnsi="Times New Roman" w:eastAsia="宋体" w:cs="Times New Roman"/>
                      <w:b w:val="0"/>
                      <w:bCs/>
                      <w:sz w:val="21"/>
                      <w:szCs w:val="21"/>
                      <w:lang w:eastAsia="zh-CN"/>
                    </w:rPr>
                    <w:t>纬度</w:t>
                  </w:r>
                </w:p>
              </w:tc>
              <w:tc>
                <w:tcPr>
                  <w:tcW w:w="2525" w:type="dxa"/>
                  <w:tcBorders>
                    <w:tl2br w:val="nil"/>
                    <w:tr2bl w:val="nil"/>
                  </w:tcBorders>
                  <w:noWrap/>
                  <w:vAlign w:val="center"/>
                </w:tcPr>
                <w:p w14:paraId="4A9FC740">
                  <w:pPr>
                    <w:pStyle w:val="14"/>
                    <w:numPr>
                      <w:ilvl w:val="0"/>
                      <w:numId w:val="0"/>
                    </w:numPr>
                    <w:jc w:val="center"/>
                    <w:rPr>
                      <w:rFonts w:hint="eastAsia" w:ascii="Times New Roman" w:hAnsi="Times New Roman" w:eastAsia="宋体" w:cs="Times New Roman"/>
                      <w:b w:val="0"/>
                      <w:bCs/>
                      <w:sz w:val="21"/>
                      <w:szCs w:val="21"/>
                      <w:lang w:eastAsia="zh-CN"/>
                    </w:rPr>
                  </w:pPr>
                  <w:r>
                    <w:rPr>
                      <w:rFonts w:hint="eastAsia" w:ascii="Times New Roman" w:hAnsi="Times New Roman" w:eastAsia="宋体" w:cs="Times New Roman"/>
                      <w:b w:val="0"/>
                      <w:bCs/>
                      <w:sz w:val="21"/>
                      <w:szCs w:val="21"/>
                      <w:lang w:val="en-US" w:eastAsia="zh-CN"/>
                    </w:rPr>
                    <w:t>44</w:t>
                  </w:r>
                  <w:r>
                    <w:rPr>
                      <w:rFonts w:hint="eastAsia" w:ascii="Times New Roman" w:hAnsi="Times New Roman" w:eastAsia="宋体" w:cs="Times New Roman"/>
                      <w:b w:val="0"/>
                      <w:bCs/>
                      <w:sz w:val="21"/>
                      <w:szCs w:val="21"/>
                      <w:lang w:eastAsia="zh-CN"/>
                    </w:rPr>
                    <w:t>°</w:t>
                  </w:r>
                  <w:r>
                    <w:rPr>
                      <w:rFonts w:hint="eastAsia" w:ascii="Times New Roman" w:hAnsi="Times New Roman" w:eastAsia="宋体" w:cs="Times New Roman"/>
                      <w:b w:val="0"/>
                      <w:bCs/>
                      <w:sz w:val="21"/>
                      <w:szCs w:val="21"/>
                      <w:lang w:val="en-US" w:eastAsia="zh-CN"/>
                    </w:rPr>
                    <w:t>47</w:t>
                  </w:r>
                  <w:r>
                    <w:rPr>
                      <w:rFonts w:hint="eastAsia" w:ascii="Times New Roman" w:hAnsi="Times New Roman" w:eastAsia="宋体" w:cs="Times New Roman"/>
                      <w:b w:val="0"/>
                      <w:bCs/>
                      <w:sz w:val="21"/>
                      <w:szCs w:val="21"/>
                      <w:lang w:eastAsia="zh-CN"/>
                    </w:rPr>
                    <w:t>′</w:t>
                  </w:r>
                  <w:r>
                    <w:rPr>
                      <w:rFonts w:hint="eastAsia" w:ascii="Times New Roman" w:hAnsi="Times New Roman" w:eastAsia="宋体" w:cs="Times New Roman"/>
                      <w:b w:val="0"/>
                      <w:bCs/>
                      <w:sz w:val="21"/>
                      <w:szCs w:val="21"/>
                      <w:lang w:val="en-US" w:eastAsia="zh-CN"/>
                    </w:rPr>
                    <w:t>46.633</w:t>
                  </w:r>
                  <w:r>
                    <w:rPr>
                      <w:rFonts w:hint="eastAsia" w:ascii="Times New Roman" w:hAnsi="Times New Roman" w:eastAsia="宋体" w:cs="Times New Roman"/>
                      <w:b w:val="0"/>
                      <w:bCs/>
                      <w:sz w:val="21"/>
                      <w:szCs w:val="21"/>
                      <w:lang w:eastAsia="zh-CN"/>
                    </w:rPr>
                    <w:t>″</w:t>
                  </w:r>
                </w:p>
              </w:tc>
            </w:tr>
            <w:tr w14:paraId="0CF6B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tcBorders>
                    <w:tl2br w:val="nil"/>
                    <w:tr2bl w:val="nil"/>
                  </w:tcBorders>
                  <w:noWrap/>
                  <w:vAlign w:val="center"/>
                </w:tcPr>
                <w:p w14:paraId="3C612880">
                  <w:pPr>
                    <w:pStyle w:val="63"/>
                    <w:keepNext w:val="0"/>
                    <w:keepLines w:val="0"/>
                    <w:suppressLineNumbers w:val="0"/>
                    <w:spacing w:before="0" w:beforeAutospacing="0" w:after="0" w:afterAutospacing="0"/>
                    <w:ind w:left="0" w:leftChars="0" w:right="0" w:rightChars="0"/>
                    <w:jc w:val="center"/>
                    <w:rPr>
                      <w:rFonts w:hint="eastAsia"/>
                      <w:b/>
                      <w:bCs/>
                      <w:sz w:val="21"/>
                      <w:szCs w:val="21"/>
                    </w:rPr>
                  </w:pPr>
                  <w:r>
                    <w:rPr>
                      <w:rFonts w:hint="default" w:ascii="Times New Roman" w:hAnsi="Times New Roman" w:eastAsia="宋体" w:cs="Times New Roman"/>
                      <w:b/>
                      <w:bCs/>
                      <w:snapToGrid/>
                      <w:kern w:val="2"/>
                      <w:sz w:val="21"/>
                      <w:szCs w:val="21"/>
                      <w:lang w:val="en-US" w:eastAsia="zh-CN" w:bidi="ar-SA"/>
                    </w:rPr>
                    <w:t>主要危险物质及分布</w:t>
                  </w:r>
                </w:p>
              </w:tc>
              <w:tc>
                <w:tcPr>
                  <w:tcW w:w="7161" w:type="dxa"/>
                  <w:gridSpan w:val="6"/>
                  <w:tcBorders>
                    <w:tl2br w:val="nil"/>
                    <w:tr2bl w:val="nil"/>
                  </w:tcBorders>
                  <w:noWrap/>
                  <w:vAlign w:val="center"/>
                </w:tcPr>
                <w:p w14:paraId="0DC94549">
                  <w:pPr>
                    <w:pStyle w:val="63"/>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本项目涉及物料</w:t>
                  </w:r>
                  <w:r>
                    <w:rPr>
                      <w:rFonts w:hint="default" w:ascii="Times New Roman" w:hAnsi="Times New Roman" w:eastAsia="宋体" w:cs="Times New Roman"/>
                      <w:color w:val="auto"/>
                      <w:sz w:val="21"/>
                      <w:szCs w:val="21"/>
                      <w:highlight w:val="none"/>
                      <w:lang w:val="en-US" w:eastAsia="zh-CN"/>
                    </w:rPr>
                    <w:t>废机油</w:t>
                  </w:r>
                  <w:r>
                    <w:rPr>
                      <w:rFonts w:hint="eastAsia" w:ascii="Times New Roman" w:hAnsi="Times New Roman" w:eastAsia="宋体" w:cs="Times New Roman"/>
                      <w:color w:val="auto"/>
                      <w:sz w:val="21"/>
                      <w:szCs w:val="21"/>
                      <w:highlight w:val="none"/>
                      <w:lang w:val="en-US" w:eastAsia="zh-CN"/>
                    </w:rPr>
                    <w:t>、废活性炭和废包装桶</w:t>
                  </w:r>
                  <w:r>
                    <w:rPr>
                      <w:rFonts w:hint="default" w:ascii="Times New Roman" w:hAnsi="Times New Roman" w:eastAsia="宋体" w:cs="Times New Roman"/>
                      <w:color w:val="auto"/>
                      <w:sz w:val="21"/>
                      <w:szCs w:val="21"/>
                      <w:highlight w:val="none"/>
                    </w:rPr>
                    <w:t>属于危险物质</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分布在危险废物</w:t>
                  </w:r>
                  <w:r>
                    <w:rPr>
                      <w:rFonts w:hint="eastAsia" w:ascii="Times New Roman" w:hAnsi="Times New Roman" w:eastAsia="宋体" w:cs="Times New Roman"/>
                      <w:color w:val="auto"/>
                      <w:sz w:val="21"/>
                      <w:szCs w:val="21"/>
                      <w:highlight w:val="none"/>
                      <w:lang w:val="en-US" w:eastAsia="zh-CN"/>
                    </w:rPr>
                    <w:t>贮存库</w:t>
                  </w:r>
                  <w:r>
                    <w:rPr>
                      <w:rFonts w:hint="default" w:ascii="Times New Roman" w:hAnsi="Times New Roman" w:eastAsia="宋体" w:cs="Times New Roman"/>
                      <w:color w:val="auto"/>
                      <w:sz w:val="21"/>
                      <w:szCs w:val="21"/>
                      <w:highlight w:val="none"/>
                    </w:rPr>
                    <w:t>。</w:t>
                  </w:r>
                </w:p>
              </w:tc>
            </w:tr>
            <w:tr w14:paraId="0154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tcBorders>
                    <w:tl2br w:val="nil"/>
                    <w:tr2bl w:val="nil"/>
                  </w:tcBorders>
                  <w:noWrap/>
                  <w:vAlign w:val="center"/>
                </w:tcPr>
                <w:p w14:paraId="698805C2">
                  <w:pPr>
                    <w:pStyle w:val="14"/>
                    <w:numPr>
                      <w:ilvl w:val="0"/>
                      <w:numId w:val="0"/>
                    </w:numPr>
                    <w:jc w:val="center"/>
                    <w:rPr>
                      <w:b/>
                      <w:bCs/>
                      <w:sz w:val="21"/>
                      <w:szCs w:val="21"/>
                    </w:rPr>
                  </w:pPr>
                  <w:r>
                    <w:rPr>
                      <w:rFonts w:hint="eastAsia"/>
                      <w:b/>
                      <w:bCs/>
                      <w:sz w:val="21"/>
                      <w:szCs w:val="21"/>
                    </w:rPr>
                    <w:t>环境影响途径及危害后果</w:t>
                  </w:r>
                </w:p>
              </w:tc>
              <w:tc>
                <w:tcPr>
                  <w:tcW w:w="7161" w:type="dxa"/>
                  <w:gridSpan w:val="6"/>
                  <w:tcBorders>
                    <w:tl2br w:val="nil"/>
                    <w:tr2bl w:val="nil"/>
                  </w:tcBorders>
                  <w:noWrap/>
                  <w:vAlign w:val="center"/>
                </w:tcPr>
                <w:p w14:paraId="5284D34E">
                  <w:pPr>
                    <w:pStyle w:val="14"/>
                    <w:numPr>
                      <w:ilvl w:val="0"/>
                      <w:numId w:val="0"/>
                    </w:numPr>
                    <w:jc w:val="center"/>
                    <w:rPr>
                      <w:sz w:val="21"/>
                      <w:szCs w:val="21"/>
                    </w:rPr>
                  </w:pPr>
                  <w:r>
                    <w:rPr>
                      <w:rFonts w:hint="default" w:ascii="Times New Roman" w:hAnsi="Times New Roman" w:eastAsia="宋体" w:cs="Times New Roman"/>
                      <w:color w:val="auto"/>
                      <w:sz w:val="21"/>
                      <w:szCs w:val="21"/>
                      <w:highlight w:val="none"/>
                    </w:rPr>
                    <w:t>本项目</w:t>
                  </w:r>
                  <w:r>
                    <w:rPr>
                      <w:rFonts w:hint="default" w:ascii="Times New Roman" w:hAnsi="Times New Roman" w:eastAsia="宋体" w:cs="Times New Roman"/>
                      <w:color w:val="auto"/>
                      <w:sz w:val="21"/>
                      <w:szCs w:val="21"/>
                      <w:highlight w:val="none"/>
                      <w:lang w:val="en-US" w:eastAsia="zh-CN"/>
                    </w:rPr>
                    <w:t>废机油</w:t>
                  </w:r>
                  <w:r>
                    <w:rPr>
                      <w:rFonts w:hint="default" w:ascii="Times New Roman" w:hAnsi="Times New Roman" w:eastAsia="宋体" w:cs="Times New Roman"/>
                      <w:color w:val="auto"/>
                      <w:sz w:val="21"/>
                      <w:szCs w:val="21"/>
                      <w:highlight w:val="none"/>
                    </w:rPr>
                    <w:t>泄漏可能对周围水环境、土壤环境造成污染</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lang w:val="en-US" w:eastAsia="zh-CN"/>
                    </w:rPr>
                    <w:t>非甲烷总烃事故性排放对</w:t>
                  </w:r>
                  <w:r>
                    <w:rPr>
                      <w:rFonts w:hint="default" w:ascii="Times New Roman" w:hAnsi="Times New Roman" w:eastAsia="宋体" w:cs="Times New Roman"/>
                      <w:color w:val="auto"/>
                      <w:sz w:val="21"/>
                      <w:szCs w:val="21"/>
                      <w:highlight w:val="none"/>
                    </w:rPr>
                    <w:t>周围水环境、土壤环境</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大气环境造成污染。</w:t>
                  </w:r>
                </w:p>
              </w:tc>
            </w:tr>
            <w:tr w14:paraId="584A7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tcBorders>
                    <w:tl2br w:val="nil"/>
                    <w:tr2bl w:val="nil"/>
                  </w:tcBorders>
                  <w:noWrap/>
                  <w:vAlign w:val="center"/>
                </w:tcPr>
                <w:p w14:paraId="6F75E442">
                  <w:pPr>
                    <w:pStyle w:val="14"/>
                    <w:numPr>
                      <w:ilvl w:val="0"/>
                      <w:numId w:val="0"/>
                    </w:numPr>
                    <w:jc w:val="center"/>
                    <w:rPr>
                      <w:b/>
                      <w:bCs/>
                      <w:sz w:val="21"/>
                      <w:szCs w:val="21"/>
                    </w:rPr>
                  </w:pPr>
                  <w:r>
                    <w:rPr>
                      <w:rFonts w:hint="eastAsia"/>
                      <w:b/>
                      <w:bCs/>
                      <w:sz w:val="21"/>
                      <w:szCs w:val="21"/>
                    </w:rPr>
                    <w:t>风险防范措施</w:t>
                  </w:r>
                </w:p>
              </w:tc>
              <w:tc>
                <w:tcPr>
                  <w:tcW w:w="7161" w:type="dxa"/>
                  <w:gridSpan w:val="6"/>
                  <w:tcBorders>
                    <w:tl2br w:val="nil"/>
                    <w:tr2bl w:val="nil"/>
                  </w:tcBorders>
                  <w:noWrap/>
                  <w:vAlign w:val="center"/>
                </w:tcPr>
                <w:p w14:paraId="2AEA1366">
                  <w:pPr>
                    <w:pStyle w:val="14"/>
                    <w:numPr>
                      <w:ilvl w:val="0"/>
                      <w:numId w:val="0"/>
                    </w:numPr>
                    <w:rPr>
                      <w:sz w:val="21"/>
                      <w:szCs w:val="21"/>
                    </w:rPr>
                  </w:pPr>
                  <w:r>
                    <w:rPr>
                      <w:rFonts w:hint="eastAsia"/>
                      <w:sz w:val="21"/>
                      <w:szCs w:val="21"/>
                    </w:rPr>
                    <w:t>①定期进行安全保护系统检查，截止阀、安全阀等应处于良好状态。加强日常维护与管理，定期检漏和测量管壁厚度。加强维护保养，所有管线、阀件都应固定牢靠、连接紧密、严密不漏。</w:t>
                  </w:r>
                </w:p>
                <w:p w14:paraId="1DAAEB58">
                  <w:pPr>
                    <w:pStyle w:val="14"/>
                    <w:numPr>
                      <w:ilvl w:val="0"/>
                      <w:numId w:val="0"/>
                    </w:numPr>
                    <w:rPr>
                      <w:sz w:val="21"/>
                      <w:szCs w:val="21"/>
                    </w:rPr>
                  </w:pPr>
                  <w:r>
                    <w:rPr>
                      <w:rFonts w:hint="eastAsia"/>
                      <w:sz w:val="21"/>
                      <w:szCs w:val="21"/>
                    </w:rPr>
                    <w:t>②本项目需要做好消防废水收集管网的建设，建立消防废水收集系统。厂内应设置消防水池，防止消防水对地表水造成污染。</w:t>
                  </w:r>
                </w:p>
                <w:p w14:paraId="30E97390">
                  <w:pPr>
                    <w:pStyle w:val="14"/>
                    <w:numPr>
                      <w:ilvl w:val="0"/>
                      <w:numId w:val="0"/>
                    </w:numPr>
                    <w:rPr>
                      <w:sz w:val="21"/>
                      <w:szCs w:val="21"/>
                    </w:rPr>
                  </w:pPr>
                  <w:r>
                    <w:rPr>
                      <w:rFonts w:hint="eastAsia"/>
                      <w:sz w:val="21"/>
                      <w:szCs w:val="21"/>
                    </w:rPr>
                    <w:t>③定期检查除尘设备运行情况，保证设备正常运行。</w:t>
                  </w:r>
                </w:p>
              </w:tc>
            </w:tr>
            <w:tr w14:paraId="34734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tcBorders>
                    <w:tl2br w:val="nil"/>
                    <w:tr2bl w:val="nil"/>
                  </w:tcBorders>
                  <w:noWrap/>
                  <w:vAlign w:val="center"/>
                </w:tcPr>
                <w:p w14:paraId="5EF25FE5">
                  <w:pPr>
                    <w:pStyle w:val="14"/>
                    <w:numPr>
                      <w:ilvl w:val="0"/>
                      <w:numId w:val="0"/>
                    </w:numPr>
                    <w:jc w:val="center"/>
                    <w:rPr>
                      <w:b/>
                      <w:bCs/>
                      <w:sz w:val="21"/>
                      <w:szCs w:val="21"/>
                    </w:rPr>
                  </w:pPr>
                  <w:r>
                    <w:rPr>
                      <w:rFonts w:hint="eastAsia"/>
                      <w:b/>
                      <w:bCs/>
                      <w:sz w:val="21"/>
                      <w:szCs w:val="21"/>
                    </w:rPr>
                    <w:t>填表说明（列出项目相关信息及评价说明）</w:t>
                  </w:r>
                </w:p>
              </w:tc>
              <w:tc>
                <w:tcPr>
                  <w:tcW w:w="7161" w:type="dxa"/>
                  <w:gridSpan w:val="6"/>
                  <w:tcBorders>
                    <w:tl2br w:val="nil"/>
                    <w:tr2bl w:val="nil"/>
                  </w:tcBorders>
                  <w:noWrap/>
                  <w:vAlign w:val="center"/>
                </w:tcPr>
                <w:p w14:paraId="2F4E6BA4">
                  <w:pPr>
                    <w:pStyle w:val="14"/>
                    <w:numPr>
                      <w:ilvl w:val="0"/>
                      <w:numId w:val="0"/>
                    </w:numPr>
                    <w:jc w:val="center"/>
                    <w:rPr>
                      <w:sz w:val="21"/>
                      <w:szCs w:val="21"/>
                    </w:rPr>
                  </w:pPr>
                  <w:r>
                    <w:rPr>
                      <w:rFonts w:hint="default" w:ascii="Times New Roman" w:hAnsi="Times New Roman" w:eastAsia="宋体" w:cs="Times New Roman"/>
                      <w:color w:val="auto"/>
                      <w:sz w:val="21"/>
                      <w:szCs w:val="21"/>
                      <w:highlight w:val="none"/>
                    </w:rPr>
                    <w:t>项目通过采取相应的风险预防、管理、应急措施后，评价认为项目环境风险可接受。</w:t>
                  </w:r>
                </w:p>
              </w:tc>
            </w:tr>
          </w:tbl>
          <w:p w14:paraId="111FD3F2">
            <w:pPr>
              <w:spacing w:line="360" w:lineRule="auto"/>
            </w:pPr>
          </w:p>
        </w:tc>
      </w:tr>
    </w:tbl>
    <w:p w14:paraId="70159657">
      <w:pPr>
        <w:spacing w:line="360" w:lineRule="auto"/>
        <w:rPr>
          <w:b/>
          <w:kern w:val="0"/>
        </w:rPr>
        <w:sectPr>
          <w:pgSz w:w="11905" w:h="16838"/>
          <w:pgMar w:top="1701" w:right="1531" w:bottom="1701" w:left="1531" w:header="851" w:footer="850" w:gutter="0"/>
          <w:pgBorders>
            <w:top w:val="none" w:sz="0" w:space="0"/>
            <w:left w:val="none" w:sz="0" w:space="0"/>
            <w:bottom w:val="none" w:sz="0" w:space="0"/>
            <w:right w:val="none" w:sz="0" w:space="0"/>
          </w:pgBorders>
          <w:cols w:space="0" w:num="1"/>
          <w:docGrid w:type="lines" w:linePitch="312" w:charSpace="0"/>
        </w:sectPr>
      </w:pPr>
    </w:p>
    <w:p w14:paraId="296EF990">
      <w:pPr>
        <w:pStyle w:val="21"/>
        <w:spacing w:before="0" w:beforeAutospacing="0" w:after="0" w:afterAutospacing="0"/>
        <w:jc w:val="center"/>
        <w:outlineLvl w:val="0"/>
        <w:rPr>
          <w:rFonts w:ascii="Times New Roman" w:hAnsi="Times New Roman"/>
          <w:b/>
          <w:bCs/>
          <w:snapToGrid w:val="0"/>
          <w:sz w:val="30"/>
          <w:szCs w:val="30"/>
        </w:rPr>
      </w:pPr>
      <w:r>
        <w:rPr>
          <w:rFonts w:hint="eastAsia" w:ascii="Times New Roman" w:hAnsi="Times New Roman"/>
          <w:b/>
          <w:bCs/>
          <w:snapToGrid w:val="0"/>
          <w:sz w:val="30"/>
          <w:szCs w:val="30"/>
        </w:rPr>
        <w:t>五、</w:t>
      </w:r>
      <w:bookmarkStart w:id="18" w:name="_Hlk54167917"/>
      <w:r>
        <w:rPr>
          <w:rFonts w:hint="eastAsia" w:ascii="Times New Roman" w:hAnsi="Times New Roman"/>
          <w:b/>
          <w:bCs/>
          <w:snapToGrid w:val="0"/>
          <w:sz w:val="30"/>
          <w:szCs w:val="30"/>
        </w:rPr>
        <w:t>环境保护措施监督检查清单</w:t>
      </w:r>
      <w:bookmarkEnd w:id="18"/>
    </w:p>
    <w:tbl>
      <w:tblPr>
        <w:tblStyle w:val="24"/>
        <w:tblW w:w="90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94"/>
        <w:gridCol w:w="786"/>
        <w:gridCol w:w="1280"/>
        <w:gridCol w:w="1576"/>
        <w:gridCol w:w="1689"/>
        <w:gridCol w:w="2834"/>
      </w:tblGrid>
      <w:tr w14:paraId="655E20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25" w:hRule="atLeast"/>
          <w:jc w:val="center"/>
        </w:trPr>
        <w:tc>
          <w:tcPr>
            <w:tcW w:w="894" w:type="dxa"/>
            <w:tcBorders>
              <w:tl2br w:val="single" w:color="auto" w:sz="4" w:space="0"/>
            </w:tcBorders>
            <w:vAlign w:val="center"/>
          </w:tcPr>
          <w:p w14:paraId="531DB78F">
            <w:pPr>
              <w:ind w:left="480"/>
              <w:jc w:val="center"/>
              <w:rPr>
                <w:sz w:val="24"/>
                <w:szCs w:val="24"/>
              </w:rPr>
            </w:pPr>
            <w:r>
              <w:rPr>
                <w:sz w:val="24"/>
                <w:szCs w:val="24"/>
              </w:rPr>
              <w:t>内容</w:t>
            </w:r>
          </w:p>
          <w:p w14:paraId="0368654C">
            <w:pPr>
              <w:jc w:val="center"/>
              <w:rPr>
                <w:sz w:val="24"/>
                <w:szCs w:val="24"/>
              </w:rPr>
            </w:pPr>
            <w:r>
              <w:rPr>
                <w:rFonts w:hint="eastAsia"/>
                <w:sz w:val="24"/>
                <w:szCs w:val="24"/>
              </w:rPr>
              <w:t>要素</w:t>
            </w:r>
          </w:p>
        </w:tc>
        <w:tc>
          <w:tcPr>
            <w:tcW w:w="2066" w:type="dxa"/>
            <w:gridSpan w:val="2"/>
            <w:vAlign w:val="center"/>
          </w:tcPr>
          <w:p w14:paraId="5DD66C8D">
            <w:pPr>
              <w:jc w:val="center"/>
              <w:rPr>
                <w:sz w:val="24"/>
                <w:szCs w:val="24"/>
              </w:rPr>
            </w:pPr>
            <w:r>
              <w:rPr>
                <w:sz w:val="24"/>
                <w:szCs w:val="24"/>
              </w:rPr>
              <w:t>排放口(编号、名称)/污染源</w:t>
            </w:r>
          </w:p>
        </w:tc>
        <w:tc>
          <w:tcPr>
            <w:tcW w:w="1576" w:type="dxa"/>
            <w:vAlign w:val="center"/>
          </w:tcPr>
          <w:p w14:paraId="4353BEF8">
            <w:pPr>
              <w:jc w:val="center"/>
              <w:rPr>
                <w:sz w:val="24"/>
                <w:szCs w:val="24"/>
              </w:rPr>
            </w:pPr>
            <w:r>
              <w:rPr>
                <w:sz w:val="24"/>
                <w:szCs w:val="24"/>
              </w:rPr>
              <w:t>污染物名称</w:t>
            </w:r>
          </w:p>
        </w:tc>
        <w:tc>
          <w:tcPr>
            <w:tcW w:w="1689" w:type="dxa"/>
            <w:vAlign w:val="center"/>
          </w:tcPr>
          <w:p w14:paraId="6CBB8312">
            <w:pPr>
              <w:jc w:val="center"/>
              <w:rPr>
                <w:sz w:val="24"/>
                <w:szCs w:val="24"/>
              </w:rPr>
            </w:pPr>
            <w:r>
              <w:rPr>
                <w:sz w:val="24"/>
                <w:szCs w:val="24"/>
              </w:rPr>
              <w:t>环境保护措施</w:t>
            </w:r>
          </w:p>
        </w:tc>
        <w:tc>
          <w:tcPr>
            <w:tcW w:w="2834" w:type="dxa"/>
            <w:vAlign w:val="center"/>
          </w:tcPr>
          <w:p w14:paraId="1A2212D9">
            <w:pPr>
              <w:jc w:val="center"/>
              <w:rPr>
                <w:sz w:val="24"/>
                <w:szCs w:val="24"/>
              </w:rPr>
            </w:pPr>
            <w:r>
              <w:rPr>
                <w:sz w:val="24"/>
                <w:szCs w:val="24"/>
              </w:rPr>
              <w:t>执行标准</w:t>
            </w:r>
          </w:p>
        </w:tc>
      </w:tr>
      <w:tr w14:paraId="0B89C9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94" w:type="dxa"/>
            <w:vMerge w:val="restart"/>
            <w:vAlign w:val="center"/>
          </w:tcPr>
          <w:p w14:paraId="0B3E3367">
            <w:pPr>
              <w:jc w:val="center"/>
              <w:rPr>
                <w:sz w:val="24"/>
                <w:szCs w:val="24"/>
              </w:rPr>
            </w:pPr>
            <w:r>
              <w:rPr>
                <w:sz w:val="24"/>
                <w:szCs w:val="24"/>
              </w:rPr>
              <w:t>大气</w:t>
            </w:r>
            <w:r>
              <w:rPr>
                <w:rFonts w:hint="eastAsia"/>
                <w:sz w:val="24"/>
                <w:szCs w:val="24"/>
              </w:rPr>
              <w:t>环境</w:t>
            </w:r>
          </w:p>
        </w:tc>
        <w:tc>
          <w:tcPr>
            <w:tcW w:w="786" w:type="dxa"/>
            <w:vAlign w:val="center"/>
          </w:tcPr>
          <w:p w14:paraId="3E597566">
            <w:pPr>
              <w:spacing w:line="0" w:lineRule="atLeast"/>
              <w:jc w:val="center"/>
              <w:rPr>
                <w:rFonts w:hint="default" w:eastAsia="宋体"/>
                <w:sz w:val="24"/>
                <w:szCs w:val="24"/>
                <w:lang w:val="en-US" w:eastAsia="zh-CN"/>
              </w:rPr>
            </w:pPr>
            <w:r>
              <w:rPr>
                <w:rFonts w:hint="eastAsia"/>
                <w:sz w:val="24"/>
                <w:szCs w:val="24"/>
                <w:lang w:val="en-US" w:eastAsia="zh-CN"/>
              </w:rPr>
              <w:t>物料储存</w:t>
            </w:r>
          </w:p>
        </w:tc>
        <w:tc>
          <w:tcPr>
            <w:tcW w:w="1280" w:type="dxa"/>
            <w:vAlign w:val="center"/>
          </w:tcPr>
          <w:p w14:paraId="5E0AB1EF">
            <w:pPr>
              <w:spacing w:line="0" w:lineRule="atLeast"/>
              <w:jc w:val="center"/>
              <w:rPr>
                <w:sz w:val="24"/>
                <w:szCs w:val="24"/>
              </w:rPr>
            </w:pPr>
            <w:r>
              <w:rPr>
                <w:rFonts w:hint="eastAsia"/>
                <w:sz w:val="24"/>
                <w:szCs w:val="24"/>
              </w:rPr>
              <w:t>DA001</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DA00</w:t>
            </w:r>
            <w:r>
              <w:rPr>
                <w:rFonts w:hint="eastAsia" w:ascii="Times New Roman" w:hAnsi="Times New Roman" w:eastAsia="宋体" w:cs="Times New Roman"/>
                <w:sz w:val="24"/>
                <w:szCs w:val="24"/>
                <w:lang w:val="en-US" w:eastAsia="zh-CN"/>
              </w:rPr>
              <w:t>6</w:t>
            </w:r>
            <w:r>
              <w:rPr>
                <w:rFonts w:hint="eastAsia" w:ascii="Times New Roman" w:hAnsi="Times New Roman" w:eastAsia="宋体" w:cs="Times New Roman"/>
                <w:sz w:val="24"/>
                <w:szCs w:val="24"/>
              </w:rPr>
              <w:t>排</w:t>
            </w:r>
            <w:r>
              <w:rPr>
                <w:rFonts w:hint="eastAsia"/>
                <w:sz w:val="24"/>
                <w:szCs w:val="24"/>
              </w:rPr>
              <w:t>气筒</w:t>
            </w:r>
          </w:p>
        </w:tc>
        <w:tc>
          <w:tcPr>
            <w:tcW w:w="1576" w:type="dxa"/>
            <w:vMerge w:val="restart"/>
            <w:vAlign w:val="center"/>
          </w:tcPr>
          <w:p w14:paraId="299F26AA">
            <w:pPr>
              <w:spacing w:line="0" w:lineRule="atLeast"/>
              <w:jc w:val="center"/>
              <w:rPr>
                <w:sz w:val="24"/>
                <w:szCs w:val="24"/>
              </w:rPr>
            </w:pPr>
            <w:r>
              <w:rPr>
                <w:sz w:val="24"/>
                <w:szCs w:val="24"/>
              </w:rPr>
              <w:t>粉尘</w:t>
            </w:r>
          </w:p>
        </w:tc>
        <w:tc>
          <w:tcPr>
            <w:tcW w:w="1689" w:type="dxa"/>
            <w:vAlign w:val="center"/>
          </w:tcPr>
          <w:p w14:paraId="225B2AA4">
            <w:pPr>
              <w:jc w:val="cente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筒仓自带</w:t>
            </w:r>
            <w:r>
              <w:rPr>
                <w:rFonts w:hint="eastAsia" w:ascii="Times New Roman" w:hAnsi="Times New Roman" w:eastAsia="宋体" w:cs="Times New Roman"/>
                <w:color w:val="auto"/>
                <w:sz w:val="24"/>
                <w:szCs w:val="24"/>
              </w:rPr>
              <w:t>布袋除尘+</w:t>
            </w:r>
            <w:r>
              <w:rPr>
                <w:rFonts w:hint="eastAsia" w:ascii="Times New Roman" w:hAnsi="Times New Roman" w:eastAsia="宋体" w:cs="Times New Roman"/>
                <w:color w:val="auto"/>
                <w:sz w:val="24"/>
                <w:szCs w:val="24"/>
                <w:lang w:val="en-US" w:eastAsia="zh-CN"/>
              </w:rPr>
              <w:t>高空排放</w:t>
            </w:r>
          </w:p>
        </w:tc>
        <w:tc>
          <w:tcPr>
            <w:tcW w:w="2834" w:type="dxa"/>
            <w:vMerge w:val="restart"/>
            <w:vAlign w:val="center"/>
          </w:tcPr>
          <w:p w14:paraId="0F5511B1">
            <w:pPr>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水泥工业</w:t>
            </w:r>
            <w:r>
              <w:rPr>
                <w:rFonts w:hint="eastAsia" w:ascii="Times New Roman" w:hAnsi="Times New Roman" w:eastAsia="宋体" w:cs="Times New Roman"/>
                <w:color w:val="auto"/>
                <w:sz w:val="24"/>
                <w:szCs w:val="24"/>
                <w:lang w:val="en-US" w:eastAsia="zh-CN"/>
              </w:rPr>
              <w:t>大气</w:t>
            </w:r>
            <w:r>
              <w:rPr>
                <w:rFonts w:ascii="Times New Roman" w:hAnsi="Times New Roman" w:eastAsia="宋体" w:cs="Times New Roman"/>
                <w:color w:val="auto"/>
                <w:sz w:val="24"/>
                <w:szCs w:val="24"/>
              </w:rPr>
              <w:t>污染物排放标准》（</w:t>
            </w:r>
            <w:r>
              <w:rPr>
                <w:rFonts w:hint="eastAsia" w:ascii="Times New Roman" w:hAnsi="Times New Roman" w:eastAsia="宋体" w:cs="Times New Roman"/>
                <w:color w:val="auto"/>
                <w:sz w:val="24"/>
                <w:szCs w:val="24"/>
              </w:rPr>
              <w:t>GB4915</w:t>
            </w:r>
            <w:r>
              <w:rPr>
                <w:rFonts w:ascii="Times New Roman" w:hAnsi="Times New Roman" w:eastAsia="宋体" w:cs="Times New Roman"/>
                <w:color w:val="auto"/>
                <w:sz w:val="24"/>
                <w:szCs w:val="24"/>
              </w:rPr>
              <w:t>-2013）</w:t>
            </w:r>
            <w:r>
              <w:rPr>
                <w:rFonts w:hint="eastAsia" w:ascii="Times New Roman" w:hAnsi="Times New Roman" w:eastAsia="宋体" w:cs="Times New Roman"/>
                <w:color w:val="auto"/>
                <w:sz w:val="24"/>
                <w:szCs w:val="24"/>
                <w:lang w:val="en-US" w:eastAsia="zh-CN"/>
              </w:rPr>
              <w:t>表1大气污染物排放限值</w:t>
            </w:r>
          </w:p>
        </w:tc>
      </w:tr>
      <w:tr w14:paraId="53CE47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94" w:type="dxa"/>
            <w:vMerge w:val="continue"/>
            <w:vAlign w:val="center"/>
          </w:tcPr>
          <w:p w14:paraId="79DB9CD4">
            <w:pPr>
              <w:spacing w:line="0" w:lineRule="atLeast"/>
              <w:jc w:val="center"/>
              <w:rPr>
                <w:sz w:val="24"/>
                <w:szCs w:val="24"/>
              </w:rPr>
            </w:pPr>
          </w:p>
        </w:tc>
        <w:tc>
          <w:tcPr>
            <w:tcW w:w="786" w:type="dxa"/>
            <w:vAlign w:val="center"/>
          </w:tcPr>
          <w:p w14:paraId="2A02466A">
            <w:pPr>
              <w:jc w:val="center"/>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底板清理</w:t>
            </w:r>
          </w:p>
        </w:tc>
        <w:tc>
          <w:tcPr>
            <w:tcW w:w="1280" w:type="dxa"/>
            <w:vAlign w:val="center"/>
          </w:tcPr>
          <w:p w14:paraId="666AA551">
            <w:pPr>
              <w:jc w:val="center"/>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DA00</w:t>
            </w:r>
            <w:r>
              <w:rPr>
                <w:rFonts w:hint="eastAsia" w:cs="Times New Roman"/>
                <w:color w:val="auto"/>
                <w:sz w:val="24"/>
                <w:szCs w:val="24"/>
                <w:lang w:val="en-US" w:eastAsia="zh-CN"/>
              </w:rPr>
              <w:t>7</w:t>
            </w:r>
            <w:r>
              <w:rPr>
                <w:rFonts w:hint="eastAsia" w:ascii="Times New Roman" w:hAnsi="Times New Roman" w:eastAsia="宋体" w:cs="Times New Roman"/>
                <w:color w:val="auto"/>
                <w:sz w:val="24"/>
                <w:szCs w:val="24"/>
              </w:rPr>
              <w:t>排气筒</w:t>
            </w:r>
          </w:p>
        </w:tc>
        <w:tc>
          <w:tcPr>
            <w:tcW w:w="1576" w:type="dxa"/>
            <w:vMerge w:val="continue"/>
            <w:vAlign w:val="center"/>
          </w:tcPr>
          <w:p w14:paraId="62C30924">
            <w:pPr>
              <w:jc w:val="center"/>
              <w:rPr>
                <w:rFonts w:hint="eastAsia" w:ascii="Times New Roman" w:hAnsi="Times New Roman" w:eastAsia="宋体" w:cs="Times New Roman"/>
                <w:color w:val="auto"/>
                <w:sz w:val="24"/>
                <w:szCs w:val="24"/>
              </w:rPr>
            </w:pPr>
          </w:p>
        </w:tc>
        <w:tc>
          <w:tcPr>
            <w:tcW w:w="1689" w:type="dxa"/>
            <w:vAlign w:val="center"/>
          </w:tcPr>
          <w:p w14:paraId="301EF775">
            <w:pPr>
              <w:jc w:val="cente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集气罩+布袋除尘+15m高排气筒</w:t>
            </w:r>
          </w:p>
        </w:tc>
        <w:tc>
          <w:tcPr>
            <w:tcW w:w="2834" w:type="dxa"/>
            <w:vMerge w:val="continue"/>
            <w:vAlign w:val="center"/>
          </w:tcPr>
          <w:p w14:paraId="4CD24269">
            <w:pPr>
              <w:jc w:val="center"/>
              <w:rPr>
                <w:rFonts w:ascii="Times New Roman" w:hAnsi="Times New Roman" w:eastAsia="宋体" w:cs="Times New Roman"/>
                <w:color w:val="auto"/>
                <w:sz w:val="24"/>
                <w:szCs w:val="24"/>
              </w:rPr>
            </w:pPr>
          </w:p>
        </w:tc>
      </w:tr>
      <w:tr w14:paraId="20B480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94" w:type="dxa"/>
            <w:vMerge w:val="continue"/>
            <w:vAlign w:val="center"/>
          </w:tcPr>
          <w:p w14:paraId="538939FF">
            <w:pPr>
              <w:jc w:val="center"/>
              <w:rPr>
                <w:sz w:val="24"/>
                <w:szCs w:val="24"/>
              </w:rPr>
            </w:pPr>
          </w:p>
        </w:tc>
        <w:tc>
          <w:tcPr>
            <w:tcW w:w="786" w:type="dxa"/>
            <w:vAlign w:val="center"/>
          </w:tcPr>
          <w:p w14:paraId="6CF7D103">
            <w:pPr>
              <w:jc w:val="center"/>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防腐有机废气</w:t>
            </w:r>
          </w:p>
        </w:tc>
        <w:tc>
          <w:tcPr>
            <w:tcW w:w="1280" w:type="dxa"/>
            <w:vAlign w:val="center"/>
          </w:tcPr>
          <w:p w14:paraId="2F2B9E95">
            <w:pPr>
              <w:jc w:val="center"/>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DA00</w:t>
            </w:r>
            <w:r>
              <w:rPr>
                <w:rFonts w:hint="eastAsia" w:cs="Times New Roman"/>
                <w:color w:val="auto"/>
                <w:sz w:val="24"/>
                <w:szCs w:val="24"/>
                <w:lang w:val="en-US" w:eastAsia="zh-CN"/>
              </w:rPr>
              <w:t>8</w:t>
            </w:r>
            <w:r>
              <w:rPr>
                <w:rFonts w:hint="eastAsia" w:ascii="Times New Roman" w:hAnsi="Times New Roman" w:eastAsia="宋体" w:cs="Times New Roman"/>
                <w:color w:val="auto"/>
                <w:sz w:val="24"/>
                <w:szCs w:val="24"/>
              </w:rPr>
              <w:t>排气筒</w:t>
            </w:r>
          </w:p>
        </w:tc>
        <w:tc>
          <w:tcPr>
            <w:tcW w:w="1576" w:type="dxa"/>
            <w:vAlign w:val="center"/>
          </w:tcPr>
          <w:p w14:paraId="5590D7A4">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非甲烷总烃</w:t>
            </w:r>
          </w:p>
        </w:tc>
        <w:tc>
          <w:tcPr>
            <w:tcW w:w="1689" w:type="dxa"/>
            <w:vAlign w:val="center"/>
          </w:tcPr>
          <w:p w14:paraId="1899C242">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rPr>
              <w:t>集气罩+</w:t>
            </w:r>
            <w:r>
              <w:rPr>
                <w:rFonts w:hint="eastAsia" w:ascii="Times New Roman" w:hAnsi="Times New Roman" w:eastAsia="宋体" w:cs="Times New Roman"/>
                <w:color w:val="auto"/>
                <w:sz w:val="24"/>
                <w:szCs w:val="24"/>
                <w:lang w:val="en-US" w:eastAsia="zh-CN"/>
              </w:rPr>
              <w:t>二级活性炭吸附</w:t>
            </w:r>
            <w:r>
              <w:rPr>
                <w:rFonts w:hint="eastAsia" w:ascii="Times New Roman" w:hAnsi="Times New Roman" w:eastAsia="宋体" w:cs="Times New Roman"/>
                <w:color w:val="auto"/>
                <w:sz w:val="24"/>
                <w:szCs w:val="24"/>
              </w:rPr>
              <w:t>+15m高排气筒</w:t>
            </w:r>
          </w:p>
        </w:tc>
        <w:tc>
          <w:tcPr>
            <w:tcW w:w="2834" w:type="dxa"/>
            <w:vAlign w:val="center"/>
          </w:tcPr>
          <w:p w14:paraId="017EF886">
            <w:pPr>
              <w:jc w:val="center"/>
              <w:rPr>
                <w:rFonts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《合成树脂工业污染物排放标准》</w:t>
            </w:r>
            <w:r>
              <w:rPr>
                <w:rFonts w:hint="eastAsia" w:ascii="Times New Roman" w:hAnsi="Times New Roman" w:eastAsia="宋体" w:cs="Times New Roman"/>
                <w:color w:val="auto"/>
                <w:sz w:val="24"/>
                <w:szCs w:val="24"/>
                <w:lang w:val="en-US" w:eastAsia="zh-CN"/>
              </w:rPr>
              <w:t>（含2024年修改单）</w:t>
            </w:r>
            <w:r>
              <w:rPr>
                <w:rFonts w:hint="default" w:ascii="Times New Roman" w:hAnsi="Times New Roman" w:eastAsia="宋体" w:cs="Times New Roman"/>
                <w:color w:val="auto"/>
                <w:sz w:val="24"/>
                <w:szCs w:val="24"/>
                <w:lang w:val="en-US" w:eastAsia="zh-CN"/>
              </w:rPr>
              <w:t>（GB31572-2015）中表</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大气污染物排放限值</w:t>
            </w:r>
          </w:p>
        </w:tc>
      </w:tr>
      <w:tr w14:paraId="6926E5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894" w:type="dxa"/>
            <w:vMerge w:val="continue"/>
            <w:vAlign w:val="center"/>
          </w:tcPr>
          <w:p w14:paraId="79202596">
            <w:pPr>
              <w:jc w:val="center"/>
              <w:rPr>
                <w:sz w:val="24"/>
                <w:szCs w:val="24"/>
              </w:rPr>
            </w:pPr>
          </w:p>
        </w:tc>
        <w:tc>
          <w:tcPr>
            <w:tcW w:w="2066" w:type="dxa"/>
            <w:gridSpan w:val="2"/>
            <w:vMerge w:val="restart"/>
            <w:vAlign w:val="center"/>
          </w:tcPr>
          <w:p w14:paraId="21F954CA">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厂界四周</w:t>
            </w:r>
          </w:p>
        </w:tc>
        <w:tc>
          <w:tcPr>
            <w:tcW w:w="1576" w:type="dxa"/>
            <w:vAlign w:val="center"/>
          </w:tcPr>
          <w:p w14:paraId="4D7123CA">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颗粒物</w:t>
            </w:r>
          </w:p>
        </w:tc>
        <w:tc>
          <w:tcPr>
            <w:tcW w:w="1689" w:type="dxa"/>
            <w:vMerge w:val="restart"/>
            <w:vAlign w:val="center"/>
          </w:tcPr>
          <w:p w14:paraId="67B38277">
            <w:pPr>
              <w:jc w:val="center"/>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加强生产运行期的设备管理，</w:t>
            </w:r>
            <w:r>
              <w:rPr>
                <w:rFonts w:hint="eastAsia" w:ascii="Times New Roman" w:hAnsi="Times New Roman" w:eastAsia="宋体" w:cs="Times New Roman"/>
                <w:color w:val="auto"/>
                <w:sz w:val="24"/>
                <w:szCs w:val="24"/>
                <w:lang w:val="en-US" w:eastAsia="zh-CN"/>
              </w:rPr>
              <w:t>车间密闭、及时清扫、加强通风</w:t>
            </w:r>
          </w:p>
        </w:tc>
        <w:tc>
          <w:tcPr>
            <w:tcW w:w="2834" w:type="dxa"/>
            <w:vAlign w:val="center"/>
          </w:tcPr>
          <w:p w14:paraId="08CEB3DC">
            <w:pPr>
              <w:jc w:val="center"/>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水泥工业大气</w:t>
            </w:r>
            <w:r>
              <w:rPr>
                <w:rFonts w:hint="default" w:ascii="Times New Roman" w:hAnsi="Times New Roman" w:eastAsia="宋体" w:cs="Times New Roman"/>
                <w:color w:val="auto"/>
                <w:sz w:val="24"/>
                <w:szCs w:val="24"/>
                <w:lang w:val="en-US" w:eastAsia="zh-CN"/>
              </w:rPr>
              <w:t>污染物排放标准》（</w:t>
            </w:r>
            <w:r>
              <w:rPr>
                <w:rFonts w:hint="eastAsia" w:ascii="Times New Roman" w:hAnsi="Times New Roman" w:eastAsia="宋体" w:cs="Times New Roman"/>
                <w:color w:val="auto"/>
                <w:sz w:val="24"/>
                <w:szCs w:val="24"/>
                <w:lang w:val="en-US" w:eastAsia="zh-CN"/>
              </w:rPr>
              <w:t>GB4915</w:t>
            </w:r>
            <w:r>
              <w:rPr>
                <w:rFonts w:hint="default" w:ascii="Times New Roman" w:hAnsi="Times New Roman" w:eastAsia="宋体" w:cs="Times New Roman"/>
                <w:color w:val="auto"/>
                <w:sz w:val="24"/>
                <w:szCs w:val="24"/>
                <w:lang w:val="en-US" w:eastAsia="zh-CN"/>
              </w:rPr>
              <w:t>-2013）中无组织排放浓度</w:t>
            </w:r>
            <w:r>
              <w:rPr>
                <w:rFonts w:hint="eastAsia" w:ascii="Times New Roman" w:hAnsi="Times New Roman" w:eastAsia="宋体" w:cs="Times New Roman"/>
                <w:color w:val="auto"/>
                <w:sz w:val="24"/>
                <w:szCs w:val="24"/>
                <w:lang w:val="en-US" w:eastAsia="zh-CN"/>
              </w:rPr>
              <w:t>限值</w:t>
            </w:r>
          </w:p>
        </w:tc>
      </w:tr>
      <w:tr w14:paraId="76229D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894" w:type="dxa"/>
            <w:vMerge w:val="continue"/>
            <w:vAlign w:val="center"/>
          </w:tcPr>
          <w:p w14:paraId="29DED180">
            <w:pPr>
              <w:jc w:val="center"/>
              <w:rPr>
                <w:sz w:val="24"/>
                <w:szCs w:val="24"/>
              </w:rPr>
            </w:pPr>
          </w:p>
        </w:tc>
        <w:tc>
          <w:tcPr>
            <w:tcW w:w="2066" w:type="dxa"/>
            <w:gridSpan w:val="2"/>
            <w:vMerge w:val="continue"/>
            <w:vAlign w:val="center"/>
          </w:tcPr>
          <w:p w14:paraId="7F91A36B">
            <w:pPr>
              <w:jc w:val="center"/>
              <w:rPr>
                <w:rFonts w:hint="eastAsia" w:ascii="Times New Roman" w:hAnsi="Times New Roman" w:eastAsia="宋体" w:cs="Times New Roman"/>
                <w:color w:val="auto"/>
                <w:sz w:val="24"/>
                <w:szCs w:val="24"/>
                <w:lang w:val="en-US" w:eastAsia="zh-CN"/>
              </w:rPr>
            </w:pPr>
          </w:p>
        </w:tc>
        <w:tc>
          <w:tcPr>
            <w:tcW w:w="1576" w:type="dxa"/>
            <w:vAlign w:val="center"/>
          </w:tcPr>
          <w:p w14:paraId="5A7C26A6">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非甲烷总烃</w:t>
            </w:r>
          </w:p>
        </w:tc>
        <w:tc>
          <w:tcPr>
            <w:tcW w:w="1689" w:type="dxa"/>
            <w:vMerge w:val="continue"/>
            <w:vAlign w:val="center"/>
          </w:tcPr>
          <w:p w14:paraId="3F43ADF2">
            <w:pPr>
              <w:jc w:val="center"/>
              <w:rPr>
                <w:rFonts w:hint="default" w:ascii="Times New Roman" w:hAnsi="Times New Roman" w:eastAsia="宋体" w:cs="Times New Roman"/>
                <w:color w:val="auto"/>
                <w:sz w:val="24"/>
                <w:szCs w:val="24"/>
                <w:lang w:val="en-US" w:eastAsia="zh-CN"/>
              </w:rPr>
            </w:pPr>
          </w:p>
        </w:tc>
        <w:tc>
          <w:tcPr>
            <w:tcW w:w="2834" w:type="dxa"/>
            <w:vAlign w:val="center"/>
          </w:tcPr>
          <w:p w14:paraId="40A98567">
            <w:pPr>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《合成树脂工业污染物排放标准》（GB31572-2015）表9无组织排放限值</w:t>
            </w:r>
          </w:p>
        </w:tc>
      </w:tr>
      <w:tr w14:paraId="0D49E4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94" w:type="dxa"/>
            <w:vMerge w:val="continue"/>
            <w:vAlign w:val="center"/>
          </w:tcPr>
          <w:p w14:paraId="0F528E6B">
            <w:pPr>
              <w:spacing w:line="0" w:lineRule="atLeast"/>
              <w:jc w:val="center"/>
              <w:rPr>
                <w:sz w:val="24"/>
                <w:szCs w:val="24"/>
              </w:rPr>
            </w:pPr>
          </w:p>
        </w:tc>
        <w:tc>
          <w:tcPr>
            <w:tcW w:w="2066" w:type="dxa"/>
            <w:gridSpan w:val="2"/>
            <w:vAlign w:val="center"/>
          </w:tcPr>
          <w:p w14:paraId="582DB81C">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厂区内</w:t>
            </w:r>
          </w:p>
        </w:tc>
        <w:tc>
          <w:tcPr>
            <w:tcW w:w="1576" w:type="dxa"/>
            <w:vAlign w:val="center"/>
          </w:tcPr>
          <w:p w14:paraId="563C913B">
            <w:pPr>
              <w:jc w:val="center"/>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非甲烷总烃</w:t>
            </w:r>
          </w:p>
        </w:tc>
        <w:tc>
          <w:tcPr>
            <w:tcW w:w="1689" w:type="dxa"/>
            <w:vMerge w:val="continue"/>
            <w:vAlign w:val="center"/>
          </w:tcPr>
          <w:p w14:paraId="475A2873">
            <w:pPr>
              <w:jc w:val="center"/>
              <w:rPr>
                <w:rFonts w:hint="eastAsia" w:ascii="Times New Roman" w:hAnsi="Times New Roman" w:eastAsia="宋体" w:cs="Times New Roman"/>
                <w:color w:val="auto"/>
                <w:sz w:val="24"/>
                <w:szCs w:val="24"/>
                <w:lang w:val="en-US" w:eastAsia="zh-CN"/>
              </w:rPr>
            </w:pPr>
          </w:p>
        </w:tc>
        <w:tc>
          <w:tcPr>
            <w:tcW w:w="2834" w:type="dxa"/>
            <w:vAlign w:val="center"/>
          </w:tcPr>
          <w:p w14:paraId="5916ACFA">
            <w:pPr>
              <w:jc w:val="center"/>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《挥发性有机物无组织排放控制标准》（GB37822-2019）中车间外VOCs无组织排放限值</w:t>
            </w:r>
          </w:p>
        </w:tc>
      </w:tr>
      <w:tr w14:paraId="5317F9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94" w:type="dxa"/>
            <w:vMerge w:val="continue"/>
            <w:vAlign w:val="center"/>
          </w:tcPr>
          <w:p w14:paraId="3EF0F234">
            <w:pPr>
              <w:spacing w:line="0" w:lineRule="atLeast"/>
              <w:jc w:val="center"/>
              <w:rPr>
                <w:sz w:val="24"/>
                <w:szCs w:val="24"/>
              </w:rPr>
            </w:pPr>
          </w:p>
        </w:tc>
        <w:tc>
          <w:tcPr>
            <w:tcW w:w="2066" w:type="dxa"/>
            <w:gridSpan w:val="2"/>
            <w:vAlign w:val="center"/>
          </w:tcPr>
          <w:p w14:paraId="4DA41620">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食堂</w:t>
            </w:r>
          </w:p>
        </w:tc>
        <w:tc>
          <w:tcPr>
            <w:tcW w:w="1576" w:type="dxa"/>
            <w:vAlign w:val="center"/>
          </w:tcPr>
          <w:p w14:paraId="0CE7012D">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食堂油烟</w:t>
            </w:r>
          </w:p>
        </w:tc>
        <w:tc>
          <w:tcPr>
            <w:tcW w:w="1689" w:type="dxa"/>
            <w:vAlign w:val="center"/>
          </w:tcPr>
          <w:p w14:paraId="08D60A89">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油烟净化器</w:t>
            </w:r>
          </w:p>
        </w:tc>
        <w:tc>
          <w:tcPr>
            <w:tcW w:w="2834" w:type="dxa"/>
            <w:vAlign w:val="center"/>
          </w:tcPr>
          <w:p w14:paraId="6759DCDF">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《饮食业油烟排放标准》（GB18483-2001）中最高允许排放浓度为2毫克/立方米</w:t>
            </w:r>
          </w:p>
        </w:tc>
      </w:tr>
      <w:tr w14:paraId="621AC0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894" w:type="dxa"/>
            <w:vAlign w:val="center"/>
          </w:tcPr>
          <w:p w14:paraId="3B9BFB11">
            <w:pPr>
              <w:jc w:val="center"/>
              <w:rPr>
                <w:sz w:val="24"/>
                <w:szCs w:val="24"/>
              </w:rPr>
            </w:pPr>
            <w:r>
              <w:rPr>
                <w:sz w:val="24"/>
                <w:szCs w:val="24"/>
              </w:rPr>
              <w:t>地表水环境</w:t>
            </w:r>
          </w:p>
        </w:tc>
        <w:tc>
          <w:tcPr>
            <w:tcW w:w="2066" w:type="dxa"/>
            <w:gridSpan w:val="2"/>
            <w:vAlign w:val="center"/>
          </w:tcPr>
          <w:p w14:paraId="03A0CDDD">
            <w:pPr>
              <w:jc w:val="center"/>
              <w:rPr>
                <w:sz w:val="24"/>
                <w:szCs w:val="24"/>
              </w:rPr>
            </w:pPr>
            <w:r>
              <w:rPr>
                <w:sz w:val="24"/>
                <w:szCs w:val="24"/>
              </w:rPr>
              <w:t>生活污水</w:t>
            </w:r>
          </w:p>
        </w:tc>
        <w:tc>
          <w:tcPr>
            <w:tcW w:w="1576" w:type="dxa"/>
            <w:vAlign w:val="center"/>
          </w:tcPr>
          <w:p w14:paraId="4B2AF17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ascii="Times New Roman" w:hAnsi="Times New Roman" w:cs="Times New Roman"/>
                <w:color w:val="000000"/>
                <w:sz w:val="24"/>
                <w:szCs w:val="24"/>
                <w:highlight w:val="none"/>
                <w:lang w:val="en-US" w:eastAsia="zh-CN"/>
              </w:rPr>
              <w:t>pH、COD、SS、NH</w:t>
            </w:r>
            <w:r>
              <w:rPr>
                <w:rFonts w:hint="eastAsia" w:ascii="Times New Roman" w:hAnsi="Times New Roman" w:cs="Times New Roman"/>
                <w:color w:val="000000"/>
                <w:sz w:val="24"/>
                <w:szCs w:val="24"/>
                <w:highlight w:val="none"/>
                <w:vertAlign w:val="subscript"/>
                <w:lang w:val="en-US" w:eastAsia="zh-CN"/>
              </w:rPr>
              <w:t>3</w:t>
            </w:r>
            <w:r>
              <w:rPr>
                <w:rFonts w:hint="eastAsia" w:ascii="Times New Roman" w:hAnsi="Times New Roman" w:cs="Times New Roman"/>
                <w:color w:val="000000"/>
                <w:sz w:val="24"/>
                <w:szCs w:val="24"/>
                <w:highlight w:val="none"/>
                <w:lang w:val="en-US" w:eastAsia="zh-CN"/>
              </w:rPr>
              <w:t>-N、BOD</w:t>
            </w:r>
            <w:r>
              <w:rPr>
                <w:rFonts w:hint="eastAsia" w:ascii="Times New Roman" w:hAnsi="Times New Roman" w:cs="Times New Roman"/>
                <w:color w:val="000000"/>
                <w:sz w:val="24"/>
                <w:szCs w:val="24"/>
                <w:highlight w:val="none"/>
                <w:vertAlign w:val="subscript"/>
                <w:lang w:val="en-US" w:eastAsia="zh-CN"/>
              </w:rPr>
              <w:t>5</w:t>
            </w:r>
            <w:r>
              <w:rPr>
                <w:rFonts w:hint="eastAsia" w:ascii="Times New Roman" w:hAnsi="Times New Roman" w:cs="Times New Roman"/>
                <w:color w:val="000000"/>
                <w:sz w:val="24"/>
                <w:szCs w:val="24"/>
                <w:highlight w:val="none"/>
                <w:lang w:val="en-US" w:eastAsia="zh-CN"/>
              </w:rPr>
              <w:t>、动植物油</w:t>
            </w:r>
          </w:p>
        </w:tc>
        <w:tc>
          <w:tcPr>
            <w:tcW w:w="1689" w:type="dxa"/>
            <w:vAlign w:val="center"/>
          </w:tcPr>
          <w:p w14:paraId="55A95306">
            <w:pPr>
              <w:jc w:val="center"/>
              <w:rPr>
                <w:sz w:val="24"/>
                <w:szCs w:val="24"/>
              </w:rPr>
            </w:pPr>
            <w:r>
              <w:rPr>
                <w:rFonts w:hint="eastAsia"/>
                <w:sz w:val="24"/>
                <w:szCs w:val="24"/>
                <w:lang w:val="en-US" w:eastAsia="zh-CN"/>
              </w:rPr>
              <w:t>经污水管网排放至</w:t>
            </w:r>
            <w:r>
              <w:rPr>
                <w:rFonts w:hint="eastAsia"/>
                <w:sz w:val="24"/>
                <w:szCs w:val="24"/>
              </w:rPr>
              <w:t>工业园污水处理厂</w:t>
            </w:r>
          </w:p>
        </w:tc>
        <w:tc>
          <w:tcPr>
            <w:tcW w:w="2834" w:type="dxa"/>
            <w:vAlign w:val="center"/>
          </w:tcPr>
          <w:p w14:paraId="3883C3FE">
            <w:pPr>
              <w:pStyle w:val="11"/>
              <w:ind w:left="0" w:leftChars="0"/>
              <w:rPr>
                <w:sz w:val="24"/>
                <w:szCs w:val="24"/>
              </w:rPr>
            </w:pPr>
            <w:r>
              <w:rPr>
                <w:sz w:val="24"/>
                <w:szCs w:val="24"/>
              </w:rPr>
              <w:t>《污水综合排放标准》（GB8978-1996）中</w:t>
            </w:r>
            <w:r>
              <w:rPr>
                <w:rFonts w:hint="eastAsia"/>
                <w:sz w:val="24"/>
                <w:szCs w:val="24"/>
              </w:rPr>
              <w:t>三</w:t>
            </w:r>
            <w:r>
              <w:rPr>
                <w:sz w:val="24"/>
                <w:szCs w:val="24"/>
              </w:rPr>
              <w:t>级标准</w:t>
            </w:r>
          </w:p>
        </w:tc>
      </w:tr>
      <w:tr w14:paraId="1FB29A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894" w:type="dxa"/>
            <w:vAlign w:val="center"/>
          </w:tcPr>
          <w:p w14:paraId="4AA45947">
            <w:pPr>
              <w:jc w:val="center"/>
              <w:rPr>
                <w:sz w:val="24"/>
                <w:szCs w:val="24"/>
              </w:rPr>
            </w:pPr>
            <w:r>
              <w:rPr>
                <w:sz w:val="24"/>
                <w:szCs w:val="24"/>
              </w:rPr>
              <w:t>声环境</w:t>
            </w:r>
          </w:p>
        </w:tc>
        <w:tc>
          <w:tcPr>
            <w:tcW w:w="2066" w:type="dxa"/>
            <w:gridSpan w:val="2"/>
            <w:vAlign w:val="center"/>
          </w:tcPr>
          <w:p w14:paraId="1D8FDFBA">
            <w:pPr>
              <w:spacing w:line="0" w:lineRule="atLeast"/>
              <w:jc w:val="center"/>
              <w:rPr>
                <w:sz w:val="24"/>
                <w:szCs w:val="24"/>
              </w:rPr>
            </w:pPr>
            <w:r>
              <w:rPr>
                <w:rFonts w:hint="eastAsia"/>
                <w:sz w:val="24"/>
                <w:szCs w:val="24"/>
              </w:rPr>
              <w:t>机械噪声</w:t>
            </w:r>
          </w:p>
        </w:tc>
        <w:tc>
          <w:tcPr>
            <w:tcW w:w="1576" w:type="dxa"/>
            <w:vAlign w:val="center"/>
          </w:tcPr>
          <w:p w14:paraId="0FC754CA">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等效连续A声级</w:t>
            </w:r>
          </w:p>
        </w:tc>
        <w:tc>
          <w:tcPr>
            <w:tcW w:w="1689" w:type="dxa"/>
            <w:vAlign w:val="center"/>
          </w:tcPr>
          <w:p w14:paraId="32CE9CEE">
            <w:pPr>
              <w:jc w:val="center"/>
              <w:rPr>
                <w:rFonts w:ascii="Times New Roman" w:hAnsi="Times New Roman" w:eastAsia="宋体" w:cs="Times New Roman"/>
                <w:sz w:val="24"/>
                <w:szCs w:val="24"/>
              </w:rPr>
            </w:pPr>
            <w:r>
              <w:rPr>
                <w:rFonts w:ascii="Times New Roman" w:hAnsi="Times New Roman" w:eastAsia="宋体" w:cs="Times New Roman"/>
                <w:sz w:val="24"/>
                <w:szCs w:val="24"/>
              </w:rPr>
              <w:t>机械设备加装减震垫，厂房封闭，加强管理等</w:t>
            </w:r>
          </w:p>
        </w:tc>
        <w:tc>
          <w:tcPr>
            <w:tcW w:w="2834" w:type="dxa"/>
            <w:vAlign w:val="center"/>
          </w:tcPr>
          <w:p w14:paraId="760F8FBA">
            <w:pPr>
              <w:jc w:val="center"/>
              <w:rPr>
                <w:sz w:val="24"/>
                <w:szCs w:val="24"/>
              </w:rPr>
            </w:pPr>
            <w:r>
              <w:rPr>
                <w:sz w:val="24"/>
                <w:szCs w:val="24"/>
              </w:rPr>
              <w:t>《工业企业厂界环境噪声排放标准》（GB12348-2008）中</w:t>
            </w:r>
            <w:r>
              <w:rPr>
                <w:rFonts w:hint="eastAsia"/>
                <w:sz w:val="24"/>
                <w:szCs w:val="24"/>
                <w:lang w:val="en-US" w:eastAsia="zh-CN"/>
              </w:rPr>
              <w:t>3类</w:t>
            </w:r>
            <w:r>
              <w:rPr>
                <w:sz w:val="24"/>
                <w:szCs w:val="24"/>
              </w:rPr>
              <w:t>标准</w:t>
            </w:r>
          </w:p>
        </w:tc>
      </w:tr>
      <w:tr w14:paraId="7AB135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4" w:type="dxa"/>
            <w:vAlign w:val="center"/>
          </w:tcPr>
          <w:p w14:paraId="0CB02C21">
            <w:pPr>
              <w:jc w:val="center"/>
              <w:rPr>
                <w:sz w:val="24"/>
                <w:szCs w:val="24"/>
              </w:rPr>
            </w:pPr>
            <w:r>
              <w:rPr>
                <w:sz w:val="24"/>
                <w:szCs w:val="24"/>
              </w:rPr>
              <w:t>电磁辐射</w:t>
            </w:r>
          </w:p>
        </w:tc>
        <w:tc>
          <w:tcPr>
            <w:tcW w:w="2066" w:type="dxa"/>
            <w:gridSpan w:val="2"/>
            <w:vAlign w:val="center"/>
          </w:tcPr>
          <w:p w14:paraId="73EB7C10">
            <w:pPr>
              <w:jc w:val="center"/>
              <w:rPr>
                <w:sz w:val="24"/>
                <w:szCs w:val="24"/>
              </w:rPr>
            </w:pPr>
            <w:r>
              <w:rPr>
                <w:rFonts w:hint="eastAsia"/>
                <w:sz w:val="24"/>
                <w:szCs w:val="24"/>
              </w:rPr>
              <w:t>/</w:t>
            </w:r>
          </w:p>
        </w:tc>
        <w:tc>
          <w:tcPr>
            <w:tcW w:w="1576" w:type="dxa"/>
            <w:vAlign w:val="center"/>
          </w:tcPr>
          <w:p w14:paraId="6E35B880">
            <w:pPr>
              <w:jc w:val="center"/>
              <w:rPr>
                <w:sz w:val="24"/>
                <w:szCs w:val="24"/>
              </w:rPr>
            </w:pPr>
            <w:r>
              <w:rPr>
                <w:rFonts w:hint="eastAsia"/>
                <w:sz w:val="24"/>
                <w:szCs w:val="24"/>
              </w:rPr>
              <w:t>/</w:t>
            </w:r>
          </w:p>
        </w:tc>
        <w:tc>
          <w:tcPr>
            <w:tcW w:w="1689" w:type="dxa"/>
            <w:vAlign w:val="center"/>
          </w:tcPr>
          <w:p w14:paraId="5145A4C5">
            <w:pPr>
              <w:jc w:val="center"/>
              <w:rPr>
                <w:sz w:val="24"/>
                <w:szCs w:val="24"/>
              </w:rPr>
            </w:pPr>
            <w:r>
              <w:rPr>
                <w:rFonts w:hint="eastAsia"/>
                <w:sz w:val="24"/>
                <w:szCs w:val="24"/>
              </w:rPr>
              <w:t>/</w:t>
            </w:r>
          </w:p>
        </w:tc>
        <w:tc>
          <w:tcPr>
            <w:tcW w:w="2834" w:type="dxa"/>
            <w:vAlign w:val="center"/>
          </w:tcPr>
          <w:p w14:paraId="2EF86D92">
            <w:pPr>
              <w:jc w:val="center"/>
              <w:rPr>
                <w:sz w:val="24"/>
                <w:szCs w:val="24"/>
              </w:rPr>
            </w:pPr>
            <w:r>
              <w:rPr>
                <w:rFonts w:hint="eastAsia"/>
                <w:sz w:val="24"/>
                <w:szCs w:val="24"/>
              </w:rPr>
              <w:t>/</w:t>
            </w:r>
          </w:p>
        </w:tc>
      </w:tr>
      <w:tr w14:paraId="01D3BE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94" w:type="dxa"/>
            <w:vAlign w:val="center"/>
          </w:tcPr>
          <w:p w14:paraId="0AF6AED6">
            <w:pPr>
              <w:jc w:val="center"/>
              <w:rPr>
                <w:sz w:val="24"/>
                <w:szCs w:val="24"/>
              </w:rPr>
            </w:pPr>
            <w:r>
              <w:rPr>
                <w:sz w:val="24"/>
                <w:szCs w:val="24"/>
              </w:rPr>
              <w:t>固体废物</w:t>
            </w:r>
          </w:p>
        </w:tc>
        <w:tc>
          <w:tcPr>
            <w:tcW w:w="8165" w:type="dxa"/>
            <w:gridSpan w:val="5"/>
            <w:vAlign w:val="center"/>
          </w:tcPr>
          <w:p w14:paraId="08F7A36B">
            <w:pPr>
              <w:pStyle w:val="55"/>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eastAsia="宋体"/>
                <w:sz w:val="24"/>
                <w:szCs w:val="24"/>
              </w:rPr>
            </w:pPr>
            <w:r>
              <w:rPr>
                <w:rFonts w:hint="eastAsia" w:ascii="Times New Roman" w:hAnsi="Times New Roman" w:eastAsia="宋体" w:cs="Times New Roman"/>
                <w:kern w:val="2"/>
                <w:sz w:val="24"/>
                <w:szCs w:val="24"/>
                <w:lang w:val="en-US" w:eastAsia="zh-CN" w:bidi="ar-SA"/>
              </w:rPr>
              <w:t>除尘器收集的粉尘收集后回用于生产；边角料、不合格品集中收集后回用于生产；废钢筋集中收集后分类暂存本厂，定期由销售商回收；危险废物分类存放于危废贮存库定期委托有资质单位处理；生活垃圾暂存于厂内垃圾临时堆放点，交由环卫部门统一处理。</w:t>
            </w:r>
          </w:p>
        </w:tc>
      </w:tr>
      <w:tr w14:paraId="132B9B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94" w:type="dxa"/>
            <w:vAlign w:val="center"/>
          </w:tcPr>
          <w:p w14:paraId="3208718C">
            <w:pPr>
              <w:jc w:val="center"/>
              <w:rPr>
                <w:sz w:val="24"/>
                <w:szCs w:val="24"/>
              </w:rPr>
            </w:pPr>
            <w:r>
              <w:rPr>
                <w:sz w:val="24"/>
                <w:szCs w:val="24"/>
              </w:rPr>
              <w:t>土壤及地下水污染防治措施</w:t>
            </w:r>
          </w:p>
        </w:tc>
        <w:tc>
          <w:tcPr>
            <w:tcW w:w="8165" w:type="dxa"/>
            <w:gridSpan w:val="5"/>
            <w:vAlign w:val="center"/>
          </w:tcPr>
          <w:p w14:paraId="24FCF4E8">
            <w:pPr>
              <w:spacing w:line="360" w:lineRule="auto"/>
              <w:ind w:firstLine="480" w:firstLineChars="200"/>
              <w:rPr>
                <w:sz w:val="24"/>
                <w:szCs w:val="24"/>
              </w:rPr>
            </w:pPr>
            <w:r>
              <w:rPr>
                <w:rFonts w:hint="eastAsia"/>
                <w:sz w:val="24"/>
                <w:szCs w:val="24"/>
              </w:rPr>
              <w:t>项目厂区内所有地面应参照《一般工业固体废物贮存和填埋污染控制标准》（GB18599-2020）的标准要求进行防渗设计，基础必须防渗，</w:t>
            </w:r>
            <w:r>
              <w:rPr>
                <w:sz w:val="24"/>
                <w:szCs w:val="24"/>
              </w:rPr>
              <w:t>等效黏土防渗层渗透系数≤1×10</w:t>
            </w:r>
            <w:r>
              <w:rPr>
                <w:sz w:val="24"/>
                <w:szCs w:val="24"/>
                <w:vertAlign w:val="superscript"/>
              </w:rPr>
              <w:t>-7</w:t>
            </w:r>
            <w:r>
              <w:rPr>
                <w:sz w:val="24"/>
                <w:szCs w:val="24"/>
              </w:rPr>
              <w:t>cm/s，渗透系数≤渗透系数等效黏土防渗</w:t>
            </w:r>
            <w:r>
              <w:rPr>
                <w:rFonts w:hint="eastAsia"/>
                <w:sz w:val="24"/>
                <w:szCs w:val="24"/>
              </w:rPr>
              <w:t>。若发生泄漏情况，事故状态为短时泄漏，及时进行清理，混凝土地面的防渗可起到较好的防渗效果。</w:t>
            </w:r>
          </w:p>
        </w:tc>
      </w:tr>
      <w:tr w14:paraId="7909E0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94" w:type="dxa"/>
            <w:vAlign w:val="center"/>
          </w:tcPr>
          <w:p w14:paraId="04C01BFE">
            <w:pPr>
              <w:jc w:val="center"/>
              <w:rPr>
                <w:sz w:val="24"/>
                <w:szCs w:val="24"/>
              </w:rPr>
            </w:pPr>
            <w:r>
              <w:rPr>
                <w:sz w:val="24"/>
                <w:szCs w:val="24"/>
              </w:rPr>
              <w:t>生态保护措施</w:t>
            </w:r>
          </w:p>
        </w:tc>
        <w:tc>
          <w:tcPr>
            <w:tcW w:w="8165" w:type="dxa"/>
            <w:gridSpan w:val="5"/>
            <w:vAlign w:val="center"/>
          </w:tcPr>
          <w:p w14:paraId="7AA55501">
            <w:pPr>
              <w:spacing w:line="360" w:lineRule="auto"/>
              <w:ind w:firstLine="480" w:firstLineChars="200"/>
              <w:rPr>
                <w:sz w:val="24"/>
                <w:szCs w:val="24"/>
              </w:rPr>
            </w:pPr>
            <w:r>
              <w:rPr>
                <w:sz w:val="24"/>
                <w:szCs w:val="24"/>
              </w:rPr>
              <w:t>做好厂区绿化工作，以吸收有害气体和颗粒物，达到净化大气环境、滞尘降噪的效果；妥善处置固体废物，杜绝二次污染</w:t>
            </w:r>
            <w:r>
              <w:rPr>
                <w:rFonts w:hint="eastAsia"/>
                <w:sz w:val="24"/>
                <w:szCs w:val="24"/>
              </w:rPr>
              <w:t>。</w:t>
            </w:r>
          </w:p>
        </w:tc>
      </w:tr>
      <w:tr w14:paraId="79795A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94" w:type="dxa"/>
            <w:vAlign w:val="center"/>
          </w:tcPr>
          <w:p w14:paraId="563F0923">
            <w:pPr>
              <w:jc w:val="center"/>
              <w:rPr>
                <w:sz w:val="24"/>
                <w:szCs w:val="24"/>
              </w:rPr>
            </w:pPr>
            <w:r>
              <w:rPr>
                <w:spacing w:val="-8"/>
                <w:sz w:val="24"/>
                <w:szCs w:val="24"/>
              </w:rPr>
              <w:t>环境风险防范措施</w:t>
            </w:r>
          </w:p>
        </w:tc>
        <w:tc>
          <w:tcPr>
            <w:tcW w:w="8165" w:type="dxa"/>
            <w:gridSpan w:val="5"/>
            <w:vAlign w:val="center"/>
          </w:tcPr>
          <w:p w14:paraId="5CE14B26">
            <w:pPr>
              <w:spacing w:line="360" w:lineRule="auto"/>
              <w:ind w:firstLine="480" w:firstLineChars="200"/>
              <w:rPr>
                <w:sz w:val="24"/>
                <w:szCs w:val="24"/>
              </w:rPr>
            </w:pPr>
            <w:r>
              <w:rPr>
                <w:sz w:val="24"/>
                <w:szCs w:val="24"/>
              </w:rPr>
              <w:t>目周围无环境敏感点，对当地生态环境造成的影响很小，本项目只要在项目实施过程中切实做好废气达标排放和噪声防治工作，各类固体废物妥善处置，则项目的建设对生态影响不大。</w:t>
            </w:r>
          </w:p>
        </w:tc>
      </w:tr>
      <w:tr w14:paraId="1A0F01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894" w:type="dxa"/>
            <w:vAlign w:val="center"/>
          </w:tcPr>
          <w:p w14:paraId="7A7BFA40">
            <w:pPr>
              <w:jc w:val="center"/>
              <w:rPr>
                <w:spacing w:val="-8"/>
              </w:rPr>
            </w:pPr>
            <w:r>
              <w:rPr>
                <w:spacing w:val="-8"/>
                <w:sz w:val="24"/>
                <w:szCs w:val="24"/>
              </w:rPr>
              <w:t>其他环境管理要求</w:t>
            </w:r>
          </w:p>
        </w:tc>
        <w:tc>
          <w:tcPr>
            <w:tcW w:w="8165" w:type="dxa"/>
            <w:gridSpan w:val="5"/>
            <w:vAlign w:val="center"/>
          </w:tcPr>
          <w:p w14:paraId="411AD354">
            <w:pPr>
              <w:spacing w:line="360" w:lineRule="auto"/>
              <w:ind w:firstLine="480" w:firstLineChars="200"/>
              <w:rPr>
                <w:sz w:val="24"/>
                <w:szCs w:val="24"/>
              </w:rPr>
            </w:pPr>
            <w:r>
              <w:rPr>
                <w:sz w:val="24"/>
                <w:szCs w:val="24"/>
              </w:rPr>
              <w:t>环境管理和污染源监测是建设单位内部污染源监督管理的重要组成部分。在企业中建立健全的环保机构，加强环保管理工作，开展厂内环境监测、监督，并把环保工作纳入生产管理，有助于控制和减少污染物的排放、促进资源的合理回用，对减轻环境污染、保护环境有着重要意义。</w:t>
            </w:r>
          </w:p>
          <w:p w14:paraId="4D31D47A">
            <w:pPr>
              <w:spacing w:line="360" w:lineRule="auto"/>
              <w:rPr>
                <w:b/>
                <w:bCs/>
                <w:sz w:val="24"/>
                <w:szCs w:val="24"/>
              </w:rPr>
            </w:pPr>
            <w:r>
              <w:rPr>
                <w:b/>
                <w:bCs/>
                <w:sz w:val="24"/>
                <w:szCs w:val="24"/>
              </w:rPr>
              <w:t>1.环境管理</w:t>
            </w:r>
          </w:p>
          <w:p w14:paraId="19745ECD">
            <w:pPr>
              <w:spacing w:line="360" w:lineRule="auto"/>
              <w:ind w:firstLine="480" w:firstLineChars="200"/>
              <w:rPr>
                <w:sz w:val="24"/>
                <w:szCs w:val="24"/>
              </w:rPr>
            </w:pPr>
            <w:r>
              <w:rPr>
                <w:sz w:val="24"/>
                <w:szCs w:val="24"/>
              </w:rPr>
              <w:t>为贯彻环境保护法规，促进项目社会效益、经济效益、环境效益的协调统一，对项目污染排放及区域环境质量实行监控，为区域环境管理与环境规划提供科学依据，必须加强企业环境管理与监测工作，建议建设单位至少指派1人负责企业环境管理与监测工作。环境管理采取总经理负责制，具体工作如下：</w:t>
            </w:r>
          </w:p>
          <w:p w14:paraId="576865CA">
            <w:pPr>
              <w:spacing w:line="360" w:lineRule="auto"/>
              <w:ind w:firstLine="480" w:firstLineChars="200"/>
              <w:rPr>
                <w:sz w:val="24"/>
                <w:szCs w:val="24"/>
              </w:rPr>
            </w:pPr>
            <w:r>
              <w:rPr>
                <w:rFonts w:hint="eastAsia"/>
                <w:sz w:val="24"/>
                <w:szCs w:val="24"/>
              </w:rPr>
              <w:t>（1）</w:t>
            </w:r>
            <w:r>
              <w:rPr>
                <w:sz w:val="24"/>
                <w:szCs w:val="24"/>
              </w:rPr>
              <w:t>贯彻执行国家和自治区现行各项环保方针、政策、法规和标准，并认真执行环保行政管理部门下达的各项任务。</w:t>
            </w:r>
          </w:p>
          <w:p w14:paraId="69A1FA93">
            <w:pPr>
              <w:spacing w:line="360" w:lineRule="auto"/>
              <w:ind w:firstLine="480" w:firstLineChars="200"/>
              <w:rPr>
                <w:sz w:val="24"/>
                <w:szCs w:val="24"/>
              </w:rPr>
            </w:pPr>
            <w:r>
              <w:rPr>
                <w:rFonts w:hint="eastAsia"/>
                <w:sz w:val="24"/>
                <w:szCs w:val="24"/>
              </w:rPr>
              <w:t>（2）</w:t>
            </w:r>
            <w:r>
              <w:rPr>
                <w:sz w:val="24"/>
                <w:szCs w:val="24"/>
              </w:rPr>
              <w:t>建立各项环境保护规章制度，并经常进行监督检查。</w:t>
            </w:r>
          </w:p>
          <w:p w14:paraId="1DB8CAC0">
            <w:pPr>
              <w:spacing w:line="360" w:lineRule="auto"/>
              <w:ind w:firstLine="480" w:firstLineChars="200"/>
              <w:rPr>
                <w:sz w:val="24"/>
                <w:szCs w:val="24"/>
              </w:rPr>
            </w:pPr>
            <w:r>
              <w:rPr>
                <w:rFonts w:hint="eastAsia"/>
                <w:sz w:val="24"/>
                <w:szCs w:val="24"/>
              </w:rPr>
              <w:t>（3）</w:t>
            </w:r>
            <w:r>
              <w:rPr>
                <w:sz w:val="24"/>
                <w:szCs w:val="24"/>
              </w:rPr>
              <w:t>定期对各污染源进行检查，请当地环境监测部门对本企业污染源排放情况进行监测，了解各污染源动态，及时发现和掌握企业污染变化情况，从而制订相应处理措施。</w:t>
            </w:r>
          </w:p>
          <w:p w14:paraId="7A29ED75">
            <w:pPr>
              <w:spacing w:line="360" w:lineRule="auto"/>
              <w:ind w:firstLine="480" w:firstLineChars="200"/>
              <w:rPr>
                <w:sz w:val="24"/>
                <w:szCs w:val="24"/>
              </w:rPr>
            </w:pPr>
            <w:r>
              <w:rPr>
                <w:rFonts w:hint="eastAsia"/>
                <w:sz w:val="24"/>
                <w:szCs w:val="24"/>
              </w:rPr>
              <w:t>（4）</w:t>
            </w:r>
            <w:r>
              <w:rPr>
                <w:sz w:val="24"/>
                <w:szCs w:val="24"/>
              </w:rPr>
              <w:t>加强对污染治理设施的管理、检查及维护，确保污染治理设施正常运行，并把污染治理设施的治理效率按生产指标一样进行考核，以防止污染事故发生。</w:t>
            </w:r>
          </w:p>
          <w:p w14:paraId="437C8E97">
            <w:pPr>
              <w:spacing w:line="360" w:lineRule="auto"/>
              <w:ind w:firstLine="480" w:firstLineChars="200"/>
              <w:rPr>
                <w:sz w:val="24"/>
                <w:szCs w:val="24"/>
              </w:rPr>
            </w:pPr>
            <w:r>
              <w:rPr>
                <w:rFonts w:hint="eastAsia"/>
                <w:sz w:val="24"/>
                <w:szCs w:val="24"/>
              </w:rPr>
              <w:t>（5）</w:t>
            </w:r>
            <w:r>
              <w:rPr>
                <w:sz w:val="24"/>
                <w:szCs w:val="24"/>
              </w:rPr>
              <w:t>学习并推广应用先进的环保技术和经验，组织污染治理设施操作人员进行岗前专业技术培训。</w:t>
            </w:r>
          </w:p>
          <w:p w14:paraId="0FD778CB">
            <w:pPr>
              <w:spacing w:line="360" w:lineRule="auto"/>
              <w:ind w:firstLine="480" w:firstLineChars="200"/>
              <w:rPr>
                <w:sz w:val="24"/>
                <w:szCs w:val="24"/>
              </w:rPr>
            </w:pPr>
            <w:r>
              <w:rPr>
                <w:rFonts w:hint="eastAsia"/>
                <w:sz w:val="24"/>
                <w:szCs w:val="24"/>
              </w:rPr>
              <w:t>（6）</w:t>
            </w:r>
            <w:r>
              <w:rPr>
                <w:sz w:val="24"/>
                <w:szCs w:val="24"/>
              </w:rPr>
              <w:t>对职工进行环保宣传教育，提高职工环保意识。</w:t>
            </w:r>
          </w:p>
          <w:p w14:paraId="0DA72E8B">
            <w:pPr>
              <w:spacing w:line="360" w:lineRule="auto"/>
              <w:ind w:firstLine="480" w:firstLineChars="200"/>
              <w:rPr>
                <w:sz w:val="24"/>
                <w:szCs w:val="24"/>
              </w:rPr>
            </w:pPr>
            <w:r>
              <w:rPr>
                <w:rFonts w:hint="eastAsia"/>
                <w:sz w:val="24"/>
                <w:szCs w:val="24"/>
              </w:rPr>
              <w:t>（7）</w:t>
            </w:r>
            <w:r>
              <w:rPr>
                <w:sz w:val="24"/>
                <w:szCs w:val="24"/>
              </w:rPr>
              <w:t>建立固体废物管理台账要求，如实记录产生的固体废物的种类、数量、去向等内容，每年年底编制固体废物环境管理。</w:t>
            </w:r>
          </w:p>
          <w:p w14:paraId="0E37E5FF">
            <w:pPr>
              <w:spacing w:line="360" w:lineRule="auto"/>
              <w:ind w:firstLine="480" w:firstLineChars="200"/>
              <w:rPr>
                <w:sz w:val="24"/>
                <w:szCs w:val="24"/>
              </w:rPr>
            </w:pPr>
            <w:r>
              <w:rPr>
                <w:rFonts w:hint="eastAsia"/>
                <w:sz w:val="24"/>
                <w:szCs w:val="24"/>
              </w:rPr>
              <w:t>（8）</w:t>
            </w:r>
            <w:r>
              <w:rPr>
                <w:sz w:val="24"/>
                <w:szCs w:val="24"/>
              </w:rPr>
              <w:t>建设单位应委托环境监理机构依据环境影响评价文件、环境保护行政主管部门批复及环境监理合同，对项目施工建设实行的环境保护监督管理（环境监理资料和工程质量验收资料要作为本项目建成后竣工环境保护验收的技术支撑资料）年报，报当地生态环境保护部门。</w:t>
            </w:r>
          </w:p>
          <w:p w14:paraId="21329451">
            <w:pPr>
              <w:spacing w:line="360" w:lineRule="auto"/>
              <w:rPr>
                <w:b/>
                <w:bCs/>
                <w:sz w:val="24"/>
                <w:szCs w:val="24"/>
              </w:rPr>
            </w:pPr>
            <w:r>
              <w:rPr>
                <w:b/>
                <w:bCs/>
                <w:sz w:val="24"/>
                <w:szCs w:val="24"/>
              </w:rPr>
              <w:t>2</w:t>
            </w:r>
            <w:r>
              <w:rPr>
                <w:rFonts w:hint="eastAsia"/>
                <w:b/>
                <w:bCs/>
                <w:sz w:val="24"/>
                <w:szCs w:val="24"/>
              </w:rPr>
              <w:t>.</w:t>
            </w:r>
            <w:r>
              <w:rPr>
                <w:b/>
                <w:bCs/>
                <w:sz w:val="24"/>
                <w:szCs w:val="24"/>
              </w:rPr>
              <w:t>排污许可证制度</w:t>
            </w:r>
          </w:p>
          <w:p w14:paraId="64148D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cs="Times New Roman"/>
                <w:color w:val="auto"/>
                <w:spacing w:val="0"/>
                <w:position w:val="0"/>
                <w:sz w:val="24"/>
                <w:highlight w:val="none"/>
              </w:rPr>
              <w:t>《</w:t>
            </w:r>
            <w:r>
              <w:rPr>
                <w:rFonts w:hint="default" w:ascii="Times New Roman" w:hAnsi="Times New Roman" w:eastAsia="宋体" w:cs="Times New Roman"/>
                <w:sz w:val="24"/>
                <w:szCs w:val="24"/>
              </w:rPr>
              <w:t>排污许可证管理暂行规定》要求</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新建项目的排污单位应当在投入生产或使用并产生实际排污行为之前申请领取排污许可证</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，因此，建设单位应在项目建设完成投入运行之前向生态环境局申办排污许可证，并严格按照排污许可证规定的污染物排放种类、浓度、总量等排污。</w:t>
            </w:r>
          </w:p>
          <w:p w14:paraId="3BE0E4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单位申办排污许可证，需首先在排污许可证管理信息平台申报系统填报排污许可证申请表中的相应信息，主要包括排污单位基本信息，主要产品及产能，主要原辅料及燃料，产排污环节、污染物及污染治理设施等。</w:t>
            </w:r>
          </w:p>
          <w:p w14:paraId="1621C0D1">
            <w:pPr>
              <w:spacing w:line="360" w:lineRule="auto"/>
              <w:rPr>
                <w:b/>
                <w:bCs/>
                <w:sz w:val="24"/>
                <w:szCs w:val="24"/>
              </w:rPr>
            </w:pPr>
            <w:r>
              <w:rPr>
                <w:b/>
                <w:bCs/>
                <w:sz w:val="24"/>
                <w:szCs w:val="24"/>
              </w:rPr>
              <w:t>3</w:t>
            </w:r>
            <w:r>
              <w:rPr>
                <w:rFonts w:hint="eastAsia"/>
                <w:b/>
                <w:bCs/>
                <w:sz w:val="24"/>
                <w:szCs w:val="24"/>
              </w:rPr>
              <w:t>.</w:t>
            </w:r>
            <w:r>
              <w:rPr>
                <w:b/>
                <w:bCs/>
                <w:sz w:val="24"/>
                <w:szCs w:val="24"/>
              </w:rPr>
              <w:t>排污口规范化设置</w:t>
            </w:r>
          </w:p>
          <w:p w14:paraId="4F24A9D9">
            <w:pPr>
              <w:spacing w:line="360" w:lineRule="auto"/>
              <w:ind w:firstLine="480" w:firstLineChars="200"/>
              <w:rPr>
                <w:sz w:val="24"/>
                <w:szCs w:val="24"/>
              </w:rPr>
            </w:pPr>
            <w:r>
              <w:rPr>
                <w:sz w:val="24"/>
                <w:szCs w:val="24"/>
              </w:rPr>
              <w:t>根据国家标准《环境保护图形标志—排放口</w:t>
            </w:r>
            <w:r>
              <w:rPr>
                <w:rFonts w:hint="eastAsia" w:ascii="宋体" w:hAnsi="宋体" w:cs="宋体"/>
                <w:sz w:val="24"/>
                <w:szCs w:val="24"/>
              </w:rPr>
              <w:t>(源)</w:t>
            </w:r>
            <w:r>
              <w:rPr>
                <w:sz w:val="24"/>
                <w:szCs w:val="24"/>
              </w:rPr>
              <w:t>》和国家环保总局《排污口规范化整治要求</w:t>
            </w:r>
            <w:r>
              <w:rPr>
                <w:rFonts w:hint="eastAsia" w:ascii="宋体" w:hAnsi="宋体" w:cs="宋体"/>
                <w:sz w:val="24"/>
                <w:szCs w:val="24"/>
              </w:rPr>
              <w:t>(试行）</w:t>
            </w:r>
            <w:r>
              <w:rPr>
                <w:sz w:val="24"/>
                <w:szCs w:val="24"/>
              </w:rPr>
              <w:t>》的技术要求，企业所有排放口</w:t>
            </w:r>
            <w:r>
              <w:rPr>
                <w:rFonts w:hint="eastAsia" w:ascii="宋体" w:hAnsi="宋体" w:cs="宋体"/>
                <w:sz w:val="24"/>
                <w:szCs w:val="24"/>
              </w:rPr>
              <w:t>(包括气、声、渣)</w:t>
            </w:r>
            <w:r>
              <w:rPr>
                <w:sz w:val="24"/>
                <w:szCs w:val="24"/>
              </w:rPr>
              <w:t>必须按照“便于采样、便于计量监测、便于日常现场监督检查”的原则和规范化要求，设置与之相适应的环境保护图形标志牌，绘制企业排污口分布图，排污口的规范化要符合环境监察部门及水利部门的相关要求。</w:t>
            </w:r>
          </w:p>
          <w:p w14:paraId="4D3D10AA">
            <w:pPr>
              <w:spacing w:line="360" w:lineRule="auto"/>
              <w:ind w:firstLine="480" w:firstLineChars="200"/>
              <w:rPr>
                <w:sz w:val="24"/>
                <w:szCs w:val="24"/>
              </w:rPr>
            </w:pPr>
            <w:r>
              <w:rPr>
                <w:sz w:val="24"/>
                <w:szCs w:val="24"/>
              </w:rPr>
              <w:t>在厂区</w:t>
            </w:r>
            <w:r>
              <w:rPr>
                <w:rFonts w:hint="eastAsia"/>
                <w:sz w:val="24"/>
                <w:szCs w:val="24"/>
              </w:rPr>
              <w:t>“</w:t>
            </w:r>
            <w:r>
              <w:rPr>
                <w:sz w:val="24"/>
                <w:szCs w:val="24"/>
              </w:rPr>
              <w:t>三废</w:t>
            </w:r>
            <w:r>
              <w:rPr>
                <w:rFonts w:hint="eastAsia"/>
                <w:sz w:val="24"/>
                <w:szCs w:val="24"/>
              </w:rPr>
              <w:t>”</w:t>
            </w:r>
            <w:r>
              <w:rPr>
                <w:sz w:val="24"/>
                <w:szCs w:val="24"/>
              </w:rPr>
              <w:t>及噪声排放点，设置明显标志，标志的设置应执行《环境保护图形标志排放口》</w:t>
            </w:r>
            <w:r>
              <w:rPr>
                <w:rFonts w:hint="eastAsia" w:ascii="宋体" w:hAnsi="宋体" w:cs="宋体"/>
                <w:sz w:val="24"/>
                <w:szCs w:val="24"/>
              </w:rPr>
              <w:t>(</w:t>
            </w:r>
            <w:r>
              <w:rPr>
                <w:sz w:val="24"/>
                <w:szCs w:val="24"/>
              </w:rPr>
              <w:t>15562.1-1995</w:t>
            </w:r>
            <w:r>
              <w:rPr>
                <w:rFonts w:hint="eastAsia" w:ascii="宋体" w:hAnsi="宋体" w:cs="宋体"/>
                <w:sz w:val="24"/>
                <w:szCs w:val="24"/>
              </w:rPr>
              <w:t>)</w:t>
            </w:r>
            <w:r>
              <w:rPr>
                <w:sz w:val="24"/>
                <w:szCs w:val="24"/>
              </w:rPr>
              <w:t>、《环境保护图形标志固体废物贮存</w:t>
            </w:r>
            <w:r>
              <w:rPr>
                <w:rFonts w:hint="eastAsia" w:ascii="宋体" w:hAnsi="宋体" w:cs="宋体"/>
                <w:sz w:val="24"/>
                <w:szCs w:val="24"/>
              </w:rPr>
              <w:t>(处置)</w:t>
            </w:r>
            <w:r>
              <w:rPr>
                <w:sz w:val="24"/>
                <w:szCs w:val="24"/>
              </w:rPr>
              <w:t>场》</w:t>
            </w:r>
            <w:r>
              <w:rPr>
                <w:rFonts w:hint="eastAsia" w:ascii="宋体" w:hAnsi="宋体" w:cs="宋体"/>
                <w:sz w:val="24"/>
                <w:szCs w:val="24"/>
              </w:rPr>
              <w:t>(</w:t>
            </w:r>
            <w:r>
              <w:rPr>
                <w:sz w:val="24"/>
                <w:szCs w:val="24"/>
              </w:rPr>
              <w:t>15562.2-1995</w:t>
            </w:r>
            <w:r>
              <w:rPr>
                <w:rFonts w:hint="eastAsia" w:ascii="宋体" w:hAnsi="宋体" w:cs="宋体"/>
                <w:sz w:val="24"/>
                <w:szCs w:val="24"/>
              </w:rPr>
              <w:t>)</w:t>
            </w:r>
            <w:r>
              <w:rPr>
                <w:sz w:val="24"/>
                <w:szCs w:val="24"/>
              </w:rPr>
              <w:t>中有关规定，见下表。</w:t>
            </w:r>
          </w:p>
          <w:p w14:paraId="50371B18">
            <w:pPr>
              <w:spacing w:line="360" w:lineRule="auto"/>
              <w:ind w:firstLine="480" w:firstLineChars="200"/>
              <w:rPr>
                <w:sz w:val="24"/>
                <w:szCs w:val="24"/>
              </w:rPr>
            </w:pPr>
            <w:r>
              <w:rPr>
                <w:rFonts w:hint="eastAsia"/>
                <w:sz w:val="24"/>
                <w:szCs w:val="24"/>
              </w:rPr>
              <w:t>（1）</w:t>
            </w:r>
            <w:r>
              <w:rPr>
                <w:sz w:val="24"/>
                <w:szCs w:val="24"/>
              </w:rPr>
              <w:t>废气排放口废气排放口必须符合规定的高度和按《污染源监测技术规范》便于采样、监测的要求，设置采样口，如无法满足要求的，其采样口与环境监测部门共同确认。</w:t>
            </w:r>
          </w:p>
          <w:p w14:paraId="0F68BAB2">
            <w:pPr>
              <w:spacing w:line="360" w:lineRule="auto"/>
              <w:ind w:firstLine="480" w:firstLineChars="200"/>
            </w:pPr>
            <w:r>
              <w:rPr>
                <w:rFonts w:hint="eastAsia"/>
                <w:sz w:val="24"/>
                <w:szCs w:val="24"/>
              </w:rPr>
              <w:t>（2）</w:t>
            </w:r>
            <w:r>
              <w:rPr>
                <w:sz w:val="24"/>
                <w:szCs w:val="24"/>
              </w:rPr>
              <w:t>设置标志牌环境保护图形标志牌由国家环保总局统一定点制作，并由市环境监察部门根据企业排污情况统一向国家环保总局订购。企业排污口分布图由市环境监察部门统一绘制。标志牌设置位置在排污口</w:t>
            </w:r>
            <w:r>
              <w:rPr>
                <w:rFonts w:hint="eastAsia" w:ascii="宋体" w:hAnsi="宋体" w:cs="宋体"/>
                <w:sz w:val="24"/>
                <w:szCs w:val="24"/>
              </w:rPr>
              <w:t>(采样点)</w:t>
            </w:r>
            <w:r>
              <w:rPr>
                <w:sz w:val="24"/>
                <w:szCs w:val="24"/>
              </w:rPr>
              <w:t>附近醒目处，高度为标志牌上边缘离地面2m。排污口附近1m范围内有建筑物的，设现面式标志牌，无建筑物的设立式标志牌。规范排污口的有关设置</w:t>
            </w:r>
            <w:r>
              <w:rPr>
                <w:rFonts w:hint="eastAsia" w:ascii="宋体" w:hAnsi="宋体" w:cs="宋体"/>
                <w:sz w:val="24"/>
                <w:szCs w:val="24"/>
              </w:rPr>
              <w:t>(如图形标专牌、计量装置等)</w:t>
            </w:r>
            <w:r>
              <w:rPr>
                <w:sz w:val="24"/>
                <w:szCs w:val="24"/>
              </w:rPr>
              <w:t>均属于环保设施，排污单位必须负责日常的维护保养，任何单位和个人不得擅自拆除，如需要变更的须报环境监察部门同意并变更手续。</w:t>
            </w:r>
          </w:p>
          <w:p w14:paraId="4A2653A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kern w:val="2"/>
                <w:sz w:val="24"/>
                <w:szCs w:val="20"/>
                <w:highlight w:val="none"/>
                <w:lang w:val="en-US" w:eastAsia="zh-CN" w:bidi="ar-SA"/>
              </w:rPr>
            </w:pPr>
            <w:r>
              <w:rPr>
                <w:rFonts w:hint="default" w:ascii="Times New Roman" w:hAnsi="Times New Roman" w:eastAsia="宋体" w:cs="Times New Roman"/>
                <w:b/>
                <w:bCs/>
                <w:color w:val="000000"/>
                <w:kern w:val="2"/>
                <w:sz w:val="21"/>
                <w:szCs w:val="21"/>
                <w:highlight w:val="none"/>
                <w:lang w:val="en-US" w:eastAsia="zh-CN" w:bidi="ar-SA"/>
              </w:rPr>
              <w:t>表</w:t>
            </w:r>
            <w:r>
              <w:rPr>
                <w:rFonts w:hint="eastAsia" w:ascii="Times New Roman" w:hAnsi="Times New Roman" w:eastAsia="宋体" w:cs="Times New Roman"/>
                <w:b/>
                <w:bCs/>
                <w:color w:val="000000"/>
                <w:kern w:val="2"/>
                <w:sz w:val="21"/>
                <w:szCs w:val="21"/>
                <w:highlight w:val="none"/>
                <w:lang w:val="en-US" w:eastAsia="zh-CN" w:bidi="ar-SA"/>
              </w:rPr>
              <w:t xml:space="preserve">5-1  </w:t>
            </w:r>
            <w:r>
              <w:rPr>
                <w:rFonts w:hint="default" w:ascii="Times New Roman" w:hAnsi="Times New Roman" w:eastAsia="宋体" w:cs="Times New Roman"/>
                <w:b/>
                <w:bCs/>
                <w:color w:val="000000"/>
                <w:kern w:val="2"/>
                <w:sz w:val="21"/>
                <w:szCs w:val="21"/>
                <w:highlight w:val="none"/>
                <w:lang w:val="en-US" w:eastAsia="zh-CN" w:bidi="ar-SA"/>
              </w:rPr>
              <w:t>环境保护图形标志设置图形表</w:t>
            </w:r>
          </w:p>
          <w:tbl>
            <w:tblPr>
              <w:tblStyle w:val="24"/>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787"/>
              <w:gridCol w:w="1789"/>
              <w:gridCol w:w="1789"/>
              <w:gridCol w:w="1789"/>
              <w:gridCol w:w="1792"/>
            </w:tblGrid>
            <w:tr w14:paraId="11F2105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495" w:type="pct"/>
                  <w:tcBorders>
                    <w:tl2br w:val="nil"/>
                    <w:tr2bl w:val="nil"/>
                  </w:tcBorders>
                  <w:noWrap w:val="0"/>
                  <w:vAlign w:val="center"/>
                </w:tcPr>
                <w:p w14:paraId="66552AD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b/>
                      <w:bCs/>
                      <w:color w:val="000000"/>
                      <w:kern w:val="0"/>
                      <w:sz w:val="21"/>
                      <w:szCs w:val="21"/>
                      <w:highlight w:val="none"/>
                      <w:lang w:val="en-US" w:eastAsia="en-US" w:bidi="ar-SA"/>
                    </w:rPr>
                  </w:pPr>
                  <w:r>
                    <w:rPr>
                      <w:rFonts w:hint="default" w:ascii="Times New Roman" w:hAnsi="Times New Roman" w:eastAsia="宋体" w:cs="Times New Roman"/>
                      <w:b/>
                      <w:bCs/>
                      <w:color w:val="000000"/>
                      <w:kern w:val="0"/>
                      <w:sz w:val="21"/>
                      <w:szCs w:val="21"/>
                      <w:highlight w:val="none"/>
                      <w:lang w:val="en-US" w:eastAsia="en-US" w:bidi="ar-SA"/>
                    </w:rPr>
                    <w:t>序号</w:t>
                  </w:r>
                </w:p>
              </w:tc>
              <w:tc>
                <w:tcPr>
                  <w:tcW w:w="1125" w:type="pct"/>
                  <w:tcBorders>
                    <w:tl2br w:val="nil"/>
                    <w:tr2bl w:val="nil"/>
                  </w:tcBorders>
                  <w:noWrap w:val="0"/>
                  <w:vAlign w:val="center"/>
                </w:tcPr>
                <w:p w14:paraId="4C27DF8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both"/>
                    <w:textAlignment w:val="auto"/>
                    <w:rPr>
                      <w:rFonts w:hint="default" w:ascii="Times New Roman" w:hAnsi="Times New Roman" w:eastAsia="宋体" w:cs="Times New Roman"/>
                      <w:b/>
                      <w:bCs/>
                      <w:color w:val="000000"/>
                      <w:kern w:val="0"/>
                      <w:sz w:val="21"/>
                      <w:szCs w:val="21"/>
                      <w:highlight w:val="none"/>
                      <w:lang w:val="en-US" w:eastAsia="en-US" w:bidi="ar-SA"/>
                    </w:rPr>
                  </w:pPr>
                  <w:r>
                    <w:rPr>
                      <w:rFonts w:hint="default" w:ascii="Times New Roman" w:hAnsi="Times New Roman" w:eastAsia="宋体" w:cs="Times New Roman"/>
                      <w:b/>
                      <w:bCs/>
                      <w:color w:val="000000"/>
                      <w:kern w:val="0"/>
                      <w:sz w:val="21"/>
                      <w:szCs w:val="21"/>
                      <w:highlight w:val="none"/>
                      <w:lang w:val="en-US" w:eastAsia="en-US" w:bidi="ar-SA"/>
                    </w:rPr>
                    <w:t>提示图形标志</w:t>
                  </w:r>
                </w:p>
              </w:tc>
              <w:tc>
                <w:tcPr>
                  <w:tcW w:w="1125" w:type="pct"/>
                  <w:tcBorders>
                    <w:tl2br w:val="nil"/>
                    <w:tr2bl w:val="nil"/>
                  </w:tcBorders>
                  <w:noWrap w:val="0"/>
                  <w:vAlign w:val="center"/>
                </w:tcPr>
                <w:p w14:paraId="77EAFCA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b/>
                      <w:bCs/>
                      <w:color w:val="000000"/>
                      <w:kern w:val="0"/>
                      <w:sz w:val="21"/>
                      <w:szCs w:val="21"/>
                      <w:highlight w:val="none"/>
                      <w:lang w:val="en-US" w:eastAsia="en-US" w:bidi="ar-SA"/>
                    </w:rPr>
                  </w:pPr>
                  <w:r>
                    <w:rPr>
                      <w:rFonts w:hint="default" w:ascii="Times New Roman" w:hAnsi="Times New Roman" w:eastAsia="宋体" w:cs="Times New Roman"/>
                      <w:b/>
                      <w:bCs/>
                      <w:color w:val="000000"/>
                      <w:kern w:val="0"/>
                      <w:sz w:val="21"/>
                      <w:szCs w:val="21"/>
                      <w:highlight w:val="none"/>
                      <w:lang w:val="en-US" w:eastAsia="en-US" w:bidi="ar-SA"/>
                    </w:rPr>
                    <w:t>警告图形符号</w:t>
                  </w:r>
                </w:p>
              </w:tc>
              <w:tc>
                <w:tcPr>
                  <w:tcW w:w="1125" w:type="pct"/>
                  <w:tcBorders>
                    <w:tl2br w:val="nil"/>
                    <w:tr2bl w:val="nil"/>
                  </w:tcBorders>
                  <w:noWrap w:val="0"/>
                  <w:vAlign w:val="center"/>
                </w:tcPr>
                <w:p w14:paraId="202331D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b/>
                      <w:bCs/>
                      <w:color w:val="000000"/>
                      <w:kern w:val="0"/>
                      <w:sz w:val="21"/>
                      <w:szCs w:val="21"/>
                      <w:highlight w:val="none"/>
                      <w:lang w:val="en-US" w:eastAsia="en-US" w:bidi="ar-SA"/>
                    </w:rPr>
                  </w:pPr>
                  <w:r>
                    <w:rPr>
                      <w:rFonts w:hint="default" w:ascii="Times New Roman" w:hAnsi="Times New Roman" w:eastAsia="宋体" w:cs="Times New Roman"/>
                      <w:b/>
                      <w:bCs/>
                      <w:color w:val="000000"/>
                      <w:kern w:val="0"/>
                      <w:sz w:val="21"/>
                      <w:szCs w:val="21"/>
                      <w:highlight w:val="none"/>
                      <w:lang w:val="en-US" w:eastAsia="en-US" w:bidi="ar-SA"/>
                    </w:rPr>
                    <w:t>名称</w:t>
                  </w:r>
                </w:p>
              </w:tc>
              <w:tc>
                <w:tcPr>
                  <w:tcW w:w="1127" w:type="pct"/>
                  <w:tcBorders>
                    <w:tl2br w:val="nil"/>
                    <w:tr2bl w:val="nil"/>
                  </w:tcBorders>
                  <w:noWrap w:val="0"/>
                  <w:vAlign w:val="center"/>
                </w:tcPr>
                <w:p w14:paraId="7B43812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b/>
                      <w:bCs/>
                      <w:color w:val="000000"/>
                      <w:kern w:val="0"/>
                      <w:sz w:val="21"/>
                      <w:szCs w:val="21"/>
                      <w:highlight w:val="none"/>
                      <w:lang w:val="en-US" w:eastAsia="en-US" w:bidi="ar-SA"/>
                    </w:rPr>
                  </w:pPr>
                  <w:r>
                    <w:rPr>
                      <w:rFonts w:hint="default" w:ascii="Times New Roman" w:hAnsi="Times New Roman" w:eastAsia="宋体" w:cs="Times New Roman"/>
                      <w:b/>
                      <w:bCs/>
                      <w:color w:val="000000"/>
                      <w:kern w:val="0"/>
                      <w:sz w:val="21"/>
                      <w:szCs w:val="21"/>
                      <w:highlight w:val="none"/>
                      <w:lang w:val="en-US" w:eastAsia="en-US" w:bidi="ar-SA"/>
                    </w:rPr>
                    <w:t>功能</w:t>
                  </w:r>
                </w:p>
              </w:tc>
            </w:tr>
            <w:tr w14:paraId="713ABB6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455" w:hRule="atLeast"/>
              </w:trPr>
              <w:tc>
                <w:tcPr>
                  <w:tcW w:w="495" w:type="pct"/>
                  <w:tcBorders>
                    <w:tl2br w:val="nil"/>
                    <w:tr2bl w:val="nil"/>
                  </w:tcBorders>
                  <w:noWrap w:val="0"/>
                  <w:vAlign w:val="center"/>
                </w:tcPr>
                <w:p w14:paraId="5143621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000000"/>
                      <w:kern w:val="0"/>
                      <w:sz w:val="21"/>
                      <w:szCs w:val="21"/>
                      <w:highlight w:val="none"/>
                      <w:lang w:val="en-US" w:eastAsia="en-US" w:bidi="ar-SA"/>
                    </w:rPr>
                  </w:pPr>
                  <w:r>
                    <w:rPr>
                      <w:rFonts w:hint="default" w:ascii="Times New Roman" w:hAnsi="Times New Roman" w:eastAsia="宋体" w:cs="Times New Roman"/>
                      <w:color w:val="000000"/>
                      <w:kern w:val="0"/>
                      <w:sz w:val="21"/>
                      <w:szCs w:val="21"/>
                      <w:highlight w:val="none"/>
                      <w:lang w:val="en-US" w:eastAsia="en-US" w:bidi="ar-SA"/>
                    </w:rPr>
                    <w:t>1</w:t>
                  </w:r>
                </w:p>
              </w:tc>
              <w:tc>
                <w:tcPr>
                  <w:tcW w:w="1125" w:type="pct"/>
                  <w:tcBorders>
                    <w:tl2br w:val="nil"/>
                    <w:tr2bl w:val="nil"/>
                  </w:tcBorders>
                  <w:noWrap w:val="0"/>
                  <w:vAlign w:val="top"/>
                </w:tcPr>
                <w:p w14:paraId="20EDF6B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both"/>
                    <w:textAlignment w:val="auto"/>
                    <w:rPr>
                      <w:rFonts w:hint="default" w:ascii="Times New Roman" w:hAnsi="Times New Roman" w:eastAsia="宋体" w:cs="Times New Roman"/>
                      <w:color w:val="000000"/>
                      <w:kern w:val="0"/>
                      <w:sz w:val="21"/>
                      <w:szCs w:val="21"/>
                      <w:highlight w:val="none"/>
                      <w:lang w:val="en-US" w:eastAsia="en-US" w:bidi="ar-SA"/>
                    </w:rPr>
                  </w:pPr>
                  <w:r>
                    <w:rPr>
                      <w:rFonts w:hint="default" w:ascii="Times New Roman" w:hAnsi="Times New Roman" w:eastAsia="宋体" w:cs="Times New Roman"/>
                      <w:color w:val="000000"/>
                      <w:kern w:val="0"/>
                      <w:sz w:val="21"/>
                      <w:szCs w:val="21"/>
                      <w:highlight w:val="none"/>
                      <w:lang w:val="en-US" w:eastAsia="en-US" w:bidi="ar-SA"/>
                    </w:rPr>
                    <w:drawing>
                      <wp:anchor distT="0" distB="0" distL="114935" distR="114935" simplePos="0" relativeHeight="251670528" behindDoc="1" locked="0" layoutInCell="1" allowOverlap="1">
                        <wp:simplePos x="0" y="0"/>
                        <wp:positionH relativeFrom="column">
                          <wp:posOffset>161925</wp:posOffset>
                        </wp:positionH>
                        <wp:positionV relativeFrom="paragraph">
                          <wp:posOffset>51435</wp:posOffset>
                        </wp:positionV>
                        <wp:extent cx="923925" cy="862965"/>
                        <wp:effectExtent l="0" t="0" r="5715" b="5715"/>
                        <wp:wrapThrough wrapText="bothSides">
                          <wp:wrapPolygon>
                            <wp:start x="0" y="0"/>
                            <wp:lineTo x="0" y="21362"/>
                            <wp:lineTo x="21377" y="21362"/>
                            <wp:lineTo x="21377" y="0"/>
                            <wp:lineTo x="0" y="0"/>
                          </wp:wrapPolygon>
                        </wp:wrapThrough>
                        <wp:docPr id="5" name="图片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94"/>
                                <pic:cNvPicPr>
                                  <a:picLocks noChangeAspect="1"/>
                                </pic:cNvPicPr>
                              </pic:nvPicPr>
                              <pic:blipFill>
                                <a:blip r:embed="rId12"/>
                                <a:stretch>
                                  <a:fillRect/>
                                </a:stretch>
                              </pic:blipFill>
                              <pic:spPr>
                                <a:xfrm>
                                  <a:off x="0" y="0"/>
                                  <a:ext cx="923925" cy="862965"/>
                                </a:xfrm>
                                <a:prstGeom prst="rect">
                                  <a:avLst/>
                                </a:prstGeom>
                                <a:noFill/>
                                <a:ln>
                                  <a:noFill/>
                                </a:ln>
                              </pic:spPr>
                            </pic:pic>
                          </a:graphicData>
                        </a:graphic>
                      </wp:anchor>
                    </w:drawing>
                  </w:r>
                </w:p>
              </w:tc>
              <w:tc>
                <w:tcPr>
                  <w:tcW w:w="1125" w:type="pct"/>
                  <w:tcBorders>
                    <w:tl2br w:val="nil"/>
                    <w:tr2bl w:val="nil"/>
                  </w:tcBorders>
                  <w:noWrap w:val="0"/>
                  <w:vAlign w:val="top"/>
                </w:tcPr>
                <w:p w14:paraId="32EBB3B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both"/>
                    <w:textAlignment w:val="auto"/>
                    <w:rPr>
                      <w:rFonts w:hint="default" w:ascii="Times New Roman" w:hAnsi="Times New Roman" w:eastAsia="宋体" w:cs="Times New Roman"/>
                      <w:color w:val="000000"/>
                      <w:kern w:val="0"/>
                      <w:sz w:val="21"/>
                      <w:szCs w:val="21"/>
                      <w:highlight w:val="none"/>
                      <w:lang w:val="en-US" w:eastAsia="en-US" w:bidi="ar-SA"/>
                    </w:rPr>
                  </w:pPr>
                  <w:r>
                    <w:rPr>
                      <w:rFonts w:hint="default" w:ascii="Times New Roman" w:hAnsi="Times New Roman" w:eastAsia="宋体" w:cs="Times New Roman"/>
                      <w:color w:val="000000"/>
                      <w:kern w:val="0"/>
                      <w:sz w:val="21"/>
                      <w:szCs w:val="21"/>
                      <w:highlight w:val="none"/>
                      <w:lang w:val="en-US" w:eastAsia="en-US" w:bidi="ar-SA"/>
                    </w:rPr>
                    <w:drawing>
                      <wp:anchor distT="0" distB="0" distL="114935" distR="114935" simplePos="0" relativeHeight="251666432" behindDoc="1" locked="0" layoutInCell="1" allowOverlap="1">
                        <wp:simplePos x="0" y="0"/>
                        <wp:positionH relativeFrom="column">
                          <wp:posOffset>118110</wp:posOffset>
                        </wp:positionH>
                        <wp:positionV relativeFrom="paragraph">
                          <wp:posOffset>47625</wp:posOffset>
                        </wp:positionV>
                        <wp:extent cx="970915" cy="862330"/>
                        <wp:effectExtent l="0" t="0" r="4445" b="6350"/>
                        <wp:wrapThrough wrapText="bothSides">
                          <wp:wrapPolygon>
                            <wp:start x="0" y="0"/>
                            <wp:lineTo x="0" y="21377"/>
                            <wp:lineTo x="21360" y="21377"/>
                            <wp:lineTo x="21360" y="0"/>
                            <wp:lineTo x="0" y="0"/>
                          </wp:wrapPolygon>
                        </wp:wrapThrough>
                        <wp:docPr id="8" name="图片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95"/>
                                <pic:cNvPicPr>
                                  <a:picLocks noChangeAspect="1"/>
                                </pic:cNvPicPr>
                              </pic:nvPicPr>
                              <pic:blipFill>
                                <a:blip r:embed="rId13"/>
                                <a:stretch>
                                  <a:fillRect/>
                                </a:stretch>
                              </pic:blipFill>
                              <pic:spPr>
                                <a:xfrm>
                                  <a:off x="0" y="0"/>
                                  <a:ext cx="970915" cy="862330"/>
                                </a:xfrm>
                                <a:prstGeom prst="rect">
                                  <a:avLst/>
                                </a:prstGeom>
                                <a:noFill/>
                                <a:ln>
                                  <a:noFill/>
                                </a:ln>
                              </pic:spPr>
                            </pic:pic>
                          </a:graphicData>
                        </a:graphic>
                      </wp:anchor>
                    </w:drawing>
                  </w:r>
                </w:p>
              </w:tc>
              <w:tc>
                <w:tcPr>
                  <w:tcW w:w="1125" w:type="pct"/>
                  <w:tcBorders>
                    <w:tl2br w:val="nil"/>
                    <w:tr2bl w:val="nil"/>
                  </w:tcBorders>
                  <w:noWrap w:val="0"/>
                  <w:vAlign w:val="center"/>
                </w:tcPr>
                <w:p w14:paraId="52784F6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000000"/>
                      <w:kern w:val="0"/>
                      <w:sz w:val="21"/>
                      <w:szCs w:val="21"/>
                      <w:highlight w:val="none"/>
                      <w:lang w:val="en-US" w:eastAsia="en-US" w:bidi="ar-SA"/>
                    </w:rPr>
                  </w:pPr>
                  <w:r>
                    <w:rPr>
                      <w:rFonts w:hint="default" w:ascii="Times New Roman" w:hAnsi="Times New Roman" w:eastAsia="宋体" w:cs="Times New Roman"/>
                      <w:color w:val="000000"/>
                      <w:kern w:val="0"/>
                      <w:sz w:val="21"/>
                      <w:szCs w:val="21"/>
                      <w:highlight w:val="none"/>
                      <w:lang w:val="en-US" w:eastAsia="en-US" w:bidi="ar-SA"/>
                    </w:rPr>
                    <w:t>废水排放口</w:t>
                  </w:r>
                </w:p>
              </w:tc>
              <w:tc>
                <w:tcPr>
                  <w:tcW w:w="1127" w:type="pct"/>
                  <w:tcBorders>
                    <w:tl2br w:val="nil"/>
                    <w:tr2bl w:val="nil"/>
                  </w:tcBorders>
                  <w:noWrap w:val="0"/>
                  <w:vAlign w:val="center"/>
                </w:tcPr>
                <w:p w14:paraId="4E15D60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000000"/>
                      <w:kern w:val="0"/>
                      <w:sz w:val="21"/>
                      <w:szCs w:val="21"/>
                      <w:highlight w:val="none"/>
                      <w:lang w:val="en-US" w:eastAsia="en-US" w:bidi="ar-SA"/>
                    </w:rPr>
                  </w:pPr>
                  <w:r>
                    <w:rPr>
                      <w:rFonts w:hint="default" w:ascii="Times New Roman" w:hAnsi="Times New Roman" w:eastAsia="宋体" w:cs="Times New Roman"/>
                      <w:color w:val="000000"/>
                      <w:kern w:val="0"/>
                      <w:sz w:val="21"/>
                      <w:szCs w:val="21"/>
                      <w:highlight w:val="none"/>
                      <w:lang w:val="en-US" w:eastAsia="en-US" w:bidi="ar-SA"/>
                    </w:rPr>
                    <w:t>表示废水向水体排放</w:t>
                  </w:r>
                </w:p>
              </w:tc>
            </w:tr>
            <w:tr w14:paraId="316C61C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495" w:type="pct"/>
                  <w:tcBorders>
                    <w:tl2br w:val="nil"/>
                    <w:tr2bl w:val="nil"/>
                  </w:tcBorders>
                  <w:noWrap w:val="0"/>
                  <w:vAlign w:val="center"/>
                </w:tcPr>
                <w:p w14:paraId="19EE2C0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000000"/>
                      <w:kern w:val="0"/>
                      <w:sz w:val="21"/>
                      <w:szCs w:val="21"/>
                      <w:highlight w:val="none"/>
                      <w:lang w:val="en-US" w:eastAsia="en-US" w:bidi="ar-SA"/>
                    </w:rPr>
                  </w:pPr>
                  <w:r>
                    <w:rPr>
                      <w:rFonts w:hint="default" w:ascii="Times New Roman" w:hAnsi="Times New Roman" w:eastAsia="宋体" w:cs="Times New Roman"/>
                      <w:color w:val="000000"/>
                      <w:kern w:val="0"/>
                      <w:sz w:val="21"/>
                      <w:szCs w:val="21"/>
                      <w:highlight w:val="none"/>
                      <w:lang w:val="en-US" w:eastAsia="en-US" w:bidi="ar-SA"/>
                    </w:rPr>
                    <w:t>2</w:t>
                  </w:r>
                </w:p>
              </w:tc>
              <w:tc>
                <w:tcPr>
                  <w:tcW w:w="1125" w:type="pct"/>
                  <w:tcBorders>
                    <w:tl2br w:val="nil"/>
                    <w:tr2bl w:val="nil"/>
                  </w:tcBorders>
                  <w:noWrap w:val="0"/>
                  <w:vAlign w:val="top"/>
                </w:tcPr>
                <w:p w14:paraId="55E53E9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both"/>
                    <w:textAlignment w:val="auto"/>
                    <w:rPr>
                      <w:rFonts w:hint="default" w:ascii="Times New Roman" w:hAnsi="Times New Roman" w:eastAsia="宋体" w:cs="Times New Roman"/>
                      <w:color w:val="000000"/>
                      <w:kern w:val="0"/>
                      <w:sz w:val="21"/>
                      <w:szCs w:val="21"/>
                      <w:highlight w:val="none"/>
                      <w:lang w:val="en-US" w:eastAsia="en-US" w:bidi="ar-SA"/>
                    </w:rPr>
                  </w:pPr>
                  <w:r>
                    <w:rPr>
                      <w:rFonts w:hint="default" w:ascii="Times New Roman" w:hAnsi="Times New Roman" w:eastAsia="宋体" w:cs="Times New Roman"/>
                      <w:color w:val="000000"/>
                      <w:kern w:val="0"/>
                      <w:sz w:val="21"/>
                      <w:szCs w:val="21"/>
                      <w:highlight w:val="none"/>
                      <w:lang w:val="en-US" w:eastAsia="en-US" w:bidi="ar-SA"/>
                    </w:rPr>
                    <w:drawing>
                      <wp:anchor distT="0" distB="0" distL="114300" distR="114300" simplePos="0" relativeHeight="251671552" behindDoc="0" locked="0" layoutInCell="1" allowOverlap="1">
                        <wp:simplePos x="0" y="0"/>
                        <wp:positionH relativeFrom="column">
                          <wp:posOffset>161925</wp:posOffset>
                        </wp:positionH>
                        <wp:positionV relativeFrom="paragraph">
                          <wp:posOffset>60325</wp:posOffset>
                        </wp:positionV>
                        <wp:extent cx="922655" cy="789940"/>
                        <wp:effectExtent l="0" t="0" r="6985" b="2540"/>
                        <wp:wrapSquare wrapText="bothSides"/>
                        <wp:docPr id="6" name="图片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96"/>
                                <pic:cNvPicPr>
                                  <a:picLocks noChangeAspect="1"/>
                                </pic:cNvPicPr>
                              </pic:nvPicPr>
                              <pic:blipFill>
                                <a:blip r:embed="rId14"/>
                                <a:stretch>
                                  <a:fillRect/>
                                </a:stretch>
                              </pic:blipFill>
                              <pic:spPr>
                                <a:xfrm>
                                  <a:off x="0" y="0"/>
                                  <a:ext cx="922655" cy="789940"/>
                                </a:xfrm>
                                <a:prstGeom prst="rect">
                                  <a:avLst/>
                                </a:prstGeom>
                                <a:noFill/>
                                <a:ln>
                                  <a:noFill/>
                                </a:ln>
                              </pic:spPr>
                            </pic:pic>
                          </a:graphicData>
                        </a:graphic>
                      </wp:anchor>
                    </w:drawing>
                  </w:r>
                </w:p>
              </w:tc>
              <w:tc>
                <w:tcPr>
                  <w:tcW w:w="1125" w:type="pct"/>
                  <w:tcBorders>
                    <w:tl2br w:val="nil"/>
                    <w:tr2bl w:val="nil"/>
                  </w:tcBorders>
                  <w:noWrap w:val="0"/>
                  <w:vAlign w:val="top"/>
                </w:tcPr>
                <w:p w14:paraId="7F449C6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000000"/>
                      <w:kern w:val="0"/>
                      <w:sz w:val="21"/>
                      <w:szCs w:val="21"/>
                      <w:highlight w:val="none"/>
                      <w:lang w:val="en-US" w:eastAsia="en-US" w:bidi="ar-SA"/>
                    </w:rPr>
                  </w:pPr>
                  <w:r>
                    <w:rPr>
                      <w:rFonts w:hint="default" w:ascii="Times New Roman" w:hAnsi="Times New Roman" w:eastAsia="宋体" w:cs="Times New Roman"/>
                      <w:color w:val="000000"/>
                      <w:kern w:val="0"/>
                      <w:sz w:val="21"/>
                      <w:szCs w:val="21"/>
                      <w:highlight w:val="none"/>
                      <w:lang w:val="en-US" w:eastAsia="en-US" w:bidi="ar-SA"/>
                    </w:rPr>
                    <w:drawing>
                      <wp:anchor distT="0" distB="0" distL="114300" distR="114300" simplePos="0" relativeHeight="251672576" behindDoc="0" locked="0" layoutInCell="1" allowOverlap="1">
                        <wp:simplePos x="0" y="0"/>
                        <wp:positionH relativeFrom="column">
                          <wp:posOffset>180975</wp:posOffset>
                        </wp:positionH>
                        <wp:positionV relativeFrom="paragraph">
                          <wp:posOffset>57785</wp:posOffset>
                        </wp:positionV>
                        <wp:extent cx="951865" cy="838200"/>
                        <wp:effectExtent l="0" t="0" r="8255" b="0"/>
                        <wp:wrapTopAndBottom/>
                        <wp:docPr id="7" name="图片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97"/>
                                <pic:cNvPicPr>
                                  <a:picLocks noChangeAspect="1"/>
                                </pic:cNvPicPr>
                              </pic:nvPicPr>
                              <pic:blipFill>
                                <a:blip r:embed="rId15"/>
                                <a:stretch>
                                  <a:fillRect/>
                                </a:stretch>
                              </pic:blipFill>
                              <pic:spPr>
                                <a:xfrm>
                                  <a:off x="0" y="0"/>
                                  <a:ext cx="951865" cy="838200"/>
                                </a:xfrm>
                                <a:prstGeom prst="rect">
                                  <a:avLst/>
                                </a:prstGeom>
                                <a:noFill/>
                                <a:ln>
                                  <a:noFill/>
                                </a:ln>
                              </pic:spPr>
                            </pic:pic>
                          </a:graphicData>
                        </a:graphic>
                      </wp:anchor>
                    </w:drawing>
                  </w:r>
                </w:p>
              </w:tc>
              <w:tc>
                <w:tcPr>
                  <w:tcW w:w="1125" w:type="pct"/>
                  <w:tcBorders>
                    <w:tl2br w:val="nil"/>
                    <w:tr2bl w:val="nil"/>
                  </w:tcBorders>
                  <w:noWrap w:val="0"/>
                  <w:vAlign w:val="center"/>
                </w:tcPr>
                <w:p w14:paraId="7DB3A15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000000"/>
                      <w:kern w:val="0"/>
                      <w:sz w:val="21"/>
                      <w:szCs w:val="21"/>
                      <w:highlight w:val="none"/>
                      <w:lang w:val="en-US" w:eastAsia="en-US" w:bidi="ar-SA"/>
                    </w:rPr>
                  </w:pPr>
                  <w:r>
                    <w:rPr>
                      <w:rFonts w:hint="default" w:ascii="Times New Roman" w:hAnsi="Times New Roman" w:eastAsia="宋体" w:cs="Times New Roman"/>
                      <w:color w:val="000000"/>
                      <w:kern w:val="0"/>
                      <w:sz w:val="21"/>
                      <w:szCs w:val="21"/>
                      <w:highlight w:val="none"/>
                      <w:lang w:val="en-US" w:eastAsia="en-US" w:bidi="ar-SA"/>
                    </w:rPr>
                    <w:t>废气排放口</w:t>
                  </w:r>
                </w:p>
              </w:tc>
              <w:tc>
                <w:tcPr>
                  <w:tcW w:w="1127" w:type="pct"/>
                  <w:tcBorders>
                    <w:tl2br w:val="nil"/>
                    <w:tr2bl w:val="nil"/>
                  </w:tcBorders>
                  <w:noWrap w:val="0"/>
                  <w:vAlign w:val="center"/>
                </w:tcPr>
                <w:p w14:paraId="6FAD820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000000"/>
                      <w:kern w:val="0"/>
                      <w:sz w:val="21"/>
                      <w:szCs w:val="21"/>
                      <w:highlight w:val="none"/>
                      <w:lang w:val="en-US" w:eastAsia="en-US" w:bidi="ar-SA"/>
                    </w:rPr>
                  </w:pPr>
                  <w:r>
                    <w:rPr>
                      <w:rFonts w:hint="default" w:ascii="Times New Roman" w:hAnsi="Times New Roman" w:eastAsia="宋体" w:cs="Times New Roman"/>
                      <w:color w:val="000000"/>
                      <w:kern w:val="0"/>
                      <w:sz w:val="21"/>
                      <w:szCs w:val="21"/>
                      <w:highlight w:val="none"/>
                      <w:lang w:val="en-US" w:eastAsia="en-US" w:bidi="ar-SA"/>
                    </w:rPr>
                    <w:t>表示废气向大气环境排放</w:t>
                  </w:r>
                </w:p>
              </w:tc>
            </w:tr>
            <w:tr w14:paraId="38BED6F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495" w:type="pct"/>
                  <w:tcBorders>
                    <w:tl2br w:val="nil"/>
                    <w:tr2bl w:val="nil"/>
                  </w:tcBorders>
                  <w:noWrap w:val="0"/>
                  <w:vAlign w:val="center"/>
                </w:tcPr>
                <w:p w14:paraId="4957755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000000"/>
                      <w:kern w:val="0"/>
                      <w:sz w:val="21"/>
                      <w:szCs w:val="21"/>
                      <w:highlight w:val="none"/>
                      <w:lang w:val="en-US" w:eastAsia="en-US" w:bidi="ar-SA"/>
                    </w:rPr>
                  </w:pPr>
                  <w:r>
                    <w:rPr>
                      <w:rFonts w:hint="default" w:ascii="Times New Roman" w:hAnsi="Times New Roman" w:eastAsia="宋体" w:cs="Times New Roman"/>
                      <w:color w:val="000000"/>
                      <w:kern w:val="0"/>
                      <w:sz w:val="21"/>
                      <w:szCs w:val="21"/>
                      <w:highlight w:val="none"/>
                      <w:lang w:val="en-US" w:eastAsia="en-US" w:bidi="ar-SA"/>
                    </w:rPr>
                    <w:t>3</w:t>
                  </w:r>
                </w:p>
              </w:tc>
              <w:tc>
                <w:tcPr>
                  <w:tcW w:w="1125" w:type="pct"/>
                  <w:tcBorders>
                    <w:tl2br w:val="nil"/>
                    <w:tr2bl w:val="nil"/>
                  </w:tcBorders>
                  <w:noWrap w:val="0"/>
                  <w:vAlign w:val="top"/>
                </w:tcPr>
                <w:p w14:paraId="3649BD0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000000"/>
                      <w:kern w:val="0"/>
                      <w:sz w:val="21"/>
                      <w:szCs w:val="21"/>
                      <w:highlight w:val="none"/>
                      <w:lang w:val="en-US" w:eastAsia="en-US" w:bidi="ar-SA"/>
                    </w:rPr>
                  </w:pPr>
                  <w:r>
                    <w:rPr>
                      <w:rFonts w:hint="default" w:ascii="Times New Roman" w:hAnsi="Times New Roman" w:eastAsia="宋体" w:cs="Times New Roman"/>
                      <w:color w:val="000000"/>
                      <w:kern w:val="0"/>
                      <w:sz w:val="21"/>
                      <w:szCs w:val="21"/>
                      <w:highlight w:val="none"/>
                      <w:lang w:val="en-US" w:eastAsia="en-US" w:bidi="ar-SA"/>
                    </w:rPr>
                    <w:drawing>
                      <wp:anchor distT="0" distB="0" distL="114300" distR="114300" simplePos="0" relativeHeight="251664384" behindDoc="0" locked="0" layoutInCell="1" allowOverlap="1">
                        <wp:simplePos x="0" y="0"/>
                        <wp:positionH relativeFrom="column">
                          <wp:posOffset>146050</wp:posOffset>
                        </wp:positionH>
                        <wp:positionV relativeFrom="paragraph">
                          <wp:posOffset>90170</wp:posOffset>
                        </wp:positionV>
                        <wp:extent cx="962025" cy="819785"/>
                        <wp:effectExtent l="0" t="0" r="13335" b="3175"/>
                        <wp:wrapSquare wrapText="bothSides"/>
                        <wp:docPr id="9" name="图片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98"/>
                                <pic:cNvPicPr>
                                  <a:picLocks noChangeAspect="1"/>
                                </pic:cNvPicPr>
                              </pic:nvPicPr>
                              <pic:blipFill>
                                <a:blip r:embed="rId16"/>
                                <a:stretch>
                                  <a:fillRect/>
                                </a:stretch>
                              </pic:blipFill>
                              <pic:spPr>
                                <a:xfrm>
                                  <a:off x="0" y="0"/>
                                  <a:ext cx="962025" cy="819785"/>
                                </a:xfrm>
                                <a:prstGeom prst="rect">
                                  <a:avLst/>
                                </a:prstGeom>
                                <a:noFill/>
                                <a:ln>
                                  <a:noFill/>
                                </a:ln>
                              </pic:spPr>
                            </pic:pic>
                          </a:graphicData>
                        </a:graphic>
                      </wp:anchor>
                    </w:drawing>
                  </w:r>
                </w:p>
              </w:tc>
              <w:tc>
                <w:tcPr>
                  <w:tcW w:w="1125" w:type="pct"/>
                  <w:tcBorders>
                    <w:tl2br w:val="nil"/>
                    <w:tr2bl w:val="nil"/>
                  </w:tcBorders>
                  <w:noWrap w:val="0"/>
                  <w:vAlign w:val="top"/>
                </w:tcPr>
                <w:p w14:paraId="31C713F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000000"/>
                      <w:kern w:val="0"/>
                      <w:sz w:val="21"/>
                      <w:szCs w:val="21"/>
                      <w:highlight w:val="none"/>
                      <w:lang w:val="en-US" w:eastAsia="en-US" w:bidi="ar-SA"/>
                    </w:rPr>
                  </w:pPr>
                  <w:r>
                    <w:rPr>
                      <w:rFonts w:hint="default" w:ascii="Times New Roman" w:hAnsi="Times New Roman" w:eastAsia="宋体" w:cs="Times New Roman"/>
                      <w:color w:val="000000"/>
                      <w:kern w:val="0"/>
                      <w:sz w:val="21"/>
                      <w:szCs w:val="21"/>
                      <w:highlight w:val="none"/>
                      <w:lang w:val="en-US" w:eastAsia="en-US" w:bidi="ar-SA"/>
                    </w:rPr>
                    <w:drawing>
                      <wp:anchor distT="0" distB="0" distL="114300" distR="114300" simplePos="0" relativeHeight="251667456" behindDoc="0" locked="0" layoutInCell="1" allowOverlap="1">
                        <wp:simplePos x="0" y="0"/>
                        <wp:positionH relativeFrom="column">
                          <wp:posOffset>165735</wp:posOffset>
                        </wp:positionH>
                        <wp:positionV relativeFrom="paragraph">
                          <wp:posOffset>126365</wp:posOffset>
                        </wp:positionV>
                        <wp:extent cx="961390" cy="795020"/>
                        <wp:effectExtent l="0" t="0" r="13970" b="12700"/>
                        <wp:wrapSquare wrapText="bothSides"/>
                        <wp:docPr id="10" name="图片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99"/>
                                <pic:cNvPicPr>
                                  <a:picLocks noChangeAspect="1"/>
                                </pic:cNvPicPr>
                              </pic:nvPicPr>
                              <pic:blipFill>
                                <a:blip r:embed="rId17"/>
                                <a:stretch>
                                  <a:fillRect/>
                                </a:stretch>
                              </pic:blipFill>
                              <pic:spPr>
                                <a:xfrm>
                                  <a:off x="0" y="0"/>
                                  <a:ext cx="961390" cy="795020"/>
                                </a:xfrm>
                                <a:prstGeom prst="rect">
                                  <a:avLst/>
                                </a:prstGeom>
                                <a:noFill/>
                                <a:ln>
                                  <a:noFill/>
                                </a:ln>
                              </pic:spPr>
                            </pic:pic>
                          </a:graphicData>
                        </a:graphic>
                      </wp:anchor>
                    </w:drawing>
                  </w:r>
                </w:p>
              </w:tc>
              <w:tc>
                <w:tcPr>
                  <w:tcW w:w="1125" w:type="pct"/>
                  <w:tcBorders>
                    <w:tl2br w:val="nil"/>
                    <w:tr2bl w:val="nil"/>
                  </w:tcBorders>
                  <w:noWrap w:val="0"/>
                  <w:vAlign w:val="center"/>
                </w:tcPr>
                <w:p w14:paraId="6F695D4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000000"/>
                      <w:kern w:val="0"/>
                      <w:sz w:val="21"/>
                      <w:szCs w:val="21"/>
                      <w:highlight w:val="none"/>
                      <w:lang w:val="en-US" w:eastAsia="en-US" w:bidi="ar-SA"/>
                    </w:rPr>
                  </w:pPr>
                  <w:r>
                    <w:rPr>
                      <w:rFonts w:hint="default" w:ascii="Times New Roman" w:hAnsi="Times New Roman" w:eastAsia="宋体" w:cs="Times New Roman"/>
                      <w:color w:val="000000"/>
                      <w:kern w:val="0"/>
                      <w:sz w:val="21"/>
                      <w:szCs w:val="21"/>
                      <w:highlight w:val="none"/>
                      <w:lang w:val="en-US" w:eastAsia="en-US" w:bidi="ar-SA"/>
                    </w:rPr>
                    <w:t>噪声排放源</w:t>
                  </w:r>
                </w:p>
              </w:tc>
              <w:tc>
                <w:tcPr>
                  <w:tcW w:w="1127" w:type="pct"/>
                  <w:tcBorders>
                    <w:tl2br w:val="nil"/>
                    <w:tr2bl w:val="nil"/>
                  </w:tcBorders>
                  <w:noWrap w:val="0"/>
                  <w:vAlign w:val="center"/>
                </w:tcPr>
                <w:p w14:paraId="645FE52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000000"/>
                      <w:kern w:val="0"/>
                      <w:sz w:val="21"/>
                      <w:szCs w:val="21"/>
                      <w:highlight w:val="none"/>
                      <w:lang w:val="en-US" w:eastAsia="en-US" w:bidi="ar-SA"/>
                    </w:rPr>
                  </w:pPr>
                  <w:r>
                    <w:rPr>
                      <w:rFonts w:hint="default" w:ascii="Times New Roman" w:hAnsi="Times New Roman" w:eastAsia="宋体" w:cs="Times New Roman"/>
                      <w:color w:val="000000"/>
                      <w:kern w:val="0"/>
                      <w:sz w:val="21"/>
                      <w:szCs w:val="21"/>
                      <w:highlight w:val="none"/>
                      <w:lang w:val="en-US" w:eastAsia="en-US" w:bidi="ar-SA"/>
                    </w:rPr>
                    <w:t>表示噪声向外环境排放</w:t>
                  </w:r>
                </w:p>
              </w:tc>
            </w:tr>
            <w:tr w14:paraId="5728662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495" w:type="pct"/>
                  <w:tcBorders>
                    <w:tl2br w:val="nil"/>
                    <w:tr2bl w:val="nil"/>
                  </w:tcBorders>
                  <w:noWrap w:val="0"/>
                  <w:vAlign w:val="center"/>
                </w:tcPr>
                <w:p w14:paraId="7B3162E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000000"/>
                      <w:kern w:val="0"/>
                      <w:sz w:val="21"/>
                      <w:szCs w:val="21"/>
                      <w:highlight w:val="none"/>
                      <w:lang w:val="en-US" w:eastAsia="en-US" w:bidi="ar-SA"/>
                    </w:rPr>
                  </w:pPr>
                  <w:r>
                    <w:rPr>
                      <w:rFonts w:hint="default" w:ascii="Times New Roman" w:hAnsi="Times New Roman" w:eastAsia="宋体" w:cs="Times New Roman"/>
                      <w:color w:val="000000"/>
                      <w:kern w:val="0"/>
                      <w:sz w:val="21"/>
                      <w:szCs w:val="21"/>
                      <w:highlight w:val="none"/>
                      <w:lang w:val="en-US" w:eastAsia="en-US" w:bidi="ar-SA"/>
                    </w:rPr>
                    <w:t>4</w:t>
                  </w:r>
                </w:p>
              </w:tc>
              <w:tc>
                <w:tcPr>
                  <w:tcW w:w="1125" w:type="pct"/>
                  <w:tcBorders>
                    <w:tl2br w:val="nil"/>
                    <w:tr2bl w:val="nil"/>
                  </w:tcBorders>
                  <w:noWrap w:val="0"/>
                  <w:vAlign w:val="top"/>
                </w:tcPr>
                <w:p w14:paraId="1E50F9A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both"/>
                    <w:textAlignment w:val="auto"/>
                    <w:rPr>
                      <w:rFonts w:hint="default" w:ascii="Times New Roman" w:hAnsi="Times New Roman" w:eastAsia="宋体" w:cs="Times New Roman"/>
                      <w:color w:val="000000"/>
                      <w:kern w:val="0"/>
                      <w:sz w:val="21"/>
                      <w:szCs w:val="21"/>
                      <w:highlight w:val="none"/>
                      <w:lang w:val="en-US" w:eastAsia="en-US" w:bidi="ar-SA"/>
                    </w:rPr>
                  </w:pPr>
                  <w:r>
                    <w:rPr>
                      <w:rFonts w:hint="default" w:ascii="Times New Roman" w:hAnsi="Times New Roman" w:eastAsia="宋体" w:cs="Times New Roman"/>
                      <w:color w:val="000000"/>
                      <w:kern w:val="0"/>
                      <w:sz w:val="21"/>
                      <w:szCs w:val="21"/>
                      <w:highlight w:val="none"/>
                      <w:lang w:val="en-US" w:eastAsia="en-US" w:bidi="ar-SA"/>
                    </w:rPr>
                    <w:drawing>
                      <wp:anchor distT="0" distB="0" distL="114300" distR="114300" simplePos="0" relativeHeight="251665408" behindDoc="0" locked="0" layoutInCell="1" allowOverlap="1">
                        <wp:simplePos x="0" y="0"/>
                        <wp:positionH relativeFrom="column">
                          <wp:posOffset>165735</wp:posOffset>
                        </wp:positionH>
                        <wp:positionV relativeFrom="paragraph">
                          <wp:posOffset>76200</wp:posOffset>
                        </wp:positionV>
                        <wp:extent cx="961390" cy="866775"/>
                        <wp:effectExtent l="0" t="0" r="13970" b="1905"/>
                        <wp:wrapSquare wrapText="bothSides"/>
                        <wp:docPr id="11" name="图片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00"/>
                                <pic:cNvPicPr>
                                  <a:picLocks noChangeAspect="1"/>
                                </pic:cNvPicPr>
                              </pic:nvPicPr>
                              <pic:blipFill>
                                <a:blip r:embed="rId18"/>
                                <a:stretch>
                                  <a:fillRect/>
                                </a:stretch>
                              </pic:blipFill>
                              <pic:spPr>
                                <a:xfrm>
                                  <a:off x="0" y="0"/>
                                  <a:ext cx="961390" cy="866775"/>
                                </a:xfrm>
                                <a:prstGeom prst="rect">
                                  <a:avLst/>
                                </a:prstGeom>
                                <a:noFill/>
                                <a:ln>
                                  <a:noFill/>
                                </a:ln>
                              </pic:spPr>
                            </pic:pic>
                          </a:graphicData>
                        </a:graphic>
                      </wp:anchor>
                    </w:drawing>
                  </w:r>
                </w:p>
              </w:tc>
              <w:tc>
                <w:tcPr>
                  <w:tcW w:w="1125" w:type="pct"/>
                  <w:tcBorders>
                    <w:tl2br w:val="nil"/>
                    <w:tr2bl w:val="nil"/>
                  </w:tcBorders>
                  <w:noWrap w:val="0"/>
                  <w:vAlign w:val="top"/>
                </w:tcPr>
                <w:p w14:paraId="335F59D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000000"/>
                      <w:kern w:val="0"/>
                      <w:sz w:val="21"/>
                      <w:szCs w:val="21"/>
                      <w:highlight w:val="none"/>
                      <w:lang w:val="en-US" w:eastAsia="en-US" w:bidi="ar-SA"/>
                    </w:rPr>
                  </w:pPr>
                  <w:r>
                    <w:rPr>
                      <w:rFonts w:hint="default" w:ascii="Times New Roman" w:hAnsi="Times New Roman" w:eastAsia="宋体" w:cs="Times New Roman"/>
                      <w:color w:val="000000"/>
                      <w:kern w:val="0"/>
                      <w:sz w:val="21"/>
                      <w:szCs w:val="21"/>
                      <w:highlight w:val="none"/>
                      <w:lang w:val="en-US" w:eastAsia="en-US" w:bidi="ar-SA"/>
                    </w:rPr>
                    <w:drawing>
                      <wp:anchor distT="0" distB="0" distL="114300" distR="114300" simplePos="0" relativeHeight="251668480" behindDoc="0" locked="0" layoutInCell="1" allowOverlap="1">
                        <wp:simplePos x="0" y="0"/>
                        <wp:positionH relativeFrom="column">
                          <wp:posOffset>172085</wp:posOffset>
                        </wp:positionH>
                        <wp:positionV relativeFrom="paragraph">
                          <wp:posOffset>95250</wp:posOffset>
                        </wp:positionV>
                        <wp:extent cx="947420" cy="848360"/>
                        <wp:effectExtent l="0" t="0" r="12700" b="5080"/>
                        <wp:wrapTopAndBottom/>
                        <wp:docPr id="1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6"/>
                                <pic:cNvPicPr>
                                  <a:picLocks noChangeAspect="1"/>
                                </pic:cNvPicPr>
                              </pic:nvPicPr>
                              <pic:blipFill>
                                <a:blip r:embed="rId19"/>
                                <a:stretch>
                                  <a:fillRect/>
                                </a:stretch>
                              </pic:blipFill>
                              <pic:spPr>
                                <a:xfrm>
                                  <a:off x="0" y="0"/>
                                  <a:ext cx="947420" cy="848360"/>
                                </a:xfrm>
                                <a:prstGeom prst="rect">
                                  <a:avLst/>
                                </a:prstGeom>
                                <a:noFill/>
                                <a:ln>
                                  <a:noFill/>
                                </a:ln>
                              </pic:spPr>
                            </pic:pic>
                          </a:graphicData>
                        </a:graphic>
                      </wp:anchor>
                    </w:drawing>
                  </w:r>
                </w:p>
              </w:tc>
              <w:tc>
                <w:tcPr>
                  <w:tcW w:w="1125" w:type="pct"/>
                  <w:tcBorders>
                    <w:tl2br w:val="nil"/>
                    <w:tr2bl w:val="nil"/>
                  </w:tcBorders>
                  <w:noWrap w:val="0"/>
                  <w:vAlign w:val="center"/>
                </w:tcPr>
                <w:p w14:paraId="0B8AB31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000000"/>
                      <w:kern w:val="0"/>
                      <w:sz w:val="21"/>
                      <w:szCs w:val="21"/>
                      <w:highlight w:val="none"/>
                      <w:lang w:val="en-US" w:eastAsia="en-US" w:bidi="ar-SA"/>
                    </w:rPr>
                  </w:pPr>
                  <w:r>
                    <w:rPr>
                      <w:rFonts w:hint="default" w:ascii="Times New Roman" w:hAnsi="Times New Roman" w:eastAsia="宋体" w:cs="Times New Roman"/>
                      <w:color w:val="000000"/>
                      <w:kern w:val="0"/>
                      <w:sz w:val="21"/>
                      <w:szCs w:val="21"/>
                      <w:highlight w:val="none"/>
                      <w:lang w:val="en-US" w:eastAsia="en-US" w:bidi="ar-SA"/>
                    </w:rPr>
                    <w:t>一般固体废物</w:t>
                  </w:r>
                </w:p>
              </w:tc>
              <w:tc>
                <w:tcPr>
                  <w:tcW w:w="1127" w:type="pct"/>
                  <w:tcBorders>
                    <w:tl2br w:val="nil"/>
                    <w:tr2bl w:val="nil"/>
                  </w:tcBorders>
                  <w:noWrap w:val="0"/>
                  <w:vAlign w:val="center"/>
                </w:tcPr>
                <w:p w14:paraId="336355F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000000"/>
                      <w:kern w:val="0"/>
                      <w:sz w:val="21"/>
                      <w:szCs w:val="21"/>
                      <w:highlight w:val="none"/>
                      <w:lang w:val="en-US" w:eastAsia="en-US" w:bidi="ar-SA"/>
                    </w:rPr>
                  </w:pPr>
                  <w:r>
                    <w:rPr>
                      <w:rFonts w:hint="default" w:ascii="Times New Roman" w:hAnsi="Times New Roman" w:eastAsia="宋体" w:cs="Times New Roman"/>
                      <w:color w:val="000000"/>
                      <w:kern w:val="0"/>
                      <w:sz w:val="21"/>
                      <w:szCs w:val="21"/>
                      <w:highlight w:val="none"/>
                      <w:lang w:val="en-US" w:eastAsia="en-US" w:bidi="ar-SA"/>
                    </w:rPr>
                    <w:t>表示一般固体废物贮存、处置场</w:t>
                  </w:r>
                </w:p>
              </w:tc>
            </w:tr>
            <w:tr w14:paraId="7BD84DB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495" w:type="pct"/>
                  <w:tcBorders>
                    <w:tl2br w:val="nil"/>
                    <w:tr2bl w:val="nil"/>
                  </w:tcBorders>
                  <w:noWrap w:val="0"/>
                  <w:vAlign w:val="center"/>
                </w:tcPr>
                <w:p w14:paraId="3906ADF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000000"/>
                      <w:kern w:val="0"/>
                      <w:sz w:val="21"/>
                      <w:szCs w:val="21"/>
                      <w:highlight w:val="none"/>
                      <w:lang w:val="en-US" w:eastAsia="en-US" w:bidi="ar-SA"/>
                    </w:rPr>
                  </w:pPr>
                  <w:r>
                    <w:rPr>
                      <w:rFonts w:hint="default" w:ascii="Times New Roman" w:hAnsi="Times New Roman" w:eastAsia="宋体" w:cs="Times New Roman"/>
                      <w:color w:val="000000"/>
                      <w:kern w:val="0"/>
                      <w:sz w:val="21"/>
                      <w:szCs w:val="21"/>
                      <w:highlight w:val="none"/>
                      <w:lang w:val="en-US" w:eastAsia="en-US" w:bidi="ar-SA"/>
                    </w:rPr>
                    <w:t>5</w:t>
                  </w:r>
                </w:p>
              </w:tc>
              <w:tc>
                <w:tcPr>
                  <w:tcW w:w="1125" w:type="pct"/>
                  <w:tcBorders>
                    <w:tl2br w:val="nil"/>
                    <w:tr2bl w:val="nil"/>
                  </w:tcBorders>
                  <w:noWrap w:val="0"/>
                  <w:vAlign w:val="top"/>
                </w:tcPr>
                <w:p w14:paraId="771EF58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left"/>
                    <w:textAlignment w:val="auto"/>
                    <w:rPr>
                      <w:rFonts w:hint="default" w:ascii="Times New Roman" w:hAnsi="Times New Roman" w:eastAsia="宋体" w:cs="Times New Roman"/>
                      <w:color w:val="000000"/>
                      <w:kern w:val="0"/>
                      <w:sz w:val="21"/>
                      <w:szCs w:val="21"/>
                      <w:highlight w:val="none"/>
                      <w:lang w:val="en-US" w:eastAsia="en-US" w:bidi="ar-SA"/>
                    </w:rPr>
                  </w:pPr>
                  <w:r>
                    <w:rPr>
                      <w:rFonts w:hint="default" w:ascii="Times New Roman" w:hAnsi="Times New Roman" w:cs="Times New Roman"/>
                      <w:color w:val="auto"/>
                      <w:highlight w:val="none"/>
                    </w:rPr>
                    <w:drawing>
                      <wp:anchor distT="0" distB="0" distL="114300" distR="114300" simplePos="0" relativeHeight="251669504" behindDoc="0" locked="0" layoutInCell="1" allowOverlap="1">
                        <wp:simplePos x="0" y="0"/>
                        <wp:positionH relativeFrom="column">
                          <wp:posOffset>122555</wp:posOffset>
                        </wp:positionH>
                        <wp:positionV relativeFrom="paragraph">
                          <wp:posOffset>60325</wp:posOffset>
                        </wp:positionV>
                        <wp:extent cx="984885" cy="969645"/>
                        <wp:effectExtent l="0" t="0" r="5715" b="5715"/>
                        <wp:wrapSquare wrapText="bothSides"/>
                        <wp:docPr id="5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0"/>
                                <pic:cNvPicPr>
                                  <a:picLocks noChangeAspect="1"/>
                                </pic:cNvPicPr>
                              </pic:nvPicPr>
                              <pic:blipFill>
                                <a:blip r:embed="rId20"/>
                                <a:stretch>
                                  <a:fillRect/>
                                </a:stretch>
                              </pic:blipFill>
                              <pic:spPr>
                                <a:xfrm>
                                  <a:off x="0" y="0"/>
                                  <a:ext cx="984885" cy="969645"/>
                                </a:xfrm>
                                <a:prstGeom prst="rect">
                                  <a:avLst/>
                                </a:prstGeom>
                                <a:noFill/>
                                <a:ln>
                                  <a:noFill/>
                                </a:ln>
                              </pic:spPr>
                            </pic:pic>
                          </a:graphicData>
                        </a:graphic>
                      </wp:anchor>
                    </w:drawing>
                  </w:r>
                </w:p>
              </w:tc>
              <w:tc>
                <w:tcPr>
                  <w:tcW w:w="1125" w:type="pct"/>
                  <w:tcBorders>
                    <w:tl2br w:val="nil"/>
                    <w:tr2bl w:val="nil"/>
                  </w:tcBorders>
                  <w:noWrap w:val="0"/>
                  <w:vAlign w:val="top"/>
                </w:tcPr>
                <w:p w14:paraId="6F23629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000000"/>
                      <w:kern w:val="0"/>
                      <w:sz w:val="21"/>
                      <w:szCs w:val="21"/>
                      <w:highlight w:val="none"/>
                      <w:lang w:val="en-US" w:eastAsia="en-US" w:bidi="ar-SA"/>
                    </w:rPr>
                  </w:pPr>
                  <w:r>
                    <w:rPr>
                      <w:rFonts w:hint="default" w:ascii="Times New Roman" w:hAnsi="Times New Roman" w:eastAsia="宋体" w:cs="Times New Roman"/>
                      <w:color w:val="000000"/>
                      <w:highlight w:val="none"/>
                    </w:rPr>
                    <w:drawing>
                      <wp:anchor distT="0" distB="0" distL="114300" distR="114300" simplePos="0" relativeHeight="251673600" behindDoc="0" locked="0" layoutInCell="1" allowOverlap="1">
                        <wp:simplePos x="0" y="0"/>
                        <wp:positionH relativeFrom="column">
                          <wp:posOffset>81280</wp:posOffset>
                        </wp:positionH>
                        <wp:positionV relativeFrom="paragraph">
                          <wp:posOffset>104775</wp:posOffset>
                        </wp:positionV>
                        <wp:extent cx="1048385" cy="917575"/>
                        <wp:effectExtent l="0" t="0" r="3175" b="12065"/>
                        <wp:wrapTopAndBottom/>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21"/>
                                <a:stretch>
                                  <a:fillRect/>
                                </a:stretch>
                              </pic:blipFill>
                              <pic:spPr>
                                <a:xfrm>
                                  <a:off x="0" y="0"/>
                                  <a:ext cx="1048385" cy="917575"/>
                                </a:xfrm>
                                <a:prstGeom prst="rect">
                                  <a:avLst/>
                                </a:prstGeom>
                                <a:noFill/>
                                <a:ln>
                                  <a:noFill/>
                                </a:ln>
                              </pic:spPr>
                            </pic:pic>
                          </a:graphicData>
                        </a:graphic>
                      </wp:anchor>
                    </w:drawing>
                  </w:r>
                </w:p>
              </w:tc>
              <w:tc>
                <w:tcPr>
                  <w:tcW w:w="1125" w:type="pct"/>
                  <w:tcBorders>
                    <w:tl2br w:val="nil"/>
                    <w:tr2bl w:val="nil"/>
                  </w:tcBorders>
                  <w:noWrap w:val="0"/>
                  <w:vAlign w:val="center"/>
                </w:tcPr>
                <w:p w14:paraId="4FB49FB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000000"/>
                      <w:kern w:val="0"/>
                      <w:sz w:val="21"/>
                      <w:szCs w:val="21"/>
                      <w:highlight w:val="none"/>
                      <w:lang w:val="en-US" w:eastAsia="en-US" w:bidi="ar-SA"/>
                    </w:rPr>
                  </w:pPr>
                  <w:r>
                    <w:rPr>
                      <w:rFonts w:hint="default" w:ascii="Times New Roman" w:hAnsi="Times New Roman" w:eastAsia="宋体" w:cs="Times New Roman"/>
                      <w:color w:val="000000"/>
                      <w:kern w:val="0"/>
                      <w:sz w:val="21"/>
                      <w:szCs w:val="21"/>
                      <w:highlight w:val="none"/>
                      <w:lang w:val="en-US" w:eastAsia="en-US" w:bidi="ar-SA"/>
                    </w:rPr>
                    <w:t>危险废物</w:t>
                  </w:r>
                </w:p>
              </w:tc>
              <w:tc>
                <w:tcPr>
                  <w:tcW w:w="1127" w:type="pct"/>
                  <w:tcBorders>
                    <w:tl2br w:val="nil"/>
                    <w:tr2bl w:val="nil"/>
                  </w:tcBorders>
                  <w:noWrap w:val="0"/>
                  <w:vAlign w:val="center"/>
                </w:tcPr>
                <w:p w14:paraId="429DD76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000000"/>
                      <w:kern w:val="0"/>
                      <w:sz w:val="21"/>
                      <w:szCs w:val="21"/>
                      <w:highlight w:val="none"/>
                      <w:lang w:val="en-US" w:eastAsia="en-US" w:bidi="ar-SA"/>
                    </w:rPr>
                  </w:pPr>
                  <w:r>
                    <w:rPr>
                      <w:rFonts w:hint="default" w:ascii="Times New Roman" w:hAnsi="Times New Roman" w:eastAsia="宋体" w:cs="Times New Roman"/>
                      <w:color w:val="000000"/>
                      <w:kern w:val="0"/>
                      <w:sz w:val="21"/>
                      <w:szCs w:val="21"/>
                      <w:highlight w:val="none"/>
                      <w:lang w:val="en-US" w:eastAsia="en-US" w:bidi="ar-SA"/>
                    </w:rPr>
                    <w:t>表示危险固体废物贮存、处置场</w:t>
                  </w:r>
                </w:p>
              </w:tc>
            </w:tr>
          </w:tbl>
          <w:p w14:paraId="55D6CD20">
            <w:pPr>
              <w:pStyle w:val="4"/>
              <w:rPr>
                <w:sz w:val="24"/>
                <w:szCs w:val="24"/>
              </w:rPr>
            </w:pPr>
            <w:r>
              <w:rPr>
                <w:rFonts w:hint="eastAsia"/>
                <w:sz w:val="24"/>
                <w:szCs w:val="24"/>
              </w:rPr>
              <w:t>4、</w:t>
            </w:r>
            <w:r>
              <w:rPr>
                <w:sz w:val="24"/>
                <w:szCs w:val="24"/>
              </w:rPr>
              <w:t>验收监测内容</w:t>
            </w:r>
          </w:p>
          <w:p w14:paraId="1CCBC80F">
            <w:pPr>
              <w:pStyle w:val="5"/>
              <w:ind w:firstLine="422"/>
              <w:rPr>
                <w:sz w:val="24"/>
                <w:szCs w:val="24"/>
              </w:rPr>
            </w:pPr>
            <w:r>
              <w:rPr>
                <w:rFonts w:hint="eastAsia"/>
                <w:sz w:val="24"/>
                <w:szCs w:val="24"/>
              </w:rPr>
              <w:t>4.1</w:t>
            </w:r>
            <w:r>
              <w:rPr>
                <w:sz w:val="24"/>
                <w:szCs w:val="24"/>
              </w:rPr>
              <w:t>验收标准与范围</w:t>
            </w:r>
          </w:p>
          <w:p w14:paraId="3EC433F5">
            <w:pPr>
              <w:spacing w:line="360" w:lineRule="auto"/>
              <w:ind w:firstLine="480" w:firstLineChars="200"/>
              <w:rPr>
                <w:sz w:val="24"/>
                <w:szCs w:val="24"/>
              </w:rPr>
            </w:pPr>
            <w:r>
              <w:rPr>
                <w:sz w:val="24"/>
                <w:szCs w:val="24"/>
              </w:rPr>
              <w:t>①</w:t>
            </w:r>
            <w:r>
              <w:rPr>
                <w:rFonts w:hint="eastAsia"/>
                <w:sz w:val="24"/>
                <w:szCs w:val="24"/>
              </w:rPr>
              <w:t>国环规环评</w:t>
            </w:r>
            <w:r>
              <w:rPr>
                <w:sz w:val="24"/>
                <w:szCs w:val="24"/>
              </w:rPr>
              <w:t>[2017]4</w:t>
            </w:r>
            <w:r>
              <w:rPr>
                <w:rFonts w:hint="eastAsia"/>
                <w:sz w:val="24"/>
                <w:szCs w:val="24"/>
              </w:rPr>
              <w:t>号关于发布《建设项目竣工环境保护验收暂行办法》的公告中相关要求执行；</w:t>
            </w:r>
          </w:p>
          <w:p w14:paraId="56F490AA">
            <w:pPr>
              <w:spacing w:line="360" w:lineRule="auto"/>
              <w:ind w:firstLine="480" w:firstLineChars="200"/>
              <w:rPr>
                <w:sz w:val="24"/>
                <w:szCs w:val="24"/>
              </w:rPr>
            </w:pPr>
            <w:r>
              <w:rPr>
                <w:sz w:val="24"/>
                <w:szCs w:val="24"/>
              </w:rPr>
              <w:t>②</w:t>
            </w:r>
            <w:r>
              <w:rPr>
                <w:rFonts w:hint="eastAsia"/>
                <w:sz w:val="24"/>
                <w:szCs w:val="24"/>
              </w:rPr>
              <w:t>与工程有关的环保设施，包括污染防治和保护环境所建成或配套建成的工程；</w:t>
            </w:r>
          </w:p>
          <w:p w14:paraId="1800AAA9">
            <w:pPr>
              <w:spacing w:line="360" w:lineRule="auto"/>
              <w:ind w:firstLine="480" w:firstLineChars="200"/>
              <w:rPr>
                <w:sz w:val="24"/>
                <w:szCs w:val="24"/>
              </w:rPr>
            </w:pPr>
            <w:r>
              <w:rPr>
                <w:sz w:val="24"/>
                <w:szCs w:val="24"/>
              </w:rPr>
              <w:t>③</w:t>
            </w:r>
            <w:r>
              <w:rPr>
                <w:rFonts w:hint="eastAsia"/>
                <w:sz w:val="24"/>
                <w:szCs w:val="24"/>
              </w:rPr>
              <w:t>本报告表及其批复文件和有关设计文件规定应采取的其他各项环保措施。</w:t>
            </w:r>
          </w:p>
          <w:p w14:paraId="080B244C">
            <w:pPr>
              <w:pStyle w:val="5"/>
              <w:ind w:firstLine="420"/>
              <w:jc w:val="left"/>
              <w:rPr>
                <w:b w:val="0"/>
                <w:sz w:val="24"/>
                <w:szCs w:val="24"/>
              </w:rPr>
            </w:pPr>
            <w:r>
              <w:rPr>
                <w:rFonts w:hint="eastAsia"/>
                <w:b w:val="0"/>
                <w:sz w:val="24"/>
                <w:szCs w:val="24"/>
              </w:rPr>
              <w:t>4.2</w:t>
            </w:r>
            <w:r>
              <w:rPr>
                <w:b w:val="0"/>
                <w:sz w:val="24"/>
                <w:szCs w:val="24"/>
              </w:rPr>
              <w:t>环保"三同时"验收</w:t>
            </w:r>
          </w:p>
          <w:p w14:paraId="51B47C56">
            <w:pPr>
              <w:topLinePunct/>
              <w:spacing w:line="360" w:lineRule="auto"/>
              <w:ind w:firstLine="480" w:firstLineChars="200"/>
              <w:rPr>
                <w:snapToGrid w:val="0"/>
                <w:kern w:val="0"/>
                <w:sz w:val="24"/>
                <w:szCs w:val="24"/>
              </w:rPr>
            </w:pPr>
            <w:r>
              <w:rPr>
                <w:snapToGrid w:val="0"/>
                <w:kern w:val="0"/>
                <w:sz w:val="24"/>
                <w:szCs w:val="24"/>
              </w:rPr>
              <w:t>根据国环规环评[2017]4号关于发布《建设项目竣工环境保护验收暂行办法》的公告中相关要求，新修改的《中华人民共和国水污染防治法》已于2018年1月1日生效实施、《中华人民共和国环境噪声污染防治法》已于2018年12月29日生效实施，《中华人民共和国固体废物污染环境防治法》</w:t>
            </w:r>
            <w:r>
              <w:rPr>
                <w:rFonts w:hint="eastAsia"/>
                <w:snapToGrid w:val="0"/>
                <w:kern w:val="0"/>
                <w:sz w:val="24"/>
                <w:szCs w:val="24"/>
              </w:rPr>
              <w:t>已于2020年9月1日生效实施。</w:t>
            </w:r>
          </w:p>
          <w:p w14:paraId="404137C2">
            <w:pPr>
              <w:topLinePunct/>
              <w:spacing w:line="360" w:lineRule="auto"/>
              <w:ind w:firstLine="480" w:firstLineChars="200"/>
              <w:rPr>
                <w:b/>
                <w:bCs/>
                <w:sz w:val="24"/>
                <w:szCs w:val="24"/>
              </w:rPr>
            </w:pPr>
            <w:r>
              <w:rPr>
                <w:snapToGrid w:val="0"/>
                <w:kern w:val="0"/>
                <w:sz w:val="24"/>
                <w:szCs w:val="24"/>
              </w:rPr>
              <w:t>建设单位应严格按照《建设项目环境保护管理条例》（国务院令第682号）和国务院环境保护行政主管部门规定的标准和程序，对废水处理设施、噪声污染防治设施、配套大气保护设施委托第三方机构进行自主验收。经验收合格，本项目方可投入使用。本项目环保验收内容见</w:t>
            </w:r>
            <w:r>
              <w:rPr>
                <w:rFonts w:hint="eastAsia"/>
                <w:snapToGrid w:val="0"/>
                <w:kern w:val="0"/>
                <w:sz w:val="24"/>
                <w:szCs w:val="24"/>
              </w:rPr>
              <w:t>下表</w:t>
            </w:r>
            <w:r>
              <w:rPr>
                <w:snapToGrid w:val="0"/>
                <w:kern w:val="0"/>
                <w:sz w:val="24"/>
                <w:szCs w:val="24"/>
              </w:rPr>
              <w:t>。</w:t>
            </w:r>
          </w:p>
          <w:p w14:paraId="464C9572">
            <w:pPr>
              <w:keepNext w:val="0"/>
              <w:keepLines w:val="0"/>
              <w:pageBreakBefore w:val="0"/>
              <w:widowControl w:val="0"/>
              <w:kinsoku/>
              <w:wordWrap/>
              <w:overflowPunct/>
              <w:topLinePunct/>
              <w:autoSpaceDE/>
              <w:autoSpaceDN/>
              <w:bidi w:val="0"/>
              <w:adjustRightInd/>
              <w:snapToGrid/>
              <w:ind w:firstLine="0" w:firstLineChars="0"/>
              <w:jc w:val="center"/>
              <w:textAlignment w:val="baseline"/>
              <w:rPr>
                <w:b/>
                <w:bCs/>
              </w:rPr>
            </w:pPr>
            <w:r>
              <w:rPr>
                <w:b/>
                <w:bCs/>
              </w:rPr>
              <w:t>表</w:t>
            </w:r>
            <w:r>
              <w:rPr>
                <w:rFonts w:hint="eastAsia"/>
                <w:b/>
                <w:bCs/>
              </w:rPr>
              <w:t>5-</w:t>
            </w:r>
            <w:r>
              <w:rPr>
                <w:rFonts w:hint="eastAsia"/>
                <w:b/>
                <w:bCs/>
                <w:lang w:val="en-US" w:eastAsia="zh-CN"/>
              </w:rPr>
              <w:t>2</w:t>
            </w:r>
            <w:r>
              <w:rPr>
                <w:b/>
                <w:bCs/>
              </w:rPr>
              <w:t xml:space="preserve"> 环保验收一览表</w:t>
            </w:r>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420"/>
              <w:gridCol w:w="1618"/>
              <w:gridCol w:w="2360"/>
              <w:gridCol w:w="3074"/>
              <w:gridCol w:w="477"/>
            </w:tblGrid>
            <w:tr w14:paraId="7D271B77">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264" w:type="pct"/>
                  <w:tcBorders>
                    <w:tl2br w:val="nil"/>
                    <w:tr2bl w:val="nil"/>
                  </w:tcBorders>
                  <w:noWrap/>
                  <w:vAlign w:val="center"/>
                </w:tcPr>
                <w:p w14:paraId="6311D2B1">
                  <w:pPr>
                    <w:jc w:val="center"/>
                    <w:rPr>
                      <w:b/>
                      <w:bCs/>
                    </w:rPr>
                  </w:pPr>
                  <w:r>
                    <w:rPr>
                      <w:b/>
                      <w:bCs/>
                    </w:rPr>
                    <w:t>污染</w:t>
                  </w:r>
                </w:p>
                <w:p w14:paraId="30BD7E5E">
                  <w:pPr>
                    <w:jc w:val="center"/>
                    <w:rPr>
                      <w:b/>
                      <w:bCs/>
                    </w:rPr>
                  </w:pPr>
                  <w:r>
                    <w:rPr>
                      <w:b/>
                      <w:bCs/>
                    </w:rPr>
                    <w:t>类别</w:t>
                  </w:r>
                </w:p>
              </w:tc>
              <w:tc>
                <w:tcPr>
                  <w:tcW w:w="1017" w:type="pct"/>
                  <w:tcBorders>
                    <w:tl2br w:val="nil"/>
                    <w:tr2bl w:val="nil"/>
                  </w:tcBorders>
                  <w:noWrap/>
                  <w:vAlign w:val="center"/>
                </w:tcPr>
                <w:p w14:paraId="12CAE347">
                  <w:pPr>
                    <w:jc w:val="center"/>
                    <w:rPr>
                      <w:b/>
                      <w:bCs/>
                    </w:rPr>
                  </w:pPr>
                  <w:r>
                    <w:rPr>
                      <w:b/>
                      <w:bCs/>
                    </w:rPr>
                    <w:t>污染物</w:t>
                  </w:r>
                </w:p>
              </w:tc>
              <w:tc>
                <w:tcPr>
                  <w:tcW w:w="1484" w:type="pct"/>
                  <w:tcBorders>
                    <w:tl2br w:val="nil"/>
                    <w:tr2bl w:val="nil"/>
                  </w:tcBorders>
                  <w:noWrap/>
                  <w:vAlign w:val="center"/>
                </w:tcPr>
                <w:p w14:paraId="18ED59C1">
                  <w:pPr>
                    <w:jc w:val="center"/>
                    <w:rPr>
                      <w:b/>
                      <w:bCs/>
                    </w:rPr>
                  </w:pPr>
                  <w:r>
                    <w:rPr>
                      <w:b/>
                      <w:bCs/>
                    </w:rPr>
                    <w:t>环保设备名称</w:t>
                  </w:r>
                </w:p>
              </w:tc>
              <w:tc>
                <w:tcPr>
                  <w:tcW w:w="1933" w:type="pct"/>
                  <w:tcBorders>
                    <w:tl2br w:val="nil"/>
                    <w:tr2bl w:val="nil"/>
                  </w:tcBorders>
                  <w:noWrap/>
                  <w:vAlign w:val="center"/>
                </w:tcPr>
                <w:p w14:paraId="6CA52385">
                  <w:pPr>
                    <w:jc w:val="center"/>
                    <w:rPr>
                      <w:b/>
                      <w:bCs/>
                    </w:rPr>
                  </w:pPr>
                  <w:r>
                    <w:rPr>
                      <w:b/>
                      <w:bCs/>
                    </w:rPr>
                    <w:t>验收标准</w:t>
                  </w:r>
                </w:p>
              </w:tc>
              <w:tc>
                <w:tcPr>
                  <w:tcW w:w="300" w:type="pct"/>
                  <w:tcBorders>
                    <w:tl2br w:val="nil"/>
                    <w:tr2bl w:val="nil"/>
                  </w:tcBorders>
                  <w:noWrap/>
                  <w:vAlign w:val="center"/>
                </w:tcPr>
                <w:p w14:paraId="6DB3DFAE">
                  <w:pPr>
                    <w:jc w:val="center"/>
                    <w:rPr>
                      <w:b/>
                      <w:bCs/>
                    </w:rPr>
                  </w:pPr>
                  <w:r>
                    <w:rPr>
                      <w:b/>
                      <w:bCs/>
                    </w:rPr>
                    <w:t>实施阶段</w:t>
                  </w:r>
                </w:p>
              </w:tc>
            </w:tr>
            <w:tr w14:paraId="128F4218">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91" w:hRule="atLeast"/>
                <w:jc w:val="center"/>
              </w:trPr>
              <w:tc>
                <w:tcPr>
                  <w:tcW w:w="264" w:type="pct"/>
                  <w:vMerge w:val="restart"/>
                  <w:tcBorders>
                    <w:tl2br w:val="nil"/>
                    <w:tr2bl w:val="nil"/>
                  </w:tcBorders>
                  <w:noWrap/>
                  <w:vAlign w:val="center"/>
                </w:tcPr>
                <w:p w14:paraId="5C0F3FF0">
                  <w:pPr>
                    <w:jc w:val="center"/>
                  </w:pPr>
                  <w:r>
                    <w:t>废气</w:t>
                  </w:r>
                </w:p>
              </w:tc>
              <w:tc>
                <w:tcPr>
                  <w:tcW w:w="1017" w:type="pct"/>
                  <w:vMerge w:val="restart"/>
                  <w:tcBorders>
                    <w:tl2br w:val="nil"/>
                    <w:tr2bl w:val="nil"/>
                  </w:tcBorders>
                  <w:noWrap/>
                  <w:vAlign w:val="center"/>
                </w:tcPr>
                <w:p w14:paraId="5E8FB91A">
                  <w:pPr>
                    <w:jc w:val="center"/>
                  </w:pPr>
                  <w:r>
                    <w:rPr>
                      <w:rFonts w:hint="eastAsia"/>
                    </w:rPr>
                    <w:t>有组织粉尘</w:t>
                  </w:r>
                </w:p>
              </w:tc>
              <w:tc>
                <w:tcPr>
                  <w:tcW w:w="1484" w:type="pct"/>
                  <w:tcBorders>
                    <w:tl2br w:val="nil"/>
                    <w:tr2bl w:val="nil"/>
                  </w:tcBorders>
                  <w:noWrap/>
                  <w:vAlign w:val="center"/>
                </w:tcPr>
                <w:p w14:paraId="7BED3BF6">
                  <w:pPr>
                    <w:jc w:val="center"/>
                  </w:pPr>
                  <w:r>
                    <w:rPr>
                      <w:rFonts w:hint="eastAsia"/>
                      <w:sz w:val="21"/>
                      <w:szCs w:val="21"/>
                      <w:lang w:val="en-US" w:eastAsia="zh-CN"/>
                    </w:rPr>
                    <w:t>底板清理粉尘</w:t>
                  </w:r>
                  <w:r>
                    <w:rPr>
                      <w:rFonts w:hint="eastAsia"/>
                    </w:rPr>
                    <w:t>集中收集使用袋式除尘器</w:t>
                  </w:r>
                  <w:r>
                    <w:rPr>
                      <w:rFonts w:hint="eastAsia"/>
                      <w:lang w:val="en-US" w:eastAsia="zh-CN"/>
                    </w:rPr>
                    <w:t>+</w:t>
                  </w:r>
                  <w:r>
                    <w:rPr>
                      <w:rFonts w:hint="eastAsia"/>
                    </w:rPr>
                    <w:t>15m高排气筒排放</w:t>
                  </w:r>
                </w:p>
              </w:tc>
              <w:tc>
                <w:tcPr>
                  <w:tcW w:w="1933" w:type="pct"/>
                  <w:vMerge w:val="restart"/>
                  <w:tcBorders>
                    <w:tl2br w:val="nil"/>
                    <w:tr2bl w:val="nil"/>
                  </w:tcBorders>
                  <w:noWrap/>
                  <w:vAlign w:val="center"/>
                </w:tcPr>
                <w:p w14:paraId="3BC3A976">
                  <w:pPr>
                    <w:bidi w:val="0"/>
                    <w:ind w:left="0" w:leftChars="0" w:firstLine="0" w:firstLineChars="0"/>
                  </w:pPr>
                  <w:r>
                    <w:rPr>
                      <w:color w:val="auto"/>
                      <w:sz w:val="21"/>
                      <w:szCs w:val="21"/>
                    </w:rPr>
                    <w:t>《</w:t>
                  </w:r>
                  <w:r>
                    <w:rPr>
                      <w:rFonts w:hint="eastAsia"/>
                      <w:color w:val="auto"/>
                      <w:sz w:val="21"/>
                      <w:szCs w:val="21"/>
                    </w:rPr>
                    <w:t>水泥工业</w:t>
                  </w:r>
                  <w:r>
                    <w:rPr>
                      <w:rFonts w:hint="eastAsia"/>
                      <w:color w:val="auto"/>
                      <w:sz w:val="21"/>
                      <w:szCs w:val="21"/>
                      <w:lang w:val="en-US" w:eastAsia="zh-CN"/>
                    </w:rPr>
                    <w:t>大气</w:t>
                  </w:r>
                  <w:r>
                    <w:rPr>
                      <w:color w:val="auto"/>
                      <w:sz w:val="21"/>
                      <w:szCs w:val="21"/>
                    </w:rPr>
                    <w:t>污染物排放标准》</w:t>
                  </w:r>
                  <w:r>
                    <w:rPr>
                      <w:rFonts w:ascii="Times New Roman" w:hAnsi="Times New Roman" w:eastAsia="宋体" w:cs="Times New Roman"/>
                      <w:color w:val="auto"/>
                      <w:kern w:val="0"/>
                      <w:sz w:val="21"/>
                      <w:szCs w:val="21"/>
                    </w:rPr>
                    <w:t>（</w:t>
                  </w:r>
                  <w:r>
                    <w:rPr>
                      <w:rFonts w:hint="eastAsia"/>
                      <w:color w:val="auto"/>
                      <w:sz w:val="21"/>
                      <w:szCs w:val="21"/>
                    </w:rPr>
                    <w:t>GB4915</w:t>
                  </w:r>
                  <w:r>
                    <w:rPr>
                      <w:color w:val="auto"/>
                      <w:sz w:val="21"/>
                      <w:szCs w:val="21"/>
                    </w:rPr>
                    <w:t>-2013</w:t>
                  </w:r>
                  <w:r>
                    <w:rPr>
                      <w:rFonts w:ascii="Times New Roman" w:hAnsi="Times New Roman" w:eastAsia="宋体" w:cs="Times New Roman"/>
                      <w:color w:val="auto"/>
                      <w:kern w:val="0"/>
                      <w:sz w:val="21"/>
                      <w:szCs w:val="21"/>
                    </w:rPr>
                    <w:t>）</w:t>
                  </w:r>
                  <w:r>
                    <w:rPr>
                      <w:rFonts w:hint="eastAsia" w:cs="Times New Roman"/>
                      <w:color w:val="auto"/>
                      <w:kern w:val="0"/>
                      <w:sz w:val="21"/>
                      <w:szCs w:val="21"/>
                      <w:lang w:val="en-US" w:eastAsia="zh-CN"/>
                    </w:rPr>
                    <w:t>表1</w:t>
                  </w:r>
                </w:p>
              </w:tc>
              <w:tc>
                <w:tcPr>
                  <w:tcW w:w="300" w:type="pct"/>
                  <w:vMerge w:val="restart"/>
                  <w:tcBorders>
                    <w:tl2br w:val="nil"/>
                    <w:tr2bl w:val="nil"/>
                  </w:tcBorders>
                  <w:noWrap/>
                  <w:vAlign w:val="center"/>
                </w:tcPr>
                <w:p w14:paraId="4CAB4F14">
                  <w:pPr>
                    <w:jc w:val="center"/>
                  </w:pPr>
                  <w:r>
                    <w:t>环评批复后</w:t>
                  </w:r>
                </w:p>
              </w:tc>
            </w:tr>
            <w:tr w14:paraId="73811C17">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91" w:hRule="atLeast"/>
                <w:jc w:val="center"/>
              </w:trPr>
              <w:tc>
                <w:tcPr>
                  <w:tcW w:w="264" w:type="pct"/>
                  <w:vMerge w:val="continue"/>
                  <w:tcBorders>
                    <w:tl2br w:val="nil"/>
                    <w:tr2bl w:val="nil"/>
                  </w:tcBorders>
                  <w:noWrap/>
                  <w:vAlign w:val="center"/>
                </w:tcPr>
                <w:p w14:paraId="3EED67BF">
                  <w:pPr>
                    <w:jc w:val="center"/>
                  </w:pPr>
                </w:p>
              </w:tc>
              <w:tc>
                <w:tcPr>
                  <w:tcW w:w="1017" w:type="pct"/>
                  <w:vMerge w:val="continue"/>
                  <w:tcBorders>
                    <w:tl2br w:val="nil"/>
                    <w:tr2bl w:val="nil"/>
                  </w:tcBorders>
                  <w:noWrap/>
                  <w:vAlign w:val="center"/>
                </w:tcPr>
                <w:p w14:paraId="03A6CF15">
                  <w:pPr>
                    <w:jc w:val="center"/>
                  </w:pPr>
                </w:p>
              </w:tc>
              <w:tc>
                <w:tcPr>
                  <w:tcW w:w="1484" w:type="pct"/>
                  <w:tcBorders>
                    <w:tl2br w:val="nil"/>
                    <w:tr2bl w:val="nil"/>
                  </w:tcBorders>
                  <w:noWrap/>
                  <w:vAlign w:val="center"/>
                </w:tcPr>
                <w:p w14:paraId="1129B69A">
                  <w:pPr>
                    <w:jc w:val="center"/>
                    <w:rPr>
                      <w:rFonts w:hint="default" w:eastAsia="宋体"/>
                      <w:lang w:val="en-US" w:eastAsia="zh-CN"/>
                    </w:rPr>
                  </w:pPr>
                  <w:r>
                    <w:rPr>
                      <w:rFonts w:hint="eastAsia"/>
                      <w:lang w:val="en-US" w:eastAsia="zh-CN"/>
                    </w:rPr>
                    <w:t>粉煤灰、石灰、水泥使用自带除尘器筒仓储存</w:t>
                  </w:r>
                </w:p>
              </w:tc>
              <w:tc>
                <w:tcPr>
                  <w:tcW w:w="1933" w:type="pct"/>
                  <w:vMerge w:val="continue"/>
                  <w:tcBorders>
                    <w:tl2br w:val="nil"/>
                    <w:tr2bl w:val="nil"/>
                  </w:tcBorders>
                  <w:noWrap/>
                  <w:vAlign w:val="center"/>
                </w:tcPr>
                <w:p w14:paraId="468E9861">
                  <w:pPr>
                    <w:jc w:val="center"/>
                    <w:rPr>
                      <w:rFonts w:hint="eastAsia"/>
                    </w:rPr>
                  </w:pPr>
                </w:p>
              </w:tc>
              <w:tc>
                <w:tcPr>
                  <w:tcW w:w="300" w:type="pct"/>
                  <w:vMerge w:val="continue"/>
                  <w:tcBorders>
                    <w:tl2br w:val="nil"/>
                    <w:tr2bl w:val="nil"/>
                  </w:tcBorders>
                  <w:noWrap/>
                  <w:vAlign w:val="center"/>
                </w:tcPr>
                <w:p w14:paraId="2B6911B1">
                  <w:pPr>
                    <w:jc w:val="center"/>
                    <w:rPr>
                      <w:rFonts w:hint="eastAsia"/>
                    </w:rPr>
                  </w:pPr>
                </w:p>
              </w:tc>
            </w:tr>
            <w:tr w14:paraId="6FB42178">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91" w:hRule="atLeast"/>
                <w:jc w:val="center"/>
              </w:trPr>
              <w:tc>
                <w:tcPr>
                  <w:tcW w:w="264" w:type="pct"/>
                  <w:vMerge w:val="continue"/>
                  <w:tcBorders>
                    <w:tl2br w:val="nil"/>
                    <w:tr2bl w:val="nil"/>
                  </w:tcBorders>
                  <w:noWrap/>
                  <w:vAlign w:val="center"/>
                </w:tcPr>
                <w:p w14:paraId="0AAB55FD">
                  <w:pPr>
                    <w:jc w:val="center"/>
                    <w:rPr>
                      <w:rFonts w:hint="eastAsia"/>
                    </w:rPr>
                  </w:pPr>
                </w:p>
              </w:tc>
              <w:tc>
                <w:tcPr>
                  <w:tcW w:w="1017" w:type="pct"/>
                  <w:tcBorders>
                    <w:tl2br w:val="nil"/>
                    <w:tr2bl w:val="nil"/>
                  </w:tcBorders>
                  <w:noWrap/>
                  <w:vAlign w:val="center"/>
                </w:tcPr>
                <w:p w14:paraId="44A83CD3">
                  <w:pPr>
                    <w:jc w:val="center"/>
                    <w:rPr>
                      <w:rFonts w:hint="eastAsia" w:eastAsia="宋体"/>
                      <w:lang w:val="en-US" w:eastAsia="zh-CN"/>
                    </w:rPr>
                  </w:pPr>
                  <w:r>
                    <w:rPr>
                      <w:rFonts w:hint="eastAsia"/>
                    </w:rPr>
                    <w:t>有组织</w:t>
                  </w:r>
                  <w:r>
                    <w:rPr>
                      <w:rFonts w:hint="eastAsia"/>
                      <w:lang w:val="en-US" w:eastAsia="zh-CN"/>
                    </w:rPr>
                    <w:t>有机废气</w:t>
                  </w:r>
                </w:p>
              </w:tc>
              <w:tc>
                <w:tcPr>
                  <w:tcW w:w="1484" w:type="pct"/>
                  <w:tcBorders>
                    <w:tl2br w:val="nil"/>
                    <w:tr2bl w:val="nil"/>
                  </w:tcBorders>
                  <w:noWrap/>
                  <w:vAlign w:val="center"/>
                </w:tcPr>
                <w:p w14:paraId="2B8EB321">
                  <w:pPr>
                    <w:jc w:val="center"/>
                    <w:rPr>
                      <w:rFonts w:hint="default" w:eastAsia="宋体"/>
                      <w:lang w:val="en-US" w:eastAsia="zh-CN"/>
                    </w:rPr>
                  </w:pPr>
                  <w:r>
                    <w:rPr>
                      <w:rFonts w:ascii="Times New Roman" w:hAnsi="Times New Roman" w:eastAsia="宋体" w:cs="Times New Roman"/>
                      <w:color w:val="auto"/>
                      <w:szCs w:val="21"/>
                      <w:lang w:val="zh-CN" w:bidi="zh-CN"/>
                    </w:rPr>
                    <w:t>集气罩</w:t>
                  </w:r>
                  <w:r>
                    <w:rPr>
                      <w:rFonts w:hint="eastAsia" w:ascii="Times New Roman" w:hAnsi="Times New Roman" w:eastAsia="宋体" w:cs="Times New Roman"/>
                      <w:color w:val="auto"/>
                      <w:szCs w:val="21"/>
                      <w:lang w:bidi="zh-CN"/>
                    </w:rPr>
                    <w:t>+</w:t>
                  </w:r>
                  <w:r>
                    <w:rPr>
                      <w:rFonts w:hint="eastAsia" w:ascii="Times New Roman" w:hAnsi="Times New Roman" w:eastAsia="宋体" w:cs="Times New Roman"/>
                      <w:color w:val="auto"/>
                      <w:szCs w:val="21"/>
                      <w:lang w:val="en-US" w:bidi="zh-CN"/>
                    </w:rPr>
                    <w:t>二级活性炭处理</w:t>
                  </w:r>
                  <w:r>
                    <w:rPr>
                      <w:rFonts w:hint="eastAsia" w:ascii="Times New Roman" w:hAnsi="Times New Roman" w:eastAsia="宋体" w:cs="Times New Roman"/>
                      <w:color w:val="auto"/>
                      <w:szCs w:val="21"/>
                      <w:lang w:bidi="zh-CN"/>
                    </w:rPr>
                    <w:t>装置+15米</w:t>
                  </w:r>
                  <w:r>
                    <w:rPr>
                      <w:rFonts w:ascii="Times New Roman" w:hAnsi="Times New Roman" w:eastAsia="宋体" w:cs="Times New Roman"/>
                      <w:color w:val="auto"/>
                      <w:szCs w:val="21"/>
                      <w:lang w:val="zh-CN" w:bidi="zh-CN"/>
                    </w:rPr>
                    <w:t>排气筒</w:t>
                  </w:r>
                </w:p>
              </w:tc>
              <w:tc>
                <w:tcPr>
                  <w:tcW w:w="1933" w:type="pct"/>
                  <w:tcBorders>
                    <w:tl2br w:val="nil"/>
                    <w:tr2bl w:val="nil"/>
                  </w:tcBorders>
                  <w:noWrap/>
                  <w:vAlign w:val="center"/>
                </w:tcPr>
                <w:p w14:paraId="69E4FEAE">
                  <w:pPr>
                    <w:bidi w:val="0"/>
                    <w:ind w:left="0" w:leftChars="0" w:firstLine="0" w:firstLineChars="0"/>
                    <w:rPr>
                      <w:rFonts w:hint="eastAsia"/>
                    </w:rPr>
                  </w:pPr>
                  <w:r>
                    <w:rPr>
                      <w:rFonts w:hint="default" w:ascii="Times New Roman" w:hAnsi="Times New Roman" w:eastAsia="宋体" w:cs="Times New Roman"/>
                      <w:color w:val="auto"/>
                      <w:spacing w:val="0"/>
                      <w:kern w:val="0"/>
                      <w:position w:val="0"/>
                      <w:sz w:val="21"/>
                      <w:szCs w:val="21"/>
                      <w:highlight w:val="none"/>
                      <w:lang w:val="en-US" w:eastAsia="zh-CN"/>
                    </w:rPr>
                    <w:t>《合成树脂工业污染物排放标准》</w:t>
                  </w:r>
                  <w:r>
                    <w:rPr>
                      <w:rFonts w:hint="eastAsia" w:ascii="Times New Roman" w:hAnsi="Times New Roman" w:eastAsia="宋体" w:cs="Times New Roman"/>
                      <w:color w:val="auto"/>
                      <w:spacing w:val="0"/>
                      <w:kern w:val="0"/>
                      <w:position w:val="0"/>
                      <w:sz w:val="21"/>
                      <w:szCs w:val="21"/>
                      <w:highlight w:val="none"/>
                      <w:lang w:val="en-US" w:eastAsia="zh-CN"/>
                    </w:rPr>
                    <w:t>（含2024年修改单）</w:t>
                  </w:r>
                  <w:r>
                    <w:rPr>
                      <w:rFonts w:hint="default" w:ascii="Times New Roman" w:hAnsi="Times New Roman" w:eastAsia="宋体" w:cs="Times New Roman"/>
                      <w:color w:val="auto"/>
                      <w:spacing w:val="0"/>
                      <w:kern w:val="0"/>
                      <w:position w:val="0"/>
                      <w:sz w:val="21"/>
                      <w:szCs w:val="21"/>
                      <w:highlight w:val="none"/>
                      <w:lang w:val="en-US" w:eastAsia="zh-CN"/>
                    </w:rPr>
                    <w:t>（GB31572-2015）中表</w:t>
                  </w:r>
                  <w:r>
                    <w:rPr>
                      <w:rFonts w:hint="eastAsia" w:cs="Times New Roman"/>
                      <w:color w:val="auto"/>
                      <w:spacing w:val="0"/>
                      <w:kern w:val="0"/>
                      <w:position w:val="0"/>
                      <w:sz w:val="21"/>
                      <w:szCs w:val="21"/>
                      <w:highlight w:val="none"/>
                      <w:lang w:val="en-US" w:eastAsia="zh-CN"/>
                    </w:rPr>
                    <w:t>4</w:t>
                  </w:r>
                  <w:r>
                    <w:rPr>
                      <w:rFonts w:hint="default" w:ascii="Times New Roman" w:hAnsi="Times New Roman" w:eastAsia="宋体" w:cs="Times New Roman"/>
                      <w:color w:val="auto"/>
                      <w:spacing w:val="0"/>
                      <w:kern w:val="0"/>
                      <w:position w:val="0"/>
                      <w:sz w:val="21"/>
                      <w:szCs w:val="21"/>
                      <w:highlight w:val="none"/>
                      <w:lang w:val="en-US" w:eastAsia="zh-CN"/>
                    </w:rPr>
                    <w:t>大气污染物排放限值</w:t>
                  </w:r>
                </w:p>
              </w:tc>
              <w:tc>
                <w:tcPr>
                  <w:tcW w:w="300" w:type="pct"/>
                  <w:vMerge w:val="continue"/>
                  <w:tcBorders>
                    <w:tl2br w:val="nil"/>
                    <w:tr2bl w:val="nil"/>
                  </w:tcBorders>
                  <w:noWrap/>
                  <w:vAlign w:val="center"/>
                </w:tcPr>
                <w:p w14:paraId="0DDA4DCD">
                  <w:pPr>
                    <w:jc w:val="center"/>
                    <w:rPr>
                      <w:rFonts w:hint="eastAsia"/>
                    </w:rPr>
                  </w:pPr>
                </w:p>
              </w:tc>
            </w:tr>
            <w:tr w14:paraId="6372418C">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82" w:hRule="atLeast"/>
                <w:jc w:val="center"/>
              </w:trPr>
              <w:tc>
                <w:tcPr>
                  <w:tcW w:w="264" w:type="pct"/>
                  <w:vMerge w:val="continue"/>
                  <w:tcBorders>
                    <w:tl2br w:val="nil"/>
                    <w:tr2bl w:val="nil"/>
                  </w:tcBorders>
                  <w:noWrap/>
                  <w:vAlign w:val="center"/>
                </w:tcPr>
                <w:p w14:paraId="6F848F2C">
                  <w:pPr>
                    <w:jc w:val="center"/>
                  </w:pPr>
                </w:p>
              </w:tc>
              <w:tc>
                <w:tcPr>
                  <w:tcW w:w="1017" w:type="pct"/>
                  <w:tcBorders>
                    <w:tl2br w:val="nil"/>
                    <w:tr2bl w:val="nil"/>
                  </w:tcBorders>
                  <w:noWrap/>
                  <w:vAlign w:val="center"/>
                </w:tcPr>
                <w:p w14:paraId="25F8EAFB">
                  <w:pPr>
                    <w:jc w:val="center"/>
                    <w:rPr>
                      <w:rFonts w:hint="default" w:eastAsia="宋体"/>
                      <w:lang w:val="en-US" w:eastAsia="zh-CN"/>
                    </w:rPr>
                  </w:pPr>
                  <w:r>
                    <w:rPr>
                      <w:rFonts w:hint="eastAsia"/>
                      <w:lang w:val="en-US" w:eastAsia="zh-CN"/>
                    </w:rPr>
                    <w:t>食堂油烟</w:t>
                  </w:r>
                </w:p>
              </w:tc>
              <w:tc>
                <w:tcPr>
                  <w:tcW w:w="1484" w:type="pct"/>
                  <w:tcBorders>
                    <w:tl2br w:val="nil"/>
                    <w:tr2bl w:val="nil"/>
                  </w:tcBorders>
                  <w:noWrap/>
                  <w:vAlign w:val="center"/>
                </w:tcPr>
                <w:p w14:paraId="684B12AC">
                  <w:pPr>
                    <w:jc w:val="center"/>
                    <w:rPr>
                      <w:rFonts w:hint="eastAsia" w:eastAsia="宋体"/>
                      <w:lang w:val="en-US" w:eastAsia="zh-CN"/>
                    </w:rPr>
                  </w:pPr>
                  <w:r>
                    <w:rPr>
                      <w:rFonts w:hint="eastAsia"/>
                      <w:lang w:val="en-US" w:eastAsia="zh-CN"/>
                    </w:rPr>
                    <w:t>油烟净化器</w:t>
                  </w:r>
                </w:p>
              </w:tc>
              <w:tc>
                <w:tcPr>
                  <w:tcW w:w="1933" w:type="pct"/>
                  <w:tcBorders>
                    <w:tl2br w:val="nil"/>
                    <w:tr2bl w:val="nil"/>
                  </w:tcBorders>
                  <w:noWrap/>
                  <w:vAlign w:val="center"/>
                </w:tcPr>
                <w:p w14:paraId="2BB9C399">
                  <w:pPr>
                    <w:jc w:val="center"/>
                    <w:rPr>
                      <w:color w:val="auto"/>
                      <w:sz w:val="21"/>
                      <w:szCs w:val="21"/>
                    </w:rPr>
                  </w:pPr>
                  <w:r>
                    <w:rPr>
                      <w:rFonts w:hint="eastAsia" w:ascii="Times New Roman" w:hAnsi="Times New Roman" w:eastAsia="宋体" w:cs="Times New Roman"/>
                      <w:b w:val="0"/>
                      <w:bCs w:val="0"/>
                      <w:color w:val="auto"/>
                      <w:sz w:val="21"/>
                      <w:szCs w:val="21"/>
                      <w:lang w:val="en-US" w:eastAsia="zh-CN" w:bidi="ar"/>
                    </w:rPr>
                    <w:t>《饮食业油烟排放标准》（GB18483-2001）中最高允许排放浓度</w:t>
                  </w:r>
                </w:p>
              </w:tc>
              <w:tc>
                <w:tcPr>
                  <w:tcW w:w="300" w:type="pct"/>
                  <w:vMerge w:val="continue"/>
                  <w:tcBorders>
                    <w:tl2br w:val="nil"/>
                    <w:tr2bl w:val="nil"/>
                  </w:tcBorders>
                  <w:noWrap/>
                  <w:vAlign w:val="center"/>
                </w:tcPr>
                <w:p w14:paraId="4E34D631">
                  <w:pPr>
                    <w:jc w:val="center"/>
                  </w:pPr>
                </w:p>
              </w:tc>
            </w:tr>
            <w:tr w14:paraId="593605F0">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82" w:hRule="atLeast"/>
                <w:jc w:val="center"/>
              </w:trPr>
              <w:tc>
                <w:tcPr>
                  <w:tcW w:w="264" w:type="pct"/>
                  <w:vMerge w:val="continue"/>
                  <w:tcBorders>
                    <w:tl2br w:val="nil"/>
                    <w:tr2bl w:val="nil"/>
                  </w:tcBorders>
                  <w:noWrap/>
                  <w:vAlign w:val="center"/>
                </w:tcPr>
                <w:p w14:paraId="41E6FE0A">
                  <w:pPr>
                    <w:jc w:val="center"/>
                  </w:pPr>
                </w:p>
              </w:tc>
              <w:tc>
                <w:tcPr>
                  <w:tcW w:w="1017" w:type="pct"/>
                  <w:tcBorders>
                    <w:tl2br w:val="nil"/>
                    <w:tr2bl w:val="nil"/>
                  </w:tcBorders>
                  <w:noWrap/>
                  <w:vAlign w:val="center"/>
                </w:tcPr>
                <w:p w14:paraId="5380C1C0">
                  <w:pPr>
                    <w:jc w:val="center"/>
                  </w:pPr>
                  <w:r>
                    <w:rPr>
                      <w:rFonts w:hint="eastAsia"/>
                      <w:lang w:val="en-US" w:eastAsia="zh-CN"/>
                    </w:rPr>
                    <w:t>厂界</w:t>
                  </w:r>
                  <w:r>
                    <w:rPr>
                      <w:rFonts w:hint="eastAsia"/>
                    </w:rPr>
                    <w:t>粉尘</w:t>
                  </w:r>
                </w:p>
              </w:tc>
              <w:tc>
                <w:tcPr>
                  <w:tcW w:w="1484" w:type="pct"/>
                  <w:vMerge w:val="restart"/>
                  <w:tcBorders>
                    <w:tl2br w:val="nil"/>
                    <w:tr2bl w:val="nil"/>
                  </w:tcBorders>
                  <w:noWrap/>
                  <w:vAlign w:val="center"/>
                </w:tcPr>
                <w:p w14:paraId="37F89421">
                  <w:pPr>
                    <w:jc w:val="center"/>
                  </w:pPr>
                  <w:r>
                    <w:rPr>
                      <w:rFonts w:hint="default" w:ascii="Times New Roman" w:hAnsi="Times New Roman" w:eastAsia="宋体" w:cs="Times New Roman"/>
                      <w:color w:val="000000" w:themeColor="text1"/>
                      <w:sz w:val="21"/>
                      <w:szCs w:val="21"/>
                      <w:highlight w:val="none"/>
                      <w:lang w:val="en-US" w:eastAsia="zh-CN"/>
                    </w:rPr>
                    <w:t>加强生产运行期的设备管理，</w:t>
                  </w:r>
                  <w:r>
                    <w:rPr>
                      <w:rFonts w:hint="eastAsia" w:ascii="Times New Roman" w:hAnsi="Times New Roman" w:eastAsia="宋体" w:cs="Times New Roman"/>
                      <w:color w:val="000000" w:themeColor="text1"/>
                      <w:kern w:val="2"/>
                      <w:sz w:val="21"/>
                      <w:szCs w:val="21"/>
                      <w:highlight w:val="none"/>
                      <w:lang w:val="en-US" w:eastAsia="zh-CN" w:bidi="ar-SA"/>
                    </w:rPr>
                    <w:t>车间密闭、及时清扫、加强通风</w:t>
                  </w:r>
                </w:p>
              </w:tc>
              <w:tc>
                <w:tcPr>
                  <w:tcW w:w="1933" w:type="pct"/>
                  <w:tcBorders>
                    <w:tl2br w:val="nil"/>
                    <w:tr2bl w:val="nil"/>
                  </w:tcBorders>
                  <w:noWrap/>
                  <w:vAlign w:val="center"/>
                </w:tcPr>
                <w:p w14:paraId="3756E2A1">
                  <w:pPr>
                    <w:jc w:val="center"/>
                  </w:pPr>
                  <w:r>
                    <w:rPr>
                      <w:color w:val="auto"/>
                      <w:sz w:val="21"/>
                      <w:szCs w:val="21"/>
                    </w:rPr>
                    <w:t>《</w:t>
                  </w:r>
                  <w:r>
                    <w:rPr>
                      <w:rFonts w:hint="eastAsia"/>
                      <w:color w:val="auto"/>
                      <w:sz w:val="21"/>
                      <w:szCs w:val="21"/>
                    </w:rPr>
                    <w:t>水泥工业</w:t>
                  </w:r>
                  <w:r>
                    <w:rPr>
                      <w:rFonts w:hint="eastAsia"/>
                      <w:color w:val="auto"/>
                      <w:sz w:val="21"/>
                      <w:szCs w:val="21"/>
                      <w:lang w:val="en-US" w:eastAsia="zh-CN"/>
                    </w:rPr>
                    <w:t>大气</w:t>
                  </w:r>
                  <w:r>
                    <w:rPr>
                      <w:color w:val="auto"/>
                      <w:sz w:val="21"/>
                      <w:szCs w:val="21"/>
                    </w:rPr>
                    <w:t>污染物排放标准》</w:t>
                  </w:r>
                  <w:r>
                    <w:rPr>
                      <w:rFonts w:ascii="Times New Roman" w:hAnsi="Times New Roman" w:eastAsia="宋体" w:cs="Times New Roman"/>
                      <w:color w:val="auto"/>
                      <w:kern w:val="0"/>
                      <w:sz w:val="21"/>
                      <w:szCs w:val="21"/>
                    </w:rPr>
                    <w:t>（</w:t>
                  </w:r>
                  <w:r>
                    <w:rPr>
                      <w:rFonts w:hint="eastAsia"/>
                      <w:color w:val="auto"/>
                      <w:sz w:val="21"/>
                      <w:szCs w:val="21"/>
                    </w:rPr>
                    <w:t>GB4915</w:t>
                  </w:r>
                  <w:r>
                    <w:rPr>
                      <w:color w:val="auto"/>
                      <w:sz w:val="21"/>
                      <w:szCs w:val="21"/>
                    </w:rPr>
                    <w:t>-2013</w:t>
                  </w:r>
                  <w:r>
                    <w:rPr>
                      <w:rFonts w:ascii="Times New Roman" w:hAnsi="Times New Roman" w:eastAsia="宋体" w:cs="Times New Roman"/>
                      <w:color w:val="auto"/>
                      <w:kern w:val="0"/>
                      <w:sz w:val="21"/>
                      <w:szCs w:val="21"/>
                    </w:rPr>
                    <w:t>）</w:t>
                  </w:r>
                  <w:r>
                    <w:rPr>
                      <w:rFonts w:hint="default" w:ascii="Times New Roman" w:hAnsi="Times New Roman" w:eastAsia="宋体" w:cs="Times New Roman"/>
                      <w:color w:val="auto"/>
                      <w:kern w:val="2"/>
                      <w:sz w:val="21"/>
                      <w:szCs w:val="21"/>
                      <w:lang w:val="en-US" w:eastAsia="zh-CN" w:bidi="ar"/>
                    </w:rPr>
                    <w:t>中无组织排放浓度</w:t>
                  </w:r>
                  <w:r>
                    <w:rPr>
                      <w:rFonts w:hint="eastAsia" w:ascii="Times New Roman" w:hAnsi="Times New Roman" w:eastAsia="宋体" w:cs="Times New Roman"/>
                      <w:color w:val="auto"/>
                      <w:kern w:val="2"/>
                      <w:sz w:val="21"/>
                      <w:szCs w:val="21"/>
                      <w:lang w:val="en-US" w:eastAsia="zh-CN" w:bidi="ar"/>
                    </w:rPr>
                    <w:t>限值</w:t>
                  </w:r>
                </w:p>
              </w:tc>
              <w:tc>
                <w:tcPr>
                  <w:tcW w:w="300" w:type="pct"/>
                  <w:vMerge w:val="continue"/>
                  <w:tcBorders>
                    <w:tl2br w:val="nil"/>
                    <w:tr2bl w:val="nil"/>
                  </w:tcBorders>
                  <w:noWrap/>
                  <w:vAlign w:val="center"/>
                </w:tcPr>
                <w:p w14:paraId="4EED3C6B">
                  <w:pPr>
                    <w:jc w:val="center"/>
                  </w:pPr>
                </w:p>
              </w:tc>
            </w:tr>
            <w:tr w14:paraId="398F5C65">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82" w:hRule="atLeast"/>
                <w:jc w:val="center"/>
              </w:trPr>
              <w:tc>
                <w:tcPr>
                  <w:tcW w:w="264" w:type="pct"/>
                  <w:vMerge w:val="continue"/>
                  <w:tcBorders>
                    <w:tl2br w:val="nil"/>
                    <w:tr2bl w:val="nil"/>
                  </w:tcBorders>
                  <w:noWrap/>
                  <w:vAlign w:val="center"/>
                </w:tcPr>
                <w:p w14:paraId="60B194DA">
                  <w:pPr>
                    <w:jc w:val="center"/>
                  </w:pPr>
                </w:p>
              </w:tc>
              <w:tc>
                <w:tcPr>
                  <w:tcW w:w="1017" w:type="pct"/>
                  <w:tcBorders>
                    <w:tl2br w:val="nil"/>
                    <w:tr2bl w:val="nil"/>
                  </w:tcBorders>
                  <w:noWrap/>
                  <w:vAlign w:val="center"/>
                </w:tcPr>
                <w:p w14:paraId="5AB4D631">
                  <w:pPr>
                    <w:jc w:val="center"/>
                    <w:rPr>
                      <w:rFonts w:hint="eastAsia"/>
                      <w:lang w:val="en-US" w:eastAsia="zh-CN"/>
                    </w:rPr>
                  </w:pPr>
                  <w:r>
                    <w:rPr>
                      <w:rFonts w:hint="eastAsia" w:ascii="Times New Roman" w:hAnsi="Times New Roman" w:eastAsia="宋体" w:cs="Times New Roman"/>
                      <w:color w:val="000000" w:themeColor="text1"/>
                      <w:sz w:val="21"/>
                      <w:szCs w:val="21"/>
                      <w:highlight w:val="none"/>
                      <w:lang w:val="en-US" w:eastAsia="zh-CN"/>
                    </w:rPr>
                    <w:t>厂界非甲烷总烃</w:t>
                  </w:r>
                </w:p>
              </w:tc>
              <w:tc>
                <w:tcPr>
                  <w:tcW w:w="1484" w:type="pct"/>
                  <w:vMerge w:val="continue"/>
                  <w:tcBorders>
                    <w:tl2br w:val="nil"/>
                    <w:tr2bl w:val="nil"/>
                  </w:tcBorders>
                  <w:noWrap/>
                  <w:vAlign w:val="center"/>
                </w:tcPr>
                <w:p w14:paraId="0114C0BD">
                  <w:pPr>
                    <w:jc w:val="center"/>
                    <w:rPr>
                      <w:rFonts w:hint="default" w:ascii="Times New Roman" w:hAnsi="Times New Roman" w:eastAsia="宋体" w:cs="Times New Roman"/>
                      <w:color w:val="000000" w:themeColor="text1"/>
                      <w:sz w:val="21"/>
                      <w:szCs w:val="21"/>
                      <w:highlight w:val="none"/>
                      <w:lang w:val="en-US" w:eastAsia="zh-CN"/>
                    </w:rPr>
                  </w:pPr>
                </w:p>
              </w:tc>
              <w:tc>
                <w:tcPr>
                  <w:tcW w:w="1933" w:type="pct"/>
                  <w:tcBorders>
                    <w:tl2br w:val="nil"/>
                    <w:tr2bl w:val="nil"/>
                  </w:tcBorders>
                  <w:noWrap/>
                  <w:vAlign w:val="center"/>
                </w:tcPr>
                <w:p w14:paraId="71C594CE">
                  <w:pPr>
                    <w:jc w:val="center"/>
                    <w:rPr>
                      <w:color w:val="auto"/>
                      <w:sz w:val="21"/>
                      <w:szCs w:val="21"/>
                    </w:rPr>
                  </w:pPr>
                  <w:r>
                    <w:rPr>
                      <w:rFonts w:hint="default" w:ascii="Times New Roman" w:hAnsi="Times New Roman" w:eastAsia="宋体" w:cs="Times New Roman"/>
                      <w:color w:val="auto"/>
                      <w:spacing w:val="0"/>
                      <w:kern w:val="0"/>
                      <w:position w:val="0"/>
                      <w:sz w:val="21"/>
                      <w:szCs w:val="21"/>
                      <w:highlight w:val="none"/>
                      <w:lang w:val="en-US" w:eastAsia="zh-CN"/>
                    </w:rPr>
                    <w:t>《合成树脂工业污染物排放标准》（GB31572-2015）中表9企业边界大气污染物浓度限值</w:t>
                  </w:r>
                </w:p>
              </w:tc>
              <w:tc>
                <w:tcPr>
                  <w:tcW w:w="300" w:type="pct"/>
                  <w:vMerge w:val="continue"/>
                  <w:tcBorders>
                    <w:tl2br w:val="nil"/>
                    <w:tr2bl w:val="nil"/>
                  </w:tcBorders>
                  <w:noWrap/>
                  <w:vAlign w:val="center"/>
                </w:tcPr>
                <w:p w14:paraId="0B57D134">
                  <w:pPr>
                    <w:jc w:val="center"/>
                  </w:pPr>
                </w:p>
              </w:tc>
            </w:tr>
            <w:tr w14:paraId="70B02CE3">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82" w:hRule="atLeast"/>
                <w:jc w:val="center"/>
              </w:trPr>
              <w:tc>
                <w:tcPr>
                  <w:tcW w:w="264" w:type="pct"/>
                  <w:vMerge w:val="continue"/>
                  <w:tcBorders>
                    <w:tl2br w:val="nil"/>
                    <w:tr2bl w:val="nil"/>
                  </w:tcBorders>
                  <w:noWrap/>
                  <w:vAlign w:val="center"/>
                </w:tcPr>
                <w:p w14:paraId="563DA46C">
                  <w:pPr>
                    <w:jc w:val="center"/>
                  </w:pPr>
                </w:p>
              </w:tc>
              <w:tc>
                <w:tcPr>
                  <w:tcW w:w="1017" w:type="pct"/>
                  <w:tcBorders>
                    <w:tl2br w:val="nil"/>
                    <w:tr2bl w:val="nil"/>
                  </w:tcBorders>
                  <w:noWrap/>
                  <w:vAlign w:val="center"/>
                </w:tcPr>
                <w:p w14:paraId="162FEC82">
                  <w:pPr>
                    <w:jc w:val="center"/>
                    <w:rPr>
                      <w:rFonts w:hint="default"/>
                      <w:lang w:val="en-US" w:eastAsia="zh-CN"/>
                    </w:rPr>
                  </w:pPr>
                  <w:r>
                    <w:rPr>
                      <w:rFonts w:hint="eastAsia"/>
                      <w:lang w:val="en-US" w:eastAsia="zh-CN"/>
                    </w:rPr>
                    <w:t>厂区内</w:t>
                  </w:r>
                  <w:r>
                    <w:rPr>
                      <w:rFonts w:hint="eastAsia" w:ascii="Times New Roman" w:hAnsi="Times New Roman" w:eastAsia="宋体" w:cs="Times New Roman"/>
                      <w:color w:val="000000" w:themeColor="text1"/>
                      <w:sz w:val="21"/>
                      <w:szCs w:val="21"/>
                      <w:highlight w:val="none"/>
                      <w:lang w:val="en-US" w:eastAsia="zh-CN"/>
                    </w:rPr>
                    <w:t>非甲烷总烃</w:t>
                  </w:r>
                </w:p>
              </w:tc>
              <w:tc>
                <w:tcPr>
                  <w:tcW w:w="1484" w:type="pct"/>
                  <w:vMerge w:val="continue"/>
                  <w:tcBorders>
                    <w:tl2br w:val="nil"/>
                    <w:tr2bl w:val="nil"/>
                  </w:tcBorders>
                  <w:noWrap/>
                  <w:vAlign w:val="center"/>
                </w:tcPr>
                <w:p w14:paraId="75739B35">
                  <w:pPr>
                    <w:jc w:val="center"/>
                    <w:rPr>
                      <w:rFonts w:hint="default" w:ascii="Times New Roman" w:hAnsi="Times New Roman" w:eastAsia="宋体" w:cs="Times New Roman"/>
                      <w:color w:val="000000" w:themeColor="text1"/>
                      <w:sz w:val="21"/>
                      <w:szCs w:val="21"/>
                      <w:highlight w:val="none"/>
                      <w:lang w:val="en-US" w:eastAsia="zh-CN"/>
                    </w:rPr>
                  </w:pPr>
                </w:p>
              </w:tc>
              <w:tc>
                <w:tcPr>
                  <w:tcW w:w="1933" w:type="pct"/>
                  <w:tcBorders>
                    <w:tl2br w:val="nil"/>
                    <w:tr2bl w:val="nil"/>
                  </w:tcBorders>
                  <w:noWrap/>
                  <w:vAlign w:val="center"/>
                </w:tcPr>
                <w:p w14:paraId="04A7D121">
                  <w:pPr>
                    <w:jc w:val="center"/>
                    <w:rPr>
                      <w:color w:val="auto"/>
                      <w:sz w:val="21"/>
                      <w:szCs w:val="21"/>
                    </w:rPr>
                  </w:pPr>
                  <w:r>
                    <w:rPr>
                      <w:rFonts w:hint="default" w:ascii="Times New Roman" w:hAnsi="Times New Roman" w:eastAsia="宋体" w:cs="Times New Roman"/>
                      <w:sz w:val="21"/>
                      <w:szCs w:val="21"/>
                      <w:lang w:val="en-US" w:eastAsia="zh-CN"/>
                    </w:rPr>
                    <w:t>《挥发性有机物无组织排放控制标准》（GB37822-2019）中车间外VOCs无组织特别排放限值</w:t>
                  </w:r>
                </w:p>
              </w:tc>
              <w:tc>
                <w:tcPr>
                  <w:tcW w:w="300" w:type="pct"/>
                  <w:vMerge w:val="continue"/>
                  <w:tcBorders>
                    <w:tl2br w:val="nil"/>
                    <w:tr2bl w:val="nil"/>
                  </w:tcBorders>
                  <w:noWrap/>
                  <w:vAlign w:val="center"/>
                </w:tcPr>
                <w:p w14:paraId="4322C283">
                  <w:pPr>
                    <w:jc w:val="center"/>
                  </w:pPr>
                </w:p>
              </w:tc>
            </w:tr>
            <w:tr w14:paraId="165213C8">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894" w:hRule="atLeast"/>
                <w:jc w:val="center"/>
              </w:trPr>
              <w:tc>
                <w:tcPr>
                  <w:tcW w:w="264" w:type="pct"/>
                  <w:tcBorders>
                    <w:tl2br w:val="nil"/>
                    <w:tr2bl w:val="nil"/>
                  </w:tcBorders>
                  <w:noWrap/>
                  <w:vAlign w:val="center"/>
                </w:tcPr>
                <w:p w14:paraId="7EED41CB">
                  <w:pPr>
                    <w:jc w:val="center"/>
                  </w:pPr>
                  <w:r>
                    <w:t>废水</w:t>
                  </w:r>
                </w:p>
              </w:tc>
              <w:tc>
                <w:tcPr>
                  <w:tcW w:w="1017" w:type="pct"/>
                  <w:tcBorders>
                    <w:tl2br w:val="nil"/>
                    <w:tr2bl w:val="nil"/>
                  </w:tcBorders>
                  <w:noWrap/>
                  <w:vAlign w:val="center"/>
                </w:tcPr>
                <w:p w14:paraId="59D52FF9">
                  <w:pPr>
                    <w:jc w:val="center"/>
                  </w:pPr>
                  <w:r>
                    <w:rPr>
                      <w:rFonts w:hint="eastAsia"/>
                    </w:rPr>
                    <w:t>生活废水</w:t>
                  </w:r>
                </w:p>
              </w:tc>
              <w:tc>
                <w:tcPr>
                  <w:tcW w:w="1484" w:type="pct"/>
                  <w:tcBorders>
                    <w:tl2br w:val="nil"/>
                    <w:tr2bl w:val="nil"/>
                  </w:tcBorders>
                  <w:noWrap/>
                  <w:vAlign w:val="center"/>
                </w:tcPr>
                <w:p w14:paraId="2DC83835">
                  <w:pPr>
                    <w:jc w:val="center"/>
                  </w:pPr>
                  <w:r>
                    <w:rPr>
                      <w:rFonts w:hint="eastAsia"/>
                    </w:rPr>
                    <w:t>经</w:t>
                  </w:r>
                  <w:r>
                    <w:rPr>
                      <w:rFonts w:hint="eastAsia"/>
                      <w:lang w:val="en-US" w:eastAsia="zh-CN"/>
                    </w:rPr>
                    <w:t>园区污水管网排入园区污水处理厂</w:t>
                  </w:r>
                  <w:r>
                    <w:rPr>
                      <w:rFonts w:hint="eastAsia"/>
                    </w:rPr>
                    <w:t>处理</w:t>
                  </w:r>
                </w:p>
              </w:tc>
              <w:tc>
                <w:tcPr>
                  <w:tcW w:w="1933" w:type="pct"/>
                  <w:tcBorders>
                    <w:tl2br w:val="nil"/>
                    <w:tr2bl w:val="nil"/>
                  </w:tcBorders>
                  <w:noWrap/>
                  <w:vAlign w:val="center"/>
                </w:tcPr>
                <w:p w14:paraId="73DA17C9">
                  <w:pPr>
                    <w:pStyle w:val="2"/>
                    <w:snapToGrid/>
                    <w:spacing w:line="240" w:lineRule="auto"/>
                    <w:ind w:right="0"/>
                    <w:jc w:val="center"/>
                    <w:rPr>
                      <w:sz w:val="21"/>
                      <w:szCs w:val="21"/>
                    </w:rPr>
                  </w:pPr>
                  <w:r>
                    <w:rPr>
                      <w:rFonts w:hint="eastAsia"/>
                      <w:sz w:val="21"/>
                      <w:szCs w:val="21"/>
                    </w:rPr>
                    <w:t>《污水综合排放标准》（GB8978-1996）中三级标准</w:t>
                  </w:r>
                </w:p>
              </w:tc>
              <w:tc>
                <w:tcPr>
                  <w:tcW w:w="300" w:type="pct"/>
                  <w:vMerge w:val="continue"/>
                  <w:tcBorders>
                    <w:tl2br w:val="nil"/>
                    <w:tr2bl w:val="nil"/>
                  </w:tcBorders>
                  <w:noWrap/>
                  <w:vAlign w:val="center"/>
                </w:tcPr>
                <w:p w14:paraId="3EB766DB">
                  <w:pPr>
                    <w:jc w:val="center"/>
                  </w:pPr>
                </w:p>
              </w:tc>
            </w:tr>
            <w:tr w14:paraId="12AE6CFB">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264" w:type="pct"/>
                  <w:tcBorders>
                    <w:tl2br w:val="nil"/>
                    <w:tr2bl w:val="nil"/>
                  </w:tcBorders>
                  <w:noWrap/>
                  <w:vAlign w:val="center"/>
                </w:tcPr>
                <w:p w14:paraId="3A4CB05C">
                  <w:pPr>
                    <w:jc w:val="center"/>
                  </w:pPr>
                  <w:r>
                    <w:t>噪声</w:t>
                  </w:r>
                </w:p>
              </w:tc>
              <w:tc>
                <w:tcPr>
                  <w:tcW w:w="1017" w:type="pct"/>
                  <w:tcBorders>
                    <w:tl2br w:val="nil"/>
                    <w:tr2bl w:val="nil"/>
                  </w:tcBorders>
                  <w:noWrap/>
                  <w:vAlign w:val="center"/>
                </w:tcPr>
                <w:p w14:paraId="0D929842">
                  <w:pPr>
                    <w:jc w:val="center"/>
                  </w:pPr>
                  <w:r>
                    <w:t>噪声</w:t>
                  </w:r>
                </w:p>
              </w:tc>
              <w:tc>
                <w:tcPr>
                  <w:tcW w:w="1484" w:type="pct"/>
                  <w:tcBorders>
                    <w:tl2br w:val="nil"/>
                    <w:tr2bl w:val="nil"/>
                  </w:tcBorders>
                  <w:noWrap/>
                  <w:vAlign w:val="center"/>
                </w:tcPr>
                <w:p w14:paraId="4168BBA2">
                  <w:pPr>
                    <w:jc w:val="center"/>
                  </w:pPr>
                  <w:r>
                    <w:t>机械设备加装减震垫，厂房封闭，加强管理等</w:t>
                  </w:r>
                </w:p>
              </w:tc>
              <w:tc>
                <w:tcPr>
                  <w:tcW w:w="1933" w:type="pct"/>
                  <w:tcBorders>
                    <w:tl2br w:val="nil"/>
                    <w:tr2bl w:val="nil"/>
                  </w:tcBorders>
                  <w:noWrap/>
                  <w:vAlign w:val="center"/>
                </w:tcPr>
                <w:p w14:paraId="4A3C9329">
                  <w:pPr>
                    <w:jc w:val="center"/>
                  </w:pPr>
                  <w:r>
                    <w:t>《工业企业厂界环境噪声排放标准》（GB12348-2008）中</w:t>
                  </w:r>
                  <w:r>
                    <w:rPr>
                      <w:rFonts w:hint="eastAsia"/>
                    </w:rPr>
                    <w:t>3</w:t>
                  </w:r>
                  <w:r>
                    <w:t>类标准限值</w:t>
                  </w:r>
                </w:p>
              </w:tc>
              <w:tc>
                <w:tcPr>
                  <w:tcW w:w="300" w:type="pct"/>
                  <w:vMerge w:val="continue"/>
                  <w:tcBorders>
                    <w:tl2br w:val="nil"/>
                    <w:tr2bl w:val="nil"/>
                  </w:tcBorders>
                  <w:noWrap/>
                  <w:vAlign w:val="center"/>
                </w:tcPr>
                <w:p w14:paraId="7B8A203E">
                  <w:pPr>
                    <w:jc w:val="center"/>
                  </w:pPr>
                </w:p>
              </w:tc>
            </w:tr>
            <w:tr w14:paraId="066E1EC8">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67" w:hRule="atLeast"/>
                <w:jc w:val="center"/>
              </w:trPr>
              <w:tc>
                <w:tcPr>
                  <w:tcW w:w="264" w:type="pct"/>
                  <w:vMerge w:val="restart"/>
                  <w:tcBorders>
                    <w:tl2br w:val="nil"/>
                    <w:tr2bl w:val="nil"/>
                  </w:tcBorders>
                  <w:noWrap/>
                  <w:vAlign w:val="center"/>
                </w:tcPr>
                <w:p w14:paraId="7AE28D8D">
                  <w:pPr>
                    <w:jc w:val="center"/>
                  </w:pPr>
                  <w:r>
                    <w:rPr>
                      <w:rFonts w:hint="eastAsia"/>
                    </w:rPr>
                    <w:t>固体废物</w:t>
                  </w:r>
                </w:p>
              </w:tc>
              <w:tc>
                <w:tcPr>
                  <w:tcW w:w="1017" w:type="pct"/>
                  <w:tcBorders>
                    <w:tl2br w:val="nil"/>
                    <w:tr2bl w:val="nil"/>
                  </w:tcBorders>
                  <w:noWrap/>
                  <w:vAlign w:val="center"/>
                </w:tcPr>
                <w:p w14:paraId="70C2CBCA">
                  <w:pPr>
                    <w:jc w:val="center"/>
                  </w:pPr>
                  <w:r>
                    <w:rPr>
                      <w:rFonts w:hint="eastAsia"/>
                    </w:rPr>
                    <w:t>收集粉尘</w:t>
                  </w:r>
                </w:p>
              </w:tc>
              <w:tc>
                <w:tcPr>
                  <w:tcW w:w="1484" w:type="pct"/>
                  <w:tcBorders>
                    <w:tl2br w:val="nil"/>
                    <w:tr2bl w:val="nil"/>
                  </w:tcBorders>
                  <w:noWrap/>
                  <w:vAlign w:val="center"/>
                </w:tcPr>
                <w:p w14:paraId="73288AD8">
                  <w:pPr>
                    <w:jc w:val="center"/>
                  </w:pPr>
                  <w:r>
                    <w:rPr>
                      <w:rFonts w:hint="eastAsia"/>
                    </w:rPr>
                    <w:t>回用于生产</w:t>
                  </w:r>
                </w:p>
              </w:tc>
              <w:tc>
                <w:tcPr>
                  <w:tcW w:w="1933" w:type="pct"/>
                  <w:tcBorders>
                    <w:tl2br w:val="nil"/>
                    <w:tr2bl w:val="nil"/>
                  </w:tcBorders>
                  <w:noWrap/>
                  <w:vAlign w:val="center"/>
                </w:tcPr>
                <w:p w14:paraId="007D4570">
                  <w:pPr>
                    <w:jc w:val="center"/>
                  </w:pPr>
                  <w:r>
                    <w:rPr>
                      <w:rFonts w:hint="eastAsia"/>
                    </w:rPr>
                    <w:t>/</w:t>
                  </w:r>
                </w:p>
              </w:tc>
              <w:tc>
                <w:tcPr>
                  <w:tcW w:w="300" w:type="pct"/>
                  <w:vMerge w:val="continue"/>
                  <w:tcBorders>
                    <w:tl2br w:val="nil"/>
                    <w:tr2bl w:val="nil"/>
                  </w:tcBorders>
                  <w:noWrap/>
                  <w:vAlign w:val="center"/>
                </w:tcPr>
                <w:p w14:paraId="7B736ACD">
                  <w:pPr>
                    <w:jc w:val="center"/>
                  </w:pPr>
                </w:p>
              </w:tc>
            </w:tr>
            <w:tr w14:paraId="102A1B7C">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67" w:hRule="atLeast"/>
                <w:jc w:val="center"/>
              </w:trPr>
              <w:tc>
                <w:tcPr>
                  <w:tcW w:w="264" w:type="pct"/>
                  <w:vMerge w:val="continue"/>
                  <w:tcBorders>
                    <w:tl2br w:val="nil"/>
                    <w:tr2bl w:val="nil"/>
                  </w:tcBorders>
                  <w:noWrap/>
                  <w:vAlign w:val="center"/>
                </w:tcPr>
                <w:p w14:paraId="376A0945">
                  <w:pPr>
                    <w:jc w:val="center"/>
                  </w:pPr>
                </w:p>
              </w:tc>
              <w:tc>
                <w:tcPr>
                  <w:tcW w:w="1017" w:type="pct"/>
                  <w:tcBorders>
                    <w:tl2br w:val="nil"/>
                    <w:tr2bl w:val="nil"/>
                  </w:tcBorders>
                  <w:noWrap/>
                  <w:vAlign w:val="center"/>
                </w:tcPr>
                <w:p w14:paraId="22D44779">
                  <w:pPr>
                    <w:jc w:val="center"/>
                    <w:rPr>
                      <w:rFonts w:hint="default" w:eastAsia="宋体"/>
                      <w:lang w:val="en-US" w:eastAsia="zh-CN"/>
                    </w:rPr>
                  </w:pPr>
                  <w:r>
                    <w:rPr>
                      <w:rFonts w:hint="eastAsia"/>
                      <w:lang w:val="en-US" w:eastAsia="zh-CN"/>
                    </w:rPr>
                    <w:t>边角料、不合格品</w:t>
                  </w:r>
                </w:p>
              </w:tc>
              <w:tc>
                <w:tcPr>
                  <w:tcW w:w="1484" w:type="pct"/>
                  <w:tcBorders>
                    <w:tl2br w:val="nil"/>
                    <w:tr2bl w:val="nil"/>
                  </w:tcBorders>
                  <w:noWrap/>
                  <w:vAlign w:val="center"/>
                </w:tcPr>
                <w:p w14:paraId="5EB77808">
                  <w:pPr>
                    <w:jc w:val="center"/>
                    <w:rPr>
                      <w:rFonts w:hint="eastAsia"/>
                    </w:rPr>
                  </w:pPr>
                  <w:r>
                    <w:rPr>
                      <w:rFonts w:hint="eastAsia"/>
                    </w:rPr>
                    <w:t>回用于生产</w:t>
                  </w:r>
                </w:p>
              </w:tc>
              <w:tc>
                <w:tcPr>
                  <w:tcW w:w="1933" w:type="pct"/>
                  <w:tcBorders>
                    <w:tl2br w:val="nil"/>
                    <w:tr2bl w:val="nil"/>
                  </w:tcBorders>
                  <w:noWrap/>
                  <w:vAlign w:val="center"/>
                </w:tcPr>
                <w:p w14:paraId="109FF90E">
                  <w:pPr>
                    <w:jc w:val="center"/>
                    <w:rPr>
                      <w:rFonts w:hint="eastAsia" w:eastAsia="宋体"/>
                      <w:lang w:val="en-US" w:eastAsia="zh-CN"/>
                    </w:rPr>
                  </w:pPr>
                  <w:r>
                    <w:rPr>
                      <w:rFonts w:hint="eastAsia"/>
                      <w:lang w:val="en-US" w:eastAsia="zh-CN"/>
                    </w:rPr>
                    <w:t>/</w:t>
                  </w:r>
                </w:p>
              </w:tc>
              <w:tc>
                <w:tcPr>
                  <w:tcW w:w="300" w:type="pct"/>
                  <w:vMerge w:val="continue"/>
                  <w:tcBorders>
                    <w:tl2br w:val="nil"/>
                    <w:tr2bl w:val="nil"/>
                  </w:tcBorders>
                  <w:noWrap/>
                  <w:vAlign w:val="center"/>
                </w:tcPr>
                <w:p w14:paraId="1032B85D">
                  <w:pPr>
                    <w:jc w:val="center"/>
                  </w:pPr>
                </w:p>
              </w:tc>
            </w:tr>
            <w:tr w14:paraId="67697388">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67" w:hRule="atLeast"/>
                <w:jc w:val="center"/>
              </w:trPr>
              <w:tc>
                <w:tcPr>
                  <w:tcW w:w="264" w:type="pct"/>
                  <w:vMerge w:val="continue"/>
                  <w:tcBorders>
                    <w:tl2br w:val="nil"/>
                    <w:tr2bl w:val="nil"/>
                  </w:tcBorders>
                  <w:noWrap/>
                  <w:vAlign w:val="center"/>
                </w:tcPr>
                <w:p w14:paraId="76EF32DA">
                  <w:pPr>
                    <w:jc w:val="center"/>
                  </w:pPr>
                </w:p>
              </w:tc>
              <w:tc>
                <w:tcPr>
                  <w:tcW w:w="1017" w:type="pct"/>
                  <w:tcBorders>
                    <w:tl2br w:val="nil"/>
                    <w:tr2bl w:val="nil"/>
                  </w:tcBorders>
                  <w:noWrap/>
                  <w:vAlign w:val="center"/>
                </w:tcPr>
                <w:p w14:paraId="4D4BFAA7">
                  <w:pPr>
                    <w:jc w:val="center"/>
                    <w:rPr>
                      <w:rFonts w:hint="eastAsia" w:eastAsia="宋体"/>
                      <w:lang w:val="en-US" w:eastAsia="zh-CN"/>
                    </w:rPr>
                  </w:pPr>
                  <w:r>
                    <w:rPr>
                      <w:rFonts w:hint="eastAsia"/>
                    </w:rPr>
                    <w:t>废</w:t>
                  </w:r>
                  <w:r>
                    <w:rPr>
                      <w:rFonts w:hint="eastAsia"/>
                      <w:lang w:val="en-US" w:eastAsia="zh-CN"/>
                    </w:rPr>
                    <w:t>钢筋</w:t>
                  </w:r>
                </w:p>
              </w:tc>
              <w:tc>
                <w:tcPr>
                  <w:tcW w:w="1484" w:type="pct"/>
                  <w:tcBorders>
                    <w:tl2br w:val="nil"/>
                    <w:tr2bl w:val="nil"/>
                  </w:tcBorders>
                  <w:noWrap/>
                  <w:vAlign w:val="center"/>
                </w:tcPr>
                <w:p w14:paraId="71BBE20F">
                  <w:pPr>
                    <w:jc w:val="center"/>
                    <w:rPr>
                      <w:rFonts w:hint="default" w:eastAsia="宋体"/>
                      <w:lang w:val="en-US" w:eastAsia="zh-CN"/>
                    </w:rPr>
                  </w:pPr>
                  <w:r>
                    <w:rPr>
                      <w:rFonts w:hint="eastAsia"/>
                      <w:lang w:val="en-US" w:eastAsia="zh-CN"/>
                    </w:rPr>
                    <w:t>集中收集后外售</w:t>
                  </w:r>
                </w:p>
              </w:tc>
              <w:tc>
                <w:tcPr>
                  <w:tcW w:w="1933" w:type="pct"/>
                  <w:tcBorders>
                    <w:tl2br w:val="nil"/>
                    <w:tr2bl w:val="nil"/>
                  </w:tcBorders>
                  <w:noWrap/>
                  <w:vAlign w:val="center"/>
                </w:tcPr>
                <w:p w14:paraId="2C0C87A8">
                  <w:pPr>
                    <w:jc w:val="center"/>
                  </w:pPr>
                  <w:r>
                    <w:rPr>
                      <w:rFonts w:hint="eastAsia"/>
                    </w:rPr>
                    <w:t>/</w:t>
                  </w:r>
                </w:p>
              </w:tc>
              <w:tc>
                <w:tcPr>
                  <w:tcW w:w="300" w:type="pct"/>
                  <w:vMerge w:val="continue"/>
                  <w:tcBorders>
                    <w:tl2br w:val="nil"/>
                    <w:tr2bl w:val="nil"/>
                  </w:tcBorders>
                  <w:noWrap/>
                  <w:vAlign w:val="center"/>
                </w:tcPr>
                <w:p w14:paraId="5141A45F">
                  <w:pPr>
                    <w:jc w:val="center"/>
                  </w:pPr>
                </w:p>
              </w:tc>
            </w:tr>
            <w:tr w14:paraId="7FE18475">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67" w:hRule="atLeast"/>
                <w:jc w:val="center"/>
              </w:trPr>
              <w:tc>
                <w:tcPr>
                  <w:tcW w:w="264" w:type="pct"/>
                  <w:vMerge w:val="continue"/>
                  <w:tcBorders>
                    <w:tl2br w:val="nil"/>
                    <w:tr2bl w:val="nil"/>
                  </w:tcBorders>
                  <w:noWrap/>
                  <w:vAlign w:val="center"/>
                </w:tcPr>
                <w:p w14:paraId="744C426E">
                  <w:pPr>
                    <w:jc w:val="center"/>
                  </w:pPr>
                </w:p>
              </w:tc>
              <w:tc>
                <w:tcPr>
                  <w:tcW w:w="1017" w:type="pct"/>
                  <w:tcBorders>
                    <w:tl2br w:val="nil"/>
                    <w:tr2bl w:val="nil"/>
                  </w:tcBorders>
                  <w:noWrap/>
                  <w:vAlign w:val="center"/>
                </w:tcPr>
                <w:p w14:paraId="552A578A">
                  <w:pPr>
                    <w:jc w:val="center"/>
                  </w:pPr>
                  <w:r>
                    <w:rPr>
                      <w:rFonts w:hint="eastAsia"/>
                    </w:rPr>
                    <w:t>生活垃圾</w:t>
                  </w:r>
                </w:p>
              </w:tc>
              <w:tc>
                <w:tcPr>
                  <w:tcW w:w="1484" w:type="pct"/>
                  <w:tcBorders>
                    <w:tl2br w:val="nil"/>
                    <w:tr2bl w:val="nil"/>
                  </w:tcBorders>
                  <w:noWrap/>
                  <w:vAlign w:val="center"/>
                </w:tcPr>
                <w:p w14:paraId="4AA489C6">
                  <w:pPr>
                    <w:jc w:val="center"/>
                  </w:pPr>
                  <w:r>
                    <w:rPr>
                      <w:rFonts w:hint="eastAsia"/>
                    </w:rPr>
                    <w:t>集中收集后委托环卫部门统一拉运处理</w:t>
                  </w:r>
                </w:p>
              </w:tc>
              <w:tc>
                <w:tcPr>
                  <w:tcW w:w="1933" w:type="pct"/>
                  <w:tcBorders>
                    <w:tl2br w:val="nil"/>
                    <w:tr2bl w:val="nil"/>
                  </w:tcBorders>
                  <w:noWrap/>
                  <w:vAlign w:val="center"/>
                </w:tcPr>
                <w:p w14:paraId="250DF916">
                  <w:pPr>
                    <w:jc w:val="center"/>
                  </w:pPr>
                  <w:r>
                    <w:rPr>
                      <w:rFonts w:hint="eastAsia"/>
                    </w:rPr>
                    <w:t>《一般工业固体废物贮存和填埋污染控制标准》（GB18599-2020）</w:t>
                  </w:r>
                </w:p>
              </w:tc>
              <w:tc>
                <w:tcPr>
                  <w:tcW w:w="300" w:type="pct"/>
                  <w:vMerge w:val="continue"/>
                  <w:tcBorders>
                    <w:tl2br w:val="nil"/>
                    <w:tr2bl w:val="nil"/>
                  </w:tcBorders>
                  <w:noWrap/>
                  <w:vAlign w:val="center"/>
                </w:tcPr>
                <w:p w14:paraId="60E3C77D">
                  <w:pPr>
                    <w:jc w:val="center"/>
                  </w:pPr>
                </w:p>
              </w:tc>
            </w:tr>
            <w:tr w14:paraId="53E60C1D">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67" w:hRule="atLeast"/>
                <w:jc w:val="center"/>
              </w:trPr>
              <w:tc>
                <w:tcPr>
                  <w:tcW w:w="264" w:type="pct"/>
                  <w:vMerge w:val="restart"/>
                  <w:tcBorders>
                    <w:tl2br w:val="nil"/>
                    <w:tr2bl w:val="nil"/>
                  </w:tcBorders>
                  <w:noWrap/>
                  <w:vAlign w:val="center"/>
                </w:tcPr>
                <w:p w14:paraId="051A18B1">
                  <w:pPr>
                    <w:jc w:val="center"/>
                    <w:rPr>
                      <w:rFonts w:hint="eastAsia" w:eastAsia="宋体"/>
                      <w:lang w:val="en-US" w:eastAsia="zh-CN"/>
                    </w:rPr>
                  </w:pPr>
                  <w:r>
                    <w:rPr>
                      <w:rFonts w:hint="eastAsia"/>
                      <w:lang w:val="en-US" w:eastAsia="zh-CN"/>
                    </w:rPr>
                    <w:t>危废</w:t>
                  </w:r>
                </w:p>
              </w:tc>
              <w:tc>
                <w:tcPr>
                  <w:tcW w:w="1017" w:type="pct"/>
                  <w:tcBorders>
                    <w:tl2br w:val="nil"/>
                    <w:tr2bl w:val="nil"/>
                  </w:tcBorders>
                  <w:noWrap/>
                  <w:vAlign w:val="center"/>
                </w:tcPr>
                <w:p w14:paraId="161F02C5">
                  <w:pPr>
                    <w:jc w:val="center"/>
                    <w:rPr>
                      <w:rFonts w:hint="eastAsia"/>
                    </w:rPr>
                  </w:pPr>
                  <w:r>
                    <w:rPr>
                      <w:rFonts w:hint="default" w:ascii="Times New Roman" w:hAnsi="Times New Roman" w:eastAsia="宋体" w:cs="Times New Roman"/>
                      <w:color w:val="000000" w:themeColor="text1"/>
                      <w:sz w:val="21"/>
                      <w:szCs w:val="21"/>
                      <w:highlight w:val="none"/>
                      <w:lang w:val="en-US" w:eastAsia="zh-CN"/>
                    </w:rPr>
                    <w:t>废</w:t>
                  </w:r>
                  <w:r>
                    <w:rPr>
                      <w:rFonts w:hint="eastAsia" w:ascii="Times New Roman" w:hAnsi="Times New Roman" w:eastAsia="宋体" w:cs="Times New Roman"/>
                      <w:color w:val="000000" w:themeColor="text1"/>
                      <w:sz w:val="21"/>
                      <w:szCs w:val="21"/>
                      <w:highlight w:val="none"/>
                      <w:lang w:val="en-US" w:eastAsia="zh-CN"/>
                    </w:rPr>
                    <w:t>包装桶</w:t>
                  </w:r>
                </w:p>
              </w:tc>
              <w:tc>
                <w:tcPr>
                  <w:tcW w:w="1484" w:type="pct"/>
                  <w:vMerge w:val="restart"/>
                  <w:tcBorders>
                    <w:tl2br w:val="nil"/>
                    <w:tr2bl w:val="nil"/>
                  </w:tcBorders>
                  <w:noWrap/>
                  <w:vAlign w:val="center"/>
                </w:tcPr>
                <w:p w14:paraId="6C3A9730">
                  <w:pPr>
                    <w:jc w:val="center"/>
                    <w:rPr>
                      <w:rFonts w:hint="eastAsia"/>
                    </w:rPr>
                  </w:pPr>
                  <w:r>
                    <w:rPr>
                      <w:rFonts w:hint="eastAsia" w:ascii="Times New Roman" w:hAnsi="Times New Roman" w:eastAsia="宋体" w:cs="Times New Roman"/>
                      <w:color w:val="000000" w:themeColor="text1"/>
                      <w:sz w:val="21"/>
                      <w:szCs w:val="21"/>
                      <w:highlight w:val="none"/>
                      <w:lang w:val="en-US" w:eastAsia="zh-CN"/>
                    </w:rPr>
                    <w:t>分类暂存于危废贮存库后交由有资质单位处置</w:t>
                  </w:r>
                </w:p>
              </w:tc>
              <w:tc>
                <w:tcPr>
                  <w:tcW w:w="1933" w:type="pct"/>
                  <w:vMerge w:val="restart"/>
                  <w:tcBorders>
                    <w:tl2br w:val="nil"/>
                    <w:tr2bl w:val="nil"/>
                  </w:tcBorders>
                  <w:noWrap/>
                  <w:vAlign w:val="center"/>
                </w:tcPr>
                <w:p w14:paraId="189D05AE">
                  <w:pPr>
                    <w:jc w:val="center"/>
                    <w:rPr>
                      <w:rFonts w:hint="eastAsia"/>
                    </w:rPr>
                  </w:pPr>
                  <w:r>
                    <w:rPr>
                      <w:rFonts w:hint="default" w:ascii="Times New Roman" w:hAnsi="Times New Roman" w:cs="Times New Roman"/>
                      <w:color w:val="000000" w:themeColor="text1"/>
                      <w:highlight w:val="none"/>
                      <w:lang w:val="en-US" w:eastAsia="zh-CN"/>
                    </w:rPr>
                    <w:t>危险废物贮存执行《危险废物贮存污染控制标准》（GB18597-20</w:t>
                  </w:r>
                  <w:r>
                    <w:rPr>
                      <w:rFonts w:hint="eastAsia" w:ascii="Times New Roman" w:hAnsi="Times New Roman" w:cs="Times New Roman"/>
                      <w:color w:val="000000" w:themeColor="text1"/>
                      <w:highlight w:val="none"/>
                      <w:lang w:val="en-US" w:eastAsia="zh-CN"/>
                    </w:rPr>
                    <w:t>23</w:t>
                  </w:r>
                  <w:r>
                    <w:rPr>
                      <w:rFonts w:hint="default" w:ascii="Times New Roman" w:hAnsi="Times New Roman" w:cs="Times New Roman"/>
                      <w:color w:val="000000" w:themeColor="text1"/>
                      <w:highlight w:val="none"/>
                      <w:lang w:val="en-US" w:eastAsia="zh-CN"/>
                    </w:rPr>
                    <w:t>）</w:t>
                  </w:r>
                </w:p>
              </w:tc>
              <w:tc>
                <w:tcPr>
                  <w:tcW w:w="300" w:type="pct"/>
                  <w:vMerge w:val="continue"/>
                  <w:tcBorders>
                    <w:tl2br w:val="nil"/>
                    <w:tr2bl w:val="nil"/>
                  </w:tcBorders>
                  <w:noWrap/>
                  <w:vAlign w:val="center"/>
                </w:tcPr>
                <w:p w14:paraId="2EB1A325">
                  <w:pPr>
                    <w:jc w:val="center"/>
                  </w:pPr>
                </w:p>
              </w:tc>
            </w:tr>
            <w:tr w14:paraId="059CA5D0">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67" w:hRule="atLeast"/>
                <w:jc w:val="center"/>
              </w:trPr>
              <w:tc>
                <w:tcPr>
                  <w:tcW w:w="264" w:type="pct"/>
                  <w:vMerge w:val="continue"/>
                  <w:tcBorders>
                    <w:tl2br w:val="nil"/>
                    <w:tr2bl w:val="nil"/>
                  </w:tcBorders>
                  <w:noWrap/>
                  <w:vAlign w:val="center"/>
                </w:tcPr>
                <w:p w14:paraId="499D5D82">
                  <w:pPr>
                    <w:jc w:val="center"/>
                  </w:pPr>
                </w:p>
              </w:tc>
              <w:tc>
                <w:tcPr>
                  <w:tcW w:w="1017" w:type="pct"/>
                  <w:tcBorders>
                    <w:tl2br w:val="nil"/>
                    <w:tr2bl w:val="nil"/>
                  </w:tcBorders>
                  <w:noWrap/>
                  <w:vAlign w:val="center"/>
                </w:tcPr>
                <w:p w14:paraId="271F0DBB">
                  <w:pPr>
                    <w:jc w:val="center"/>
                    <w:rPr>
                      <w:rFonts w:hint="eastAsia"/>
                    </w:rPr>
                  </w:pPr>
                  <w:r>
                    <w:rPr>
                      <w:rFonts w:hint="default" w:ascii="Times New Roman" w:hAnsi="Times New Roman" w:eastAsia="宋体" w:cs="Times New Roman"/>
                      <w:color w:val="000000" w:themeColor="text1"/>
                      <w:sz w:val="21"/>
                      <w:szCs w:val="21"/>
                      <w:highlight w:val="none"/>
                      <w:lang w:val="en-US" w:eastAsia="zh-CN"/>
                    </w:rPr>
                    <w:t>废机油</w:t>
                  </w:r>
                </w:p>
              </w:tc>
              <w:tc>
                <w:tcPr>
                  <w:tcW w:w="1484" w:type="pct"/>
                  <w:vMerge w:val="continue"/>
                  <w:tcBorders>
                    <w:tl2br w:val="nil"/>
                    <w:tr2bl w:val="nil"/>
                  </w:tcBorders>
                  <w:noWrap/>
                  <w:vAlign w:val="center"/>
                </w:tcPr>
                <w:p w14:paraId="1E97DAFB">
                  <w:pPr>
                    <w:jc w:val="center"/>
                    <w:rPr>
                      <w:rFonts w:hint="eastAsia"/>
                    </w:rPr>
                  </w:pPr>
                </w:p>
              </w:tc>
              <w:tc>
                <w:tcPr>
                  <w:tcW w:w="1933" w:type="pct"/>
                  <w:vMerge w:val="continue"/>
                  <w:tcBorders>
                    <w:tl2br w:val="nil"/>
                    <w:tr2bl w:val="nil"/>
                  </w:tcBorders>
                  <w:noWrap/>
                  <w:vAlign w:val="center"/>
                </w:tcPr>
                <w:p w14:paraId="34C83CF0">
                  <w:pPr>
                    <w:jc w:val="center"/>
                    <w:rPr>
                      <w:rFonts w:hint="eastAsia"/>
                    </w:rPr>
                  </w:pPr>
                </w:p>
              </w:tc>
              <w:tc>
                <w:tcPr>
                  <w:tcW w:w="300" w:type="pct"/>
                  <w:vMerge w:val="continue"/>
                  <w:tcBorders>
                    <w:tl2br w:val="nil"/>
                    <w:tr2bl w:val="nil"/>
                  </w:tcBorders>
                  <w:noWrap/>
                  <w:vAlign w:val="center"/>
                </w:tcPr>
                <w:p w14:paraId="465638F4">
                  <w:pPr>
                    <w:jc w:val="center"/>
                  </w:pPr>
                </w:p>
              </w:tc>
            </w:tr>
            <w:tr w14:paraId="1E9CB144">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PrEx>
              <w:trPr>
                <w:trHeight w:val="267" w:hRule="atLeast"/>
                <w:jc w:val="center"/>
              </w:trPr>
              <w:tc>
                <w:tcPr>
                  <w:tcW w:w="264" w:type="pct"/>
                  <w:vMerge w:val="continue"/>
                  <w:tcBorders>
                    <w:tl2br w:val="nil"/>
                    <w:tr2bl w:val="nil"/>
                  </w:tcBorders>
                  <w:noWrap/>
                  <w:vAlign w:val="center"/>
                </w:tcPr>
                <w:p w14:paraId="72BE3B04">
                  <w:pPr>
                    <w:jc w:val="center"/>
                  </w:pPr>
                </w:p>
              </w:tc>
              <w:tc>
                <w:tcPr>
                  <w:tcW w:w="1017" w:type="pct"/>
                  <w:tcBorders>
                    <w:tl2br w:val="nil"/>
                    <w:tr2bl w:val="nil"/>
                  </w:tcBorders>
                  <w:noWrap/>
                  <w:vAlign w:val="center"/>
                </w:tcPr>
                <w:p w14:paraId="2CF4B4F9">
                  <w:pPr>
                    <w:jc w:val="center"/>
                    <w:rPr>
                      <w:rFonts w:hint="eastAsia"/>
                    </w:rPr>
                  </w:pPr>
                  <w:r>
                    <w:rPr>
                      <w:rFonts w:hint="eastAsia" w:ascii="Times New Roman" w:hAnsi="Times New Roman" w:eastAsia="宋体" w:cs="Times New Roman"/>
                      <w:color w:val="000000" w:themeColor="text1"/>
                      <w:sz w:val="21"/>
                      <w:szCs w:val="21"/>
                      <w:highlight w:val="none"/>
                      <w:lang w:val="en-US" w:eastAsia="zh-CN"/>
                    </w:rPr>
                    <w:t>废活性炭</w:t>
                  </w:r>
                </w:p>
              </w:tc>
              <w:tc>
                <w:tcPr>
                  <w:tcW w:w="1484" w:type="pct"/>
                  <w:vMerge w:val="continue"/>
                  <w:tcBorders>
                    <w:tl2br w:val="nil"/>
                    <w:tr2bl w:val="nil"/>
                  </w:tcBorders>
                  <w:noWrap/>
                  <w:vAlign w:val="center"/>
                </w:tcPr>
                <w:p w14:paraId="12F0818C">
                  <w:pPr>
                    <w:jc w:val="center"/>
                    <w:rPr>
                      <w:rFonts w:hint="eastAsia"/>
                    </w:rPr>
                  </w:pPr>
                </w:p>
              </w:tc>
              <w:tc>
                <w:tcPr>
                  <w:tcW w:w="1933" w:type="pct"/>
                  <w:vMerge w:val="continue"/>
                  <w:tcBorders>
                    <w:tl2br w:val="nil"/>
                    <w:tr2bl w:val="nil"/>
                  </w:tcBorders>
                  <w:noWrap/>
                  <w:vAlign w:val="center"/>
                </w:tcPr>
                <w:p w14:paraId="1D09EA6A">
                  <w:pPr>
                    <w:jc w:val="center"/>
                    <w:rPr>
                      <w:rFonts w:hint="eastAsia"/>
                    </w:rPr>
                  </w:pPr>
                </w:p>
              </w:tc>
              <w:tc>
                <w:tcPr>
                  <w:tcW w:w="300" w:type="pct"/>
                  <w:vMerge w:val="continue"/>
                  <w:tcBorders>
                    <w:tl2br w:val="nil"/>
                    <w:tr2bl w:val="nil"/>
                  </w:tcBorders>
                  <w:noWrap/>
                  <w:vAlign w:val="center"/>
                </w:tcPr>
                <w:p w14:paraId="4E94BF74">
                  <w:pPr>
                    <w:jc w:val="center"/>
                  </w:pPr>
                </w:p>
              </w:tc>
            </w:tr>
          </w:tbl>
          <w:p w14:paraId="7784DB3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lang w:val="en-US" w:eastAsia="zh-CN"/>
              </w:rPr>
              <w:t>本项目总投资9410万元，环保投资合计112万元，占项目总投资的1.19</w:t>
            </w:r>
            <w:r>
              <w:rPr>
                <w:rFonts w:hint="default" w:ascii="Times New Roman" w:hAnsi="Times New Roman" w:eastAsia="宋体" w:cs="Times New Roman"/>
                <w:snapToGrid w:val="0"/>
                <w:kern w:val="0"/>
                <w:sz w:val="24"/>
                <w:szCs w:val="24"/>
              </w:rPr>
              <w:t>%</w:t>
            </w:r>
            <w:r>
              <w:rPr>
                <w:rFonts w:hint="eastAsia" w:ascii="Times New Roman" w:hAnsi="Times New Roman" w:eastAsia="宋体" w:cs="Times New Roman"/>
                <w:snapToGrid w:val="0"/>
                <w:kern w:val="0"/>
                <w:sz w:val="24"/>
                <w:szCs w:val="24"/>
                <w:lang w:eastAsia="zh-CN"/>
              </w:rPr>
              <w:t>，</w:t>
            </w:r>
            <w:r>
              <w:rPr>
                <w:rFonts w:hint="eastAsia" w:ascii="Times New Roman" w:hAnsi="Times New Roman" w:eastAsia="宋体" w:cs="Times New Roman"/>
                <w:snapToGrid w:val="0"/>
                <w:kern w:val="0"/>
                <w:sz w:val="24"/>
                <w:szCs w:val="24"/>
                <w:lang w:val="en-US" w:eastAsia="zh-CN"/>
              </w:rPr>
              <w:t>环保投资情况见下表。</w:t>
            </w:r>
          </w:p>
          <w:p w14:paraId="2B2C02FD">
            <w:pPr>
              <w:keepNext w:val="0"/>
              <w:keepLines w:val="0"/>
              <w:pageBreakBefore w:val="0"/>
              <w:suppressLineNumbers w:val="0"/>
              <w:kinsoku/>
              <w:wordWrap/>
              <w:overflowPunct/>
              <w:topLinePunct/>
              <w:autoSpaceDE/>
              <w:autoSpaceDN/>
              <w:bidi w:val="0"/>
              <w:adjustRightInd/>
              <w:snapToGrid/>
              <w:spacing w:beforeAutospacing="0" w:afterAutospacing="0" w:line="240" w:lineRule="auto"/>
              <w:ind w:left="0" w:right="0" w:firstLine="0" w:firstLineChars="0"/>
              <w:jc w:val="center"/>
              <w:textAlignment w:val="baseline"/>
              <w:rPr>
                <w:rFonts w:hint="default"/>
                <w:b/>
                <w:bCs/>
                <w:color w:val="auto"/>
                <w:sz w:val="21"/>
                <w:szCs w:val="21"/>
              </w:rPr>
            </w:pPr>
            <w:r>
              <w:rPr>
                <w:rFonts w:hint="default"/>
                <w:b/>
                <w:bCs/>
                <w:color w:val="auto"/>
                <w:sz w:val="21"/>
                <w:szCs w:val="21"/>
              </w:rPr>
              <w:t>表</w:t>
            </w:r>
            <w:r>
              <w:rPr>
                <w:rFonts w:hint="eastAsia"/>
                <w:b/>
                <w:bCs/>
                <w:color w:val="auto"/>
                <w:sz w:val="21"/>
                <w:szCs w:val="21"/>
                <w:lang w:val="en-US" w:eastAsia="zh-CN"/>
              </w:rPr>
              <w:t xml:space="preserve">5-3  </w:t>
            </w:r>
            <w:r>
              <w:rPr>
                <w:rFonts w:hint="default"/>
                <w:b/>
                <w:bCs/>
                <w:color w:val="auto"/>
                <w:sz w:val="21"/>
                <w:szCs w:val="21"/>
              </w:rPr>
              <w:t xml:space="preserve"> 环保</w:t>
            </w:r>
            <w:r>
              <w:rPr>
                <w:rFonts w:hint="eastAsia"/>
                <w:b/>
                <w:bCs/>
                <w:color w:val="auto"/>
                <w:sz w:val="21"/>
                <w:szCs w:val="21"/>
                <w:lang w:val="en-US" w:eastAsia="zh-CN"/>
              </w:rPr>
              <w:t>投资</w:t>
            </w:r>
            <w:r>
              <w:rPr>
                <w:rFonts w:hint="default"/>
                <w:b/>
                <w:bCs/>
                <w:color w:val="auto"/>
                <w:sz w:val="21"/>
                <w:szCs w:val="21"/>
              </w:rPr>
              <w:t>一览表</w:t>
            </w:r>
          </w:p>
          <w:tbl>
            <w:tblPr>
              <w:tblStyle w:val="24"/>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61"/>
              <w:gridCol w:w="1360"/>
              <w:gridCol w:w="1102"/>
              <w:gridCol w:w="1349"/>
              <w:gridCol w:w="811"/>
              <w:gridCol w:w="2169"/>
              <w:gridCol w:w="695"/>
            </w:tblGrid>
            <w:tr w14:paraId="29FFF5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0" w:type="pct"/>
                  <w:tcBorders>
                    <w:tl2br w:val="nil"/>
                    <w:tr2bl w:val="nil"/>
                  </w:tcBorders>
                  <w:noWrap w:val="0"/>
                  <w:vAlign w:val="center"/>
                </w:tcPr>
                <w:p w14:paraId="5158D891">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color w:val="000000"/>
                      <w:kern w:val="0"/>
                      <w:sz w:val="21"/>
                      <w:szCs w:val="21"/>
                      <w:highlight w:val="none"/>
                    </w:rPr>
                  </w:pPr>
                  <w:r>
                    <w:rPr>
                      <w:rFonts w:hint="default" w:ascii="Times New Roman" w:hAnsi="Times New Roman" w:cs="Times New Roman"/>
                      <w:b/>
                      <w:color w:val="000000"/>
                      <w:kern w:val="0"/>
                      <w:sz w:val="21"/>
                      <w:szCs w:val="21"/>
                      <w:highlight w:val="none"/>
                      <w:lang w:bidi="ar"/>
                    </w:rPr>
                    <w:t>类别</w:t>
                  </w:r>
                </w:p>
              </w:tc>
              <w:tc>
                <w:tcPr>
                  <w:tcW w:w="855" w:type="pct"/>
                  <w:tcBorders>
                    <w:tl2br w:val="nil"/>
                    <w:tr2bl w:val="nil"/>
                  </w:tcBorders>
                  <w:noWrap w:val="0"/>
                  <w:vAlign w:val="center"/>
                </w:tcPr>
                <w:p w14:paraId="61004CF3">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color w:val="000000"/>
                      <w:kern w:val="0"/>
                      <w:sz w:val="21"/>
                      <w:szCs w:val="21"/>
                      <w:highlight w:val="none"/>
                    </w:rPr>
                  </w:pPr>
                  <w:r>
                    <w:rPr>
                      <w:rFonts w:hint="default" w:ascii="Times New Roman" w:hAnsi="Times New Roman" w:cs="Times New Roman"/>
                      <w:b/>
                      <w:color w:val="000000"/>
                      <w:kern w:val="0"/>
                      <w:sz w:val="21"/>
                      <w:szCs w:val="21"/>
                      <w:highlight w:val="none"/>
                      <w:lang w:bidi="ar"/>
                    </w:rPr>
                    <w:t>污染源</w:t>
                  </w:r>
                </w:p>
              </w:tc>
              <w:tc>
                <w:tcPr>
                  <w:tcW w:w="693" w:type="pct"/>
                  <w:tcBorders>
                    <w:tl2br w:val="nil"/>
                    <w:tr2bl w:val="nil"/>
                  </w:tcBorders>
                  <w:noWrap w:val="0"/>
                  <w:vAlign w:val="center"/>
                </w:tcPr>
                <w:p w14:paraId="163E747C">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color w:val="000000"/>
                      <w:kern w:val="0"/>
                      <w:sz w:val="21"/>
                      <w:szCs w:val="21"/>
                      <w:highlight w:val="none"/>
                    </w:rPr>
                  </w:pPr>
                  <w:r>
                    <w:rPr>
                      <w:rFonts w:hint="default" w:ascii="Times New Roman" w:hAnsi="Times New Roman" w:cs="Times New Roman"/>
                      <w:b/>
                      <w:color w:val="000000"/>
                      <w:kern w:val="0"/>
                      <w:sz w:val="21"/>
                      <w:szCs w:val="21"/>
                      <w:highlight w:val="none"/>
                      <w:lang w:bidi="ar"/>
                    </w:rPr>
                    <w:t>污染物</w:t>
                  </w:r>
                </w:p>
              </w:tc>
              <w:tc>
                <w:tcPr>
                  <w:tcW w:w="848" w:type="pct"/>
                  <w:tcBorders>
                    <w:tl2br w:val="nil"/>
                    <w:tr2bl w:val="nil"/>
                  </w:tcBorders>
                  <w:noWrap w:val="0"/>
                  <w:vAlign w:val="center"/>
                </w:tcPr>
                <w:p w14:paraId="2946BAA0">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color w:val="000000"/>
                      <w:kern w:val="0"/>
                      <w:sz w:val="21"/>
                      <w:szCs w:val="21"/>
                      <w:highlight w:val="none"/>
                    </w:rPr>
                  </w:pPr>
                  <w:r>
                    <w:rPr>
                      <w:rFonts w:hint="default" w:ascii="Times New Roman" w:hAnsi="Times New Roman" w:cs="Times New Roman"/>
                      <w:b/>
                      <w:color w:val="000000"/>
                      <w:kern w:val="0"/>
                      <w:sz w:val="21"/>
                      <w:szCs w:val="21"/>
                      <w:highlight w:val="none"/>
                      <w:lang w:bidi="ar"/>
                    </w:rPr>
                    <w:t>治理措施</w:t>
                  </w:r>
                </w:p>
              </w:tc>
              <w:tc>
                <w:tcPr>
                  <w:tcW w:w="510" w:type="pct"/>
                  <w:tcBorders>
                    <w:tl2br w:val="nil"/>
                    <w:tr2bl w:val="nil"/>
                  </w:tcBorders>
                  <w:noWrap w:val="0"/>
                  <w:vAlign w:val="center"/>
                </w:tcPr>
                <w:p w14:paraId="3BC1E97E">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color w:val="000000"/>
                      <w:kern w:val="0"/>
                      <w:sz w:val="21"/>
                      <w:szCs w:val="21"/>
                      <w:highlight w:val="none"/>
                      <w:lang w:bidi="ar"/>
                    </w:rPr>
                  </w:pPr>
                  <w:r>
                    <w:rPr>
                      <w:rFonts w:hint="default" w:ascii="Times New Roman" w:hAnsi="Times New Roman" w:cs="Times New Roman"/>
                      <w:b/>
                      <w:color w:val="000000"/>
                      <w:kern w:val="0"/>
                      <w:sz w:val="21"/>
                      <w:szCs w:val="21"/>
                      <w:highlight w:val="none"/>
                      <w:lang w:bidi="ar"/>
                    </w:rPr>
                    <w:t>环保投资（万元）</w:t>
                  </w:r>
                </w:p>
              </w:tc>
              <w:tc>
                <w:tcPr>
                  <w:tcW w:w="1364" w:type="pct"/>
                  <w:tcBorders>
                    <w:tl2br w:val="nil"/>
                    <w:tr2bl w:val="nil"/>
                  </w:tcBorders>
                  <w:noWrap w:val="0"/>
                  <w:vAlign w:val="center"/>
                </w:tcPr>
                <w:p w14:paraId="5407C099">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color w:val="000000"/>
                      <w:kern w:val="0"/>
                      <w:sz w:val="21"/>
                      <w:szCs w:val="21"/>
                      <w:highlight w:val="none"/>
                    </w:rPr>
                  </w:pPr>
                  <w:r>
                    <w:rPr>
                      <w:rFonts w:hint="default" w:ascii="Times New Roman" w:hAnsi="Times New Roman" w:cs="Times New Roman"/>
                      <w:b/>
                      <w:color w:val="000000"/>
                      <w:kern w:val="0"/>
                      <w:sz w:val="21"/>
                      <w:szCs w:val="21"/>
                      <w:highlight w:val="none"/>
                      <w:lang w:bidi="ar"/>
                    </w:rPr>
                    <w:t>处理效果、执行标准或拟达要求</w:t>
                  </w:r>
                </w:p>
              </w:tc>
              <w:tc>
                <w:tcPr>
                  <w:tcW w:w="437" w:type="pct"/>
                  <w:tcBorders>
                    <w:tl2br w:val="nil"/>
                    <w:tr2bl w:val="nil"/>
                  </w:tcBorders>
                  <w:noWrap w:val="0"/>
                  <w:vAlign w:val="center"/>
                </w:tcPr>
                <w:p w14:paraId="3A82EFC7">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color w:val="000000"/>
                      <w:kern w:val="0"/>
                      <w:sz w:val="21"/>
                      <w:szCs w:val="21"/>
                      <w:highlight w:val="none"/>
                    </w:rPr>
                  </w:pPr>
                  <w:r>
                    <w:rPr>
                      <w:rFonts w:hint="default" w:ascii="Times New Roman" w:hAnsi="Times New Roman" w:cs="Times New Roman"/>
                      <w:b/>
                      <w:color w:val="000000"/>
                      <w:kern w:val="0"/>
                      <w:sz w:val="21"/>
                      <w:szCs w:val="21"/>
                      <w:highlight w:val="none"/>
                      <w:lang w:bidi="ar"/>
                    </w:rPr>
                    <w:t>完成时间</w:t>
                  </w:r>
                </w:p>
              </w:tc>
            </w:tr>
            <w:tr w14:paraId="42BE10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0" w:type="pct"/>
                  <w:vMerge w:val="restart"/>
                  <w:tcBorders>
                    <w:tl2br w:val="nil"/>
                    <w:tr2bl w:val="nil"/>
                  </w:tcBorders>
                  <w:noWrap w:val="0"/>
                  <w:vAlign w:val="center"/>
                </w:tcPr>
                <w:p w14:paraId="229F728D">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Times New Roman"/>
                      <w:color w:val="000000"/>
                      <w:kern w:val="0"/>
                      <w:sz w:val="21"/>
                      <w:szCs w:val="21"/>
                      <w:highlight w:val="none"/>
                      <w:lang w:val="en-US" w:eastAsia="zh-CN" w:bidi="ar"/>
                    </w:rPr>
                  </w:pPr>
                  <w:r>
                    <w:rPr>
                      <w:rFonts w:hint="eastAsia" w:ascii="Times New Roman" w:hAnsi="Times New Roman" w:cs="Times New Roman"/>
                      <w:color w:val="000000"/>
                      <w:kern w:val="0"/>
                      <w:sz w:val="21"/>
                      <w:szCs w:val="21"/>
                      <w:highlight w:val="none"/>
                      <w:lang w:val="en-US" w:eastAsia="zh-CN" w:bidi="ar"/>
                    </w:rPr>
                    <w:t>废气</w:t>
                  </w:r>
                </w:p>
              </w:tc>
              <w:tc>
                <w:tcPr>
                  <w:tcW w:w="855" w:type="pct"/>
                  <w:tcBorders>
                    <w:tl2br w:val="nil"/>
                    <w:tr2bl w:val="nil"/>
                  </w:tcBorders>
                  <w:noWrap w:val="0"/>
                  <w:vAlign w:val="center"/>
                </w:tcPr>
                <w:p w14:paraId="44E278D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筒仓废气（DA001</w:t>
                  </w:r>
                  <w:r>
                    <w:rPr>
                      <w:rFonts w:hint="eastAsia" w:cs="Times New Roman"/>
                      <w:color w:val="000000"/>
                      <w:sz w:val="21"/>
                      <w:szCs w:val="21"/>
                      <w:highlight w:val="none"/>
                      <w:lang w:val="en-US" w:eastAsia="zh-CN"/>
                    </w:rPr>
                    <w:t>-</w:t>
                  </w:r>
                  <w:r>
                    <w:rPr>
                      <w:rFonts w:hint="eastAsia"/>
                      <w:sz w:val="21"/>
                      <w:szCs w:val="21"/>
                    </w:rPr>
                    <w:t>DA00</w:t>
                  </w:r>
                  <w:r>
                    <w:rPr>
                      <w:rFonts w:hint="eastAsia"/>
                      <w:sz w:val="21"/>
                      <w:szCs w:val="21"/>
                      <w:lang w:val="en-US" w:eastAsia="zh-CN"/>
                    </w:rPr>
                    <w:t>6</w:t>
                  </w:r>
                  <w:r>
                    <w:rPr>
                      <w:rFonts w:hint="eastAsia" w:ascii="Times New Roman" w:hAnsi="Times New Roman" w:cs="Times New Roman"/>
                      <w:color w:val="000000"/>
                      <w:sz w:val="21"/>
                      <w:szCs w:val="21"/>
                      <w:highlight w:val="none"/>
                      <w:lang w:val="en-US" w:eastAsia="zh-CN"/>
                    </w:rPr>
                    <w:t>）</w:t>
                  </w:r>
                </w:p>
              </w:tc>
              <w:tc>
                <w:tcPr>
                  <w:tcW w:w="693" w:type="pct"/>
                  <w:tcBorders>
                    <w:tl2br w:val="nil"/>
                    <w:tr2bl w:val="nil"/>
                  </w:tcBorders>
                  <w:noWrap w:val="0"/>
                  <w:vAlign w:val="center"/>
                </w:tcPr>
                <w:p w14:paraId="257E688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颗粒物</w:t>
                  </w:r>
                </w:p>
              </w:tc>
              <w:tc>
                <w:tcPr>
                  <w:tcW w:w="848" w:type="pct"/>
                  <w:tcBorders>
                    <w:tl2br w:val="nil"/>
                    <w:tr2bl w:val="nil"/>
                  </w:tcBorders>
                  <w:noWrap w:val="0"/>
                  <w:vAlign w:val="center"/>
                </w:tcPr>
                <w:p w14:paraId="131BA06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自带布袋除尘器+高空排放</w:t>
                  </w:r>
                </w:p>
              </w:tc>
              <w:tc>
                <w:tcPr>
                  <w:tcW w:w="510" w:type="pct"/>
                  <w:tcBorders>
                    <w:tl2br w:val="nil"/>
                    <w:tr2bl w:val="nil"/>
                  </w:tcBorders>
                  <w:noWrap w:val="0"/>
                  <w:vAlign w:val="center"/>
                </w:tcPr>
                <w:p w14:paraId="067DAC4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50</w:t>
                  </w:r>
                </w:p>
              </w:tc>
              <w:tc>
                <w:tcPr>
                  <w:tcW w:w="1364" w:type="pct"/>
                  <w:vMerge w:val="restart"/>
                  <w:tcBorders>
                    <w:tl2br w:val="nil"/>
                    <w:tr2bl w:val="nil"/>
                  </w:tcBorders>
                  <w:noWrap w:val="0"/>
                  <w:vAlign w:val="center"/>
                </w:tcPr>
                <w:p w14:paraId="622E1122">
                  <w:pPr>
                    <w:pStyle w:val="8"/>
                    <w:bidi w:val="0"/>
                    <w:ind w:left="0" w:leftChars="0" w:firstLine="0" w:firstLineChars="0"/>
                    <w:rPr>
                      <w:rFonts w:hint="eastAsia" w:ascii="Times New Roman" w:hAnsi="Times New Roman" w:cs="Times New Roman"/>
                      <w:color w:val="000000"/>
                      <w:sz w:val="21"/>
                      <w:szCs w:val="21"/>
                      <w:highlight w:val="none"/>
                      <w:lang w:val="en-US" w:eastAsia="zh-CN"/>
                    </w:rPr>
                  </w:pPr>
                  <w:r>
                    <w:rPr>
                      <w:color w:val="auto"/>
                      <w:sz w:val="21"/>
                      <w:szCs w:val="21"/>
                    </w:rPr>
                    <w:t>《</w:t>
                  </w:r>
                  <w:r>
                    <w:rPr>
                      <w:rFonts w:hint="eastAsia"/>
                      <w:color w:val="auto"/>
                      <w:sz w:val="21"/>
                      <w:szCs w:val="21"/>
                    </w:rPr>
                    <w:t>水泥工业</w:t>
                  </w:r>
                  <w:r>
                    <w:rPr>
                      <w:rFonts w:hint="eastAsia"/>
                      <w:color w:val="auto"/>
                      <w:sz w:val="21"/>
                      <w:szCs w:val="21"/>
                      <w:lang w:val="en-US" w:eastAsia="zh-CN"/>
                    </w:rPr>
                    <w:t>大气</w:t>
                  </w:r>
                  <w:r>
                    <w:rPr>
                      <w:color w:val="auto"/>
                      <w:sz w:val="21"/>
                      <w:szCs w:val="21"/>
                    </w:rPr>
                    <w:t>污染物排放标准》</w:t>
                  </w:r>
                  <w:r>
                    <w:rPr>
                      <w:rFonts w:ascii="Times New Roman" w:hAnsi="Times New Roman" w:eastAsia="宋体" w:cs="Times New Roman"/>
                      <w:color w:val="auto"/>
                      <w:kern w:val="0"/>
                      <w:sz w:val="21"/>
                      <w:szCs w:val="21"/>
                    </w:rPr>
                    <w:t>（</w:t>
                  </w:r>
                  <w:r>
                    <w:rPr>
                      <w:rFonts w:hint="eastAsia"/>
                      <w:color w:val="auto"/>
                      <w:sz w:val="21"/>
                      <w:szCs w:val="21"/>
                    </w:rPr>
                    <w:t>GB4915</w:t>
                  </w:r>
                  <w:r>
                    <w:rPr>
                      <w:color w:val="auto"/>
                      <w:sz w:val="21"/>
                      <w:szCs w:val="21"/>
                    </w:rPr>
                    <w:t>-2013</w:t>
                  </w:r>
                  <w:r>
                    <w:rPr>
                      <w:rFonts w:ascii="Times New Roman" w:hAnsi="Times New Roman" w:eastAsia="宋体" w:cs="Times New Roman"/>
                      <w:color w:val="auto"/>
                      <w:kern w:val="0"/>
                      <w:sz w:val="21"/>
                      <w:szCs w:val="21"/>
                    </w:rPr>
                    <w:t>）</w:t>
                  </w:r>
                  <w:r>
                    <w:rPr>
                      <w:rFonts w:hint="eastAsia" w:cs="Times New Roman"/>
                      <w:color w:val="auto"/>
                      <w:kern w:val="0"/>
                      <w:sz w:val="21"/>
                      <w:szCs w:val="21"/>
                      <w:lang w:val="en-US" w:eastAsia="zh-CN"/>
                    </w:rPr>
                    <w:t>表1</w:t>
                  </w:r>
                  <w:r>
                    <w:rPr>
                      <w:rFonts w:hint="eastAsia" w:ascii="宋体" w:hAnsi="宋体" w:eastAsia="宋体" w:cs="宋体"/>
                      <w:color w:val="000000"/>
                      <w:kern w:val="0"/>
                      <w:sz w:val="21"/>
                      <w:szCs w:val="21"/>
                      <w:lang w:val="en-US" w:eastAsia="zh-CN" w:bidi="ar"/>
                    </w:rPr>
                    <w:t>大气污染物排放限值</w:t>
                  </w:r>
                </w:p>
              </w:tc>
              <w:tc>
                <w:tcPr>
                  <w:tcW w:w="437" w:type="pct"/>
                  <w:vMerge w:val="restart"/>
                  <w:tcBorders>
                    <w:tl2br w:val="nil"/>
                    <w:tr2bl w:val="nil"/>
                  </w:tcBorders>
                  <w:noWrap w:val="0"/>
                  <w:vAlign w:val="center"/>
                </w:tcPr>
                <w:p w14:paraId="20125C7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kern w:val="0"/>
                      <w:sz w:val="21"/>
                      <w:szCs w:val="21"/>
                      <w:highlight w:val="none"/>
                    </w:rPr>
                  </w:pPr>
                  <w:r>
                    <w:rPr>
                      <w:rFonts w:ascii="Times New Roman" w:hAnsi="Times New Roman"/>
                      <w:color w:val="000000"/>
                      <w:kern w:val="0"/>
                      <w:sz w:val="21"/>
                      <w:szCs w:val="21"/>
                      <w:highlight w:val="none"/>
                      <w:lang w:bidi="ar"/>
                    </w:rPr>
                    <w:t>与建设项目主体工程同时设计、同时开工同时建成运行</w:t>
                  </w:r>
                </w:p>
              </w:tc>
            </w:tr>
            <w:tr w14:paraId="589141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0" w:type="pct"/>
                  <w:vMerge w:val="continue"/>
                  <w:tcBorders>
                    <w:tl2br w:val="nil"/>
                    <w:tr2bl w:val="nil"/>
                  </w:tcBorders>
                  <w:noWrap w:val="0"/>
                  <w:vAlign w:val="center"/>
                </w:tcPr>
                <w:p w14:paraId="0F341FE4">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cs="Times New Roman"/>
                      <w:color w:val="000000"/>
                      <w:kern w:val="0"/>
                      <w:sz w:val="21"/>
                      <w:szCs w:val="21"/>
                      <w:highlight w:val="none"/>
                      <w:lang w:val="en-US" w:eastAsia="zh-CN" w:bidi="ar"/>
                    </w:rPr>
                  </w:pPr>
                </w:p>
              </w:tc>
              <w:tc>
                <w:tcPr>
                  <w:tcW w:w="855" w:type="pct"/>
                  <w:tcBorders>
                    <w:tl2br w:val="nil"/>
                    <w:tr2bl w:val="nil"/>
                  </w:tcBorders>
                  <w:noWrap w:val="0"/>
                  <w:vAlign w:val="center"/>
                </w:tcPr>
                <w:p w14:paraId="47C3FF1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highlight w:val="none"/>
                      <w:lang w:val="en-US" w:eastAsia="zh-CN"/>
                    </w:rPr>
                  </w:pPr>
                  <w:r>
                    <w:rPr>
                      <w:rFonts w:hint="eastAsia"/>
                      <w:sz w:val="21"/>
                      <w:szCs w:val="21"/>
                      <w:lang w:val="en-US" w:eastAsia="zh-CN"/>
                    </w:rPr>
                    <w:t>底板清理</w:t>
                  </w:r>
                  <w:r>
                    <w:rPr>
                      <w:rFonts w:hint="eastAsia" w:ascii="Times New Roman" w:hAnsi="Times New Roman" w:cs="Times New Roman"/>
                      <w:color w:val="000000"/>
                      <w:sz w:val="21"/>
                      <w:szCs w:val="21"/>
                      <w:highlight w:val="none"/>
                      <w:lang w:val="en-US" w:eastAsia="zh-CN"/>
                    </w:rPr>
                    <w:t>废气（DA00</w:t>
                  </w:r>
                  <w:r>
                    <w:rPr>
                      <w:rFonts w:hint="eastAsia" w:cs="Times New Roman"/>
                      <w:color w:val="000000"/>
                      <w:sz w:val="21"/>
                      <w:szCs w:val="21"/>
                      <w:highlight w:val="none"/>
                      <w:lang w:val="en-US" w:eastAsia="zh-CN"/>
                    </w:rPr>
                    <w:t>7</w:t>
                  </w:r>
                  <w:r>
                    <w:rPr>
                      <w:rFonts w:hint="eastAsia" w:ascii="Times New Roman" w:hAnsi="Times New Roman" w:cs="Times New Roman"/>
                      <w:color w:val="000000"/>
                      <w:sz w:val="21"/>
                      <w:szCs w:val="21"/>
                      <w:highlight w:val="none"/>
                      <w:lang w:val="en-US" w:eastAsia="zh-CN"/>
                    </w:rPr>
                    <w:t>）</w:t>
                  </w:r>
                </w:p>
              </w:tc>
              <w:tc>
                <w:tcPr>
                  <w:tcW w:w="693" w:type="pct"/>
                  <w:tcBorders>
                    <w:tl2br w:val="nil"/>
                    <w:tr2bl w:val="nil"/>
                  </w:tcBorders>
                  <w:noWrap w:val="0"/>
                  <w:vAlign w:val="center"/>
                </w:tcPr>
                <w:p w14:paraId="54F5193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颗粒物</w:t>
                  </w:r>
                </w:p>
              </w:tc>
              <w:tc>
                <w:tcPr>
                  <w:tcW w:w="848" w:type="pct"/>
                  <w:tcBorders>
                    <w:tl2br w:val="nil"/>
                    <w:tr2bl w:val="nil"/>
                  </w:tcBorders>
                  <w:noWrap w:val="0"/>
                  <w:vAlign w:val="center"/>
                </w:tcPr>
                <w:p w14:paraId="3CB08C9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集气罩+布袋除尘器+15m高排气筒</w:t>
                  </w:r>
                </w:p>
              </w:tc>
              <w:tc>
                <w:tcPr>
                  <w:tcW w:w="510" w:type="pct"/>
                  <w:tcBorders>
                    <w:tl2br w:val="nil"/>
                    <w:tr2bl w:val="nil"/>
                  </w:tcBorders>
                  <w:noWrap w:val="0"/>
                  <w:vAlign w:val="center"/>
                </w:tcPr>
                <w:p w14:paraId="7FB43C7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highlight w:val="none"/>
                      <w:lang w:val="en-US" w:eastAsia="zh-CN"/>
                    </w:rPr>
                  </w:pPr>
                  <w:r>
                    <w:rPr>
                      <w:rFonts w:hint="eastAsia" w:cs="Times New Roman"/>
                      <w:color w:val="000000"/>
                      <w:sz w:val="21"/>
                      <w:szCs w:val="21"/>
                      <w:highlight w:val="none"/>
                      <w:lang w:val="en-US" w:eastAsia="zh-CN"/>
                    </w:rPr>
                    <w:t>20</w:t>
                  </w:r>
                </w:p>
              </w:tc>
              <w:tc>
                <w:tcPr>
                  <w:tcW w:w="1364" w:type="pct"/>
                  <w:vMerge w:val="continue"/>
                  <w:tcBorders>
                    <w:tl2br w:val="nil"/>
                    <w:tr2bl w:val="nil"/>
                  </w:tcBorders>
                  <w:noWrap w:val="0"/>
                  <w:vAlign w:val="center"/>
                </w:tcPr>
                <w:p w14:paraId="45F508CF">
                  <w:pPr>
                    <w:pStyle w:val="8"/>
                    <w:bidi w:val="0"/>
                    <w:ind w:left="0" w:leftChars="0" w:firstLine="0" w:firstLineChars="0"/>
                    <w:rPr>
                      <w:rFonts w:hint="default" w:ascii="Times New Roman" w:hAnsi="Times New Roman" w:cs="Times New Roman"/>
                      <w:color w:val="000000"/>
                      <w:sz w:val="21"/>
                      <w:szCs w:val="21"/>
                      <w:highlight w:val="none"/>
                      <w:lang w:val="en-US" w:eastAsia="zh-CN"/>
                    </w:rPr>
                  </w:pPr>
                </w:p>
              </w:tc>
              <w:tc>
                <w:tcPr>
                  <w:tcW w:w="437" w:type="pct"/>
                  <w:vMerge w:val="continue"/>
                  <w:tcBorders>
                    <w:tl2br w:val="nil"/>
                    <w:tr2bl w:val="nil"/>
                  </w:tcBorders>
                  <w:noWrap w:val="0"/>
                  <w:vAlign w:val="center"/>
                </w:tcPr>
                <w:p w14:paraId="406C3E8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000000"/>
                      <w:kern w:val="0"/>
                      <w:sz w:val="21"/>
                      <w:szCs w:val="21"/>
                      <w:highlight w:val="none"/>
                      <w:lang w:bidi="ar"/>
                    </w:rPr>
                  </w:pPr>
                </w:p>
              </w:tc>
            </w:tr>
            <w:tr w14:paraId="114C392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0" w:type="pct"/>
                  <w:vMerge w:val="continue"/>
                  <w:tcBorders>
                    <w:tl2br w:val="nil"/>
                    <w:tr2bl w:val="nil"/>
                  </w:tcBorders>
                  <w:noWrap w:val="0"/>
                  <w:vAlign w:val="center"/>
                </w:tcPr>
                <w:p w14:paraId="613AE048">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cs="Times New Roman"/>
                      <w:color w:val="000000"/>
                      <w:kern w:val="0"/>
                      <w:sz w:val="21"/>
                      <w:szCs w:val="21"/>
                      <w:highlight w:val="none"/>
                      <w:lang w:val="en-US" w:eastAsia="zh-CN" w:bidi="ar"/>
                    </w:rPr>
                  </w:pPr>
                </w:p>
              </w:tc>
              <w:tc>
                <w:tcPr>
                  <w:tcW w:w="855" w:type="pct"/>
                  <w:tcBorders>
                    <w:tl2br w:val="nil"/>
                    <w:tr2bl w:val="nil"/>
                  </w:tcBorders>
                  <w:noWrap w:val="0"/>
                  <w:vAlign w:val="center"/>
                </w:tcPr>
                <w:p w14:paraId="6E5F3251">
                  <w:pPr>
                    <w:keepNext w:val="0"/>
                    <w:keepLines w:val="0"/>
                    <w:pageBreakBefore w:val="0"/>
                    <w:kinsoku/>
                    <w:wordWrap/>
                    <w:topLinePunct w:val="0"/>
                    <w:autoSpaceDN/>
                    <w:bidi w:val="0"/>
                    <w:adjustRightInd/>
                    <w:snapToGrid/>
                    <w:jc w:val="center"/>
                    <w:textAlignment w:val="auto"/>
                    <w:rPr>
                      <w:rFonts w:hint="eastAsia" w:ascii="Times New Roman" w:hAnsi="Times New Roman" w:cs="Times New Roman"/>
                      <w:color w:val="000000"/>
                      <w:sz w:val="21"/>
                      <w:szCs w:val="21"/>
                      <w:highlight w:val="none"/>
                      <w:lang w:val="en-US" w:eastAsia="zh-CN"/>
                    </w:rPr>
                  </w:pPr>
                  <w:r>
                    <w:rPr>
                      <w:rFonts w:hint="eastAsia"/>
                      <w:sz w:val="21"/>
                      <w:szCs w:val="21"/>
                      <w:lang w:val="en-US" w:eastAsia="zh-CN"/>
                    </w:rPr>
                    <w:t>防腐有机废气</w:t>
                  </w:r>
                  <w:r>
                    <w:rPr>
                      <w:rFonts w:hint="eastAsia"/>
                      <w:sz w:val="21"/>
                      <w:szCs w:val="21"/>
                    </w:rPr>
                    <w:t>（DA00</w:t>
                  </w:r>
                  <w:r>
                    <w:rPr>
                      <w:rFonts w:hint="eastAsia"/>
                      <w:sz w:val="21"/>
                      <w:szCs w:val="21"/>
                      <w:lang w:val="en-US" w:eastAsia="zh-CN"/>
                    </w:rPr>
                    <w:t>8</w:t>
                  </w:r>
                  <w:r>
                    <w:rPr>
                      <w:rFonts w:hint="eastAsia"/>
                      <w:sz w:val="21"/>
                      <w:szCs w:val="21"/>
                    </w:rPr>
                    <w:t>）</w:t>
                  </w:r>
                </w:p>
              </w:tc>
              <w:tc>
                <w:tcPr>
                  <w:tcW w:w="693" w:type="pct"/>
                  <w:tcBorders>
                    <w:tl2br w:val="nil"/>
                    <w:tr2bl w:val="nil"/>
                  </w:tcBorders>
                  <w:noWrap w:val="0"/>
                  <w:vAlign w:val="center"/>
                </w:tcPr>
                <w:p w14:paraId="5124E218">
                  <w:pPr>
                    <w:keepNext w:val="0"/>
                    <w:keepLines w:val="0"/>
                    <w:pageBreakBefore w:val="0"/>
                    <w:kinsoku/>
                    <w:wordWrap/>
                    <w:topLinePunct w:val="0"/>
                    <w:autoSpaceDN/>
                    <w:bidi w:val="0"/>
                    <w:adjustRightInd/>
                    <w:snapToGrid/>
                    <w:jc w:val="center"/>
                    <w:textAlignment w:val="auto"/>
                    <w:rPr>
                      <w:rFonts w:hint="eastAsia" w:ascii="Times New Roman" w:hAnsi="Times New Roman" w:cs="Times New Roman"/>
                      <w:color w:val="000000"/>
                      <w:sz w:val="21"/>
                      <w:szCs w:val="21"/>
                      <w:highlight w:val="none"/>
                      <w:lang w:val="en-US" w:eastAsia="zh-CN"/>
                    </w:rPr>
                  </w:pPr>
                  <w:r>
                    <w:rPr>
                      <w:rFonts w:hint="eastAsia"/>
                      <w:sz w:val="21"/>
                      <w:szCs w:val="21"/>
                      <w:lang w:val="en-US" w:eastAsia="zh-CN"/>
                    </w:rPr>
                    <w:t>非甲烷总烃</w:t>
                  </w:r>
                </w:p>
              </w:tc>
              <w:tc>
                <w:tcPr>
                  <w:tcW w:w="848" w:type="pct"/>
                  <w:tcBorders>
                    <w:tl2br w:val="nil"/>
                    <w:tr2bl w:val="nil"/>
                  </w:tcBorders>
                  <w:noWrap w:val="0"/>
                  <w:vAlign w:val="center"/>
                </w:tcPr>
                <w:p w14:paraId="7AEA5E3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color w:val="000000"/>
                      <w:sz w:val="21"/>
                      <w:szCs w:val="21"/>
                      <w:highlight w:val="none"/>
                      <w:lang w:val="en-US" w:eastAsia="zh-CN"/>
                    </w:rPr>
                  </w:pPr>
                  <w:r>
                    <w:rPr>
                      <w:rFonts w:hint="eastAsia"/>
                      <w:sz w:val="21"/>
                      <w:szCs w:val="21"/>
                    </w:rPr>
                    <w:t>集气罩+</w:t>
                  </w:r>
                  <w:r>
                    <w:rPr>
                      <w:rFonts w:hint="eastAsia"/>
                      <w:sz w:val="21"/>
                      <w:szCs w:val="21"/>
                      <w:lang w:val="en-US" w:eastAsia="zh-CN"/>
                    </w:rPr>
                    <w:t>二级活性炭吸附</w:t>
                  </w:r>
                  <w:r>
                    <w:rPr>
                      <w:rFonts w:hint="eastAsia"/>
                      <w:sz w:val="21"/>
                      <w:szCs w:val="21"/>
                    </w:rPr>
                    <w:t>+15m高排气筒</w:t>
                  </w:r>
                </w:p>
              </w:tc>
              <w:tc>
                <w:tcPr>
                  <w:tcW w:w="510" w:type="pct"/>
                  <w:tcBorders>
                    <w:tl2br w:val="nil"/>
                    <w:tr2bl w:val="nil"/>
                  </w:tcBorders>
                  <w:noWrap w:val="0"/>
                  <w:vAlign w:val="center"/>
                </w:tcPr>
                <w:p w14:paraId="6BB9315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1</w:t>
                  </w:r>
                  <w:r>
                    <w:rPr>
                      <w:rFonts w:hint="eastAsia" w:cs="Times New Roman"/>
                      <w:color w:val="000000"/>
                      <w:sz w:val="21"/>
                      <w:szCs w:val="21"/>
                      <w:highlight w:val="none"/>
                      <w:lang w:val="en-US" w:eastAsia="zh-CN"/>
                    </w:rPr>
                    <w:t>0</w:t>
                  </w:r>
                </w:p>
              </w:tc>
              <w:tc>
                <w:tcPr>
                  <w:tcW w:w="1364" w:type="pct"/>
                  <w:tcBorders>
                    <w:tl2br w:val="nil"/>
                    <w:tr2bl w:val="nil"/>
                  </w:tcBorders>
                  <w:noWrap w:val="0"/>
                  <w:vAlign w:val="center"/>
                </w:tcPr>
                <w:p w14:paraId="788F45BF">
                  <w:pPr>
                    <w:pStyle w:val="8"/>
                    <w:bidi w:val="0"/>
                    <w:ind w:left="0" w:leftChars="0" w:firstLine="0" w:firstLineChars="0"/>
                    <w:rPr>
                      <w:rFonts w:hint="default" w:ascii="Times New Roman" w:hAnsi="Times New Roman" w:cs="Times New Roman"/>
                      <w:color w:val="000000"/>
                      <w:sz w:val="21"/>
                      <w:szCs w:val="21"/>
                      <w:highlight w:val="none"/>
                      <w:lang w:val="en-US" w:eastAsia="zh-CN"/>
                    </w:rPr>
                  </w:pPr>
                  <w:r>
                    <w:rPr>
                      <w:rFonts w:hint="default" w:ascii="Times New Roman" w:hAnsi="Times New Roman" w:eastAsia="宋体" w:cs="Times New Roman"/>
                      <w:color w:val="auto"/>
                      <w:spacing w:val="0"/>
                      <w:kern w:val="0"/>
                      <w:position w:val="0"/>
                      <w:sz w:val="21"/>
                      <w:szCs w:val="21"/>
                      <w:highlight w:val="none"/>
                      <w:lang w:val="en-US" w:eastAsia="zh-CN"/>
                    </w:rPr>
                    <w:t>《合成树脂工业污染物排放标准》</w:t>
                  </w:r>
                  <w:r>
                    <w:rPr>
                      <w:rFonts w:hint="eastAsia" w:ascii="Times New Roman" w:hAnsi="Times New Roman" w:eastAsia="宋体" w:cs="Times New Roman"/>
                      <w:color w:val="auto"/>
                      <w:spacing w:val="0"/>
                      <w:kern w:val="0"/>
                      <w:position w:val="0"/>
                      <w:sz w:val="21"/>
                      <w:szCs w:val="21"/>
                      <w:highlight w:val="none"/>
                      <w:lang w:val="en-US" w:eastAsia="zh-CN"/>
                    </w:rPr>
                    <w:t>（含2024年修改单）</w:t>
                  </w:r>
                  <w:r>
                    <w:rPr>
                      <w:rFonts w:hint="default" w:ascii="Times New Roman" w:hAnsi="Times New Roman" w:eastAsia="宋体" w:cs="Times New Roman"/>
                      <w:color w:val="auto"/>
                      <w:spacing w:val="0"/>
                      <w:kern w:val="0"/>
                      <w:position w:val="0"/>
                      <w:sz w:val="21"/>
                      <w:szCs w:val="21"/>
                      <w:highlight w:val="none"/>
                      <w:lang w:val="en-US" w:eastAsia="zh-CN"/>
                    </w:rPr>
                    <w:t>（GB31572-2015）中表</w:t>
                  </w:r>
                  <w:r>
                    <w:rPr>
                      <w:rFonts w:hint="eastAsia" w:cs="Times New Roman"/>
                      <w:color w:val="auto"/>
                      <w:spacing w:val="0"/>
                      <w:kern w:val="0"/>
                      <w:position w:val="0"/>
                      <w:sz w:val="21"/>
                      <w:szCs w:val="21"/>
                      <w:highlight w:val="none"/>
                      <w:lang w:val="en-US" w:eastAsia="zh-CN"/>
                    </w:rPr>
                    <w:t>4</w:t>
                  </w:r>
                  <w:r>
                    <w:rPr>
                      <w:rFonts w:hint="default" w:ascii="Times New Roman" w:hAnsi="Times New Roman" w:eastAsia="宋体" w:cs="Times New Roman"/>
                      <w:color w:val="auto"/>
                      <w:spacing w:val="0"/>
                      <w:kern w:val="0"/>
                      <w:position w:val="0"/>
                      <w:sz w:val="21"/>
                      <w:szCs w:val="21"/>
                      <w:highlight w:val="none"/>
                      <w:lang w:val="en-US" w:eastAsia="zh-CN"/>
                    </w:rPr>
                    <w:t>大气污染物排放限值</w:t>
                  </w:r>
                </w:p>
              </w:tc>
              <w:tc>
                <w:tcPr>
                  <w:tcW w:w="437" w:type="pct"/>
                  <w:vMerge w:val="continue"/>
                  <w:tcBorders>
                    <w:tl2br w:val="nil"/>
                    <w:tr2bl w:val="nil"/>
                  </w:tcBorders>
                  <w:noWrap w:val="0"/>
                  <w:vAlign w:val="center"/>
                </w:tcPr>
                <w:p w14:paraId="241734B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000000"/>
                      <w:kern w:val="0"/>
                      <w:sz w:val="21"/>
                      <w:szCs w:val="21"/>
                      <w:highlight w:val="none"/>
                      <w:lang w:bidi="ar"/>
                    </w:rPr>
                  </w:pPr>
                </w:p>
              </w:tc>
            </w:tr>
            <w:tr w14:paraId="480EA79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0" w:type="pct"/>
                  <w:vMerge w:val="continue"/>
                  <w:tcBorders>
                    <w:tl2br w:val="nil"/>
                    <w:tr2bl w:val="nil"/>
                  </w:tcBorders>
                  <w:noWrap w:val="0"/>
                  <w:vAlign w:val="center"/>
                </w:tcPr>
                <w:p w14:paraId="5BD93D87">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cs="Times New Roman"/>
                      <w:color w:val="000000"/>
                      <w:kern w:val="0"/>
                      <w:sz w:val="21"/>
                      <w:szCs w:val="21"/>
                      <w:highlight w:val="none"/>
                      <w:lang w:val="en-US" w:eastAsia="zh-CN" w:bidi="ar"/>
                    </w:rPr>
                  </w:pPr>
                </w:p>
              </w:tc>
              <w:tc>
                <w:tcPr>
                  <w:tcW w:w="855" w:type="pct"/>
                  <w:tcBorders>
                    <w:tl2br w:val="nil"/>
                    <w:tr2bl w:val="nil"/>
                  </w:tcBorders>
                  <w:noWrap w:val="0"/>
                  <w:vAlign w:val="center"/>
                </w:tcPr>
                <w:p w14:paraId="29CDBFE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color w:val="000000"/>
                      <w:sz w:val="21"/>
                      <w:szCs w:val="21"/>
                      <w:highlight w:val="none"/>
                      <w:lang w:val="en-US" w:eastAsia="zh-CN"/>
                    </w:rPr>
                  </w:pPr>
                  <w:r>
                    <w:rPr>
                      <w:rFonts w:hint="eastAsia"/>
                      <w:sz w:val="21"/>
                      <w:szCs w:val="21"/>
                      <w:lang w:val="en-US" w:eastAsia="zh-CN"/>
                    </w:rPr>
                    <w:t>食堂</w:t>
                  </w:r>
                </w:p>
              </w:tc>
              <w:tc>
                <w:tcPr>
                  <w:tcW w:w="693" w:type="pct"/>
                  <w:tcBorders>
                    <w:tl2br w:val="nil"/>
                    <w:tr2bl w:val="nil"/>
                  </w:tcBorders>
                  <w:noWrap w:val="0"/>
                  <w:vAlign w:val="center"/>
                </w:tcPr>
                <w:p w14:paraId="48CE703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highlight w:val="none"/>
                      <w:lang w:val="en-US" w:eastAsia="zh-CN"/>
                    </w:rPr>
                  </w:pPr>
                  <w:r>
                    <w:rPr>
                      <w:rFonts w:hint="eastAsia" w:cs="Times New Roman"/>
                      <w:color w:val="000000"/>
                      <w:sz w:val="21"/>
                      <w:szCs w:val="21"/>
                      <w:highlight w:val="none"/>
                      <w:lang w:val="en-US" w:eastAsia="zh-CN"/>
                    </w:rPr>
                    <w:t>油烟</w:t>
                  </w:r>
                </w:p>
              </w:tc>
              <w:tc>
                <w:tcPr>
                  <w:tcW w:w="848" w:type="pct"/>
                  <w:tcBorders>
                    <w:tl2br w:val="nil"/>
                    <w:tr2bl w:val="nil"/>
                  </w:tcBorders>
                  <w:noWrap w:val="0"/>
                  <w:vAlign w:val="center"/>
                </w:tcPr>
                <w:p w14:paraId="00DE77E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highlight w:val="none"/>
                      <w:lang w:val="en-US" w:eastAsia="zh-CN"/>
                    </w:rPr>
                  </w:pPr>
                  <w:r>
                    <w:rPr>
                      <w:rFonts w:hint="eastAsia" w:cs="Times New Roman"/>
                      <w:color w:val="000000"/>
                      <w:sz w:val="21"/>
                      <w:szCs w:val="21"/>
                      <w:highlight w:val="none"/>
                      <w:lang w:val="en-US" w:eastAsia="zh-CN"/>
                    </w:rPr>
                    <w:t>油烟净化器</w:t>
                  </w:r>
                </w:p>
              </w:tc>
              <w:tc>
                <w:tcPr>
                  <w:tcW w:w="510" w:type="pct"/>
                  <w:tcBorders>
                    <w:tl2br w:val="nil"/>
                    <w:tr2bl w:val="nil"/>
                  </w:tcBorders>
                  <w:noWrap w:val="0"/>
                  <w:vAlign w:val="center"/>
                </w:tcPr>
                <w:p w14:paraId="4F81BAF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highlight w:val="none"/>
                      <w:lang w:val="en-US" w:eastAsia="zh-CN"/>
                    </w:rPr>
                  </w:pPr>
                  <w:r>
                    <w:rPr>
                      <w:rFonts w:hint="eastAsia" w:cs="Times New Roman"/>
                      <w:color w:val="000000"/>
                      <w:sz w:val="21"/>
                      <w:szCs w:val="21"/>
                      <w:highlight w:val="none"/>
                      <w:lang w:val="en-US" w:eastAsia="zh-CN"/>
                    </w:rPr>
                    <w:t>1</w:t>
                  </w:r>
                </w:p>
              </w:tc>
              <w:tc>
                <w:tcPr>
                  <w:tcW w:w="1364" w:type="pct"/>
                  <w:tcBorders>
                    <w:tl2br w:val="nil"/>
                    <w:tr2bl w:val="nil"/>
                  </w:tcBorders>
                  <w:noWrap w:val="0"/>
                  <w:vAlign w:val="center"/>
                </w:tcPr>
                <w:p w14:paraId="1C11070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ascii="Times New Roman" w:hAnsi="Times New Roman" w:eastAsia="宋体" w:cs="Times New Roman"/>
                      <w:b w:val="0"/>
                      <w:bCs w:val="0"/>
                      <w:color w:val="auto"/>
                      <w:sz w:val="21"/>
                      <w:szCs w:val="21"/>
                      <w:lang w:val="en-US" w:eastAsia="zh-CN" w:bidi="ar"/>
                    </w:rPr>
                    <w:t>《饮食业油烟排放标准》（GB18483-2001）中最高允许排放浓度</w:t>
                  </w:r>
                </w:p>
              </w:tc>
              <w:tc>
                <w:tcPr>
                  <w:tcW w:w="437" w:type="pct"/>
                  <w:vMerge w:val="continue"/>
                  <w:tcBorders>
                    <w:tl2br w:val="nil"/>
                    <w:tr2bl w:val="nil"/>
                  </w:tcBorders>
                  <w:noWrap w:val="0"/>
                  <w:vAlign w:val="center"/>
                </w:tcPr>
                <w:p w14:paraId="4F22332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000000"/>
                      <w:kern w:val="0"/>
                      <w:sz w:val="21"/>
                      <w:szCs w:val="21"/>
                      <w:highlight w:val="none"/>
                      <w:lang w:bidi="ar"/>
                    </w:rPr>
                  </w:pPr>
                </w:p>
              </w:tc>
            </w:tr>
            <w:tr w14:paraId="116409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0" w:type="pct"/>
                  <w:vMerge w:val="continue"/>
                  <w:tcBorders>
                    <w:tl2br w:val="nil"/>
                    <w:tr2bl w:val="nil"/>
                  </w:tcBorders>
                  <w:noWrap w:val="0"/>
                  <w:vAlign w:val="center"/>
                </w:tcPr>
                <w:p w14:paraId="560C4F48">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cs="Times New Roman"/>
                      <w:color w:val="000000"/>
                      <w:kern w:val="0"/>
                      <w:sz w:val="21"/>
                      <w:szCs w:val="21"/>
                      <w:highlight w:val="none"/>
                      <w:lang w:val="en-US" w:eastAsia="zh-CN" w:bidi="ar"/>
                    </w:rPr>
                  </w:pPr>
                </w:p>
              </w:tc>
              <w:tc>
                <w:tcPr>
                  <w:tcW w:w="855" w:type="pct"/>
                  <w:tcBorders>
                    <w:tl2br w:val="nil"/>
                    <w:tr2bl w:val="nil"/>
                  </w:tcBorders>
                  <w:noWrap w:val="0"/>
                  <w:vAlign w:val="center"/>
                </w:tcPr>
                <w:p w14:paraId="2CD57E0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sz w:val="21"/>
                      <w:szCs w:val="21"/>
                      <w:lang w:val="en-US" w:eastAsia="zh-CN"/>
                    </w:rPr>
                  </w:pPr>
                  <w:r>
                    <w:rPr>
                      <w:rFonts w:hint="eastAsia" w:ascii="Times New Roman" w:hAnsi="Times New Roman" w:cs="Times New Roman"/>
                      <w:color w:val="000000"/>
                      <w:sz w:val="21"/>
                      <w:szCs w:val="21"/>
                      <w:highlight w:val="none"/>
                      <w:lang w:val="en-US" w:eastAsia="zh-CN"/>
                    </w:rPr>
                    <w:t>道路运输</w:t>
                  </w:r>
                </w:p>
              </w:tc>
              <w:tc>
                <w:tcPr>
                  <w:tcW w:w="693" w:type="pct"/>
                  <w:tcBorders>
                    <w:tl2br w:val="nil"/>
                    <w:tr2bl w:val="nil"/>
                  </w:tcBorders>
                  <w:noWrap w:val="0"/>
                  <w:vAlign w:val="center"/>
                </w:tcPr>
                <w:p w14:paraId="03C0742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颗粒物</w:t>
                  </w:r>
                </w:p>
              </w:tc>
              <w:tc>
                <w:tcPr>
                  <w:tcW w:w="848" w:type="pct"/>
                  <w:tcBorders>
                    <w:tl2br w:val="nil"/>
                    <w:tr2bl w:val="nil"/>
                  </w:tcBorders>
                  <w:noWrap w:val="0"/>
                  <w:vAlign w:val="center"/>
                </w:tcPr>
                <w:p w14:paraId="3FF2856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sz w:val="21"/>
                      <w:szCs w:val="21"/>
                    </w:rPr>
                  </w:pPr>
                  <w:r>
                    <w:rPr>
                      <w:rFonts w:hint="eastAsia" w:ascii="Times New Roman" w:hAnsi="Times New Roman" w:cs="Times New Roman"/>
                      <w:color w:val="000000"/>
                      <w:sz w:val="21"/>
                      <w:szCs w:val="21"/>
                      <w:highlight w:val="none"/>
                      <w:lang w:val="en-US" w:eastAsia="zh-CN"/>
                    </w:rPr>
                    <w:t>地面硬化、洒水</w:t>
                  </w:r>
                  <w:r>
                    <w:rPr>
                      <w:rFonts w:hint="eastAsia"/>
                      <w:sz w:val="21"/>
                      <w:szCs w:val="21"/>
                    </w:rPr>
                    <w:t>，车辆减速慢行</w:t>
                  </w:r>
                </w:p>
              </w:tc>
              <w:tc>
                <w:tcPr>
                  <w:tcW w:w="510" w:type="pct"/>
                  <w:tcBorders>
                    <w:tl2br w:val="nil"/>
                    <w:tr2bl w:val="nil"/>
                  </w:tcBorders>
                  <w:noWrap w:val="0"/>
                  <w:vAlign w:val="center"/>
                </w:tcPr>
                <w:p w14:paraId="28BD77C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3</w:t>
                  </w:r>
                </w:p>
              </w:tc>
              <w:tc>
                <w:tcPr>
                  <w:tcW w:w="1364" w:type="pct"/>
                  <w:vMerge w:val="restart"/>
                  <w:tcBorders>
                    <w:tl2br w:val="nil"/>
                    <w:tr2bl w:val="nil"/>
                  </w:tcBorders>
                  <w:noWrap w:val="0"/>
                  <w:vAlign w:val="center"/>
                </w:tcPr>
                <w:p w14:paraId="666BBBC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highlight w:val="none"/>
                      <w:lang w:val="en-US" w:eastAsia="zh-CN"/>
                    </w:rPr>
                  </w:pPr>
                  <w:r>
                    <w:rPr>
                      <w:rFonts w:hint="eastAsia"/>
                      <w:color w:val="auto"/>
                      <w:sz w:val="21"/>
                      <w:szCs w:val="21"/>
                      <w:lang w:eastAsia="zh-CN"/>
                    </w:rPr>
                    <w:t>厂界废气执行</w:t>
                  </w:r>
                  <w:r>
                    <w:rPr>
                      <w:color w:val="auto"/>
                      <w:sz w:val="21"/>
                      <w:szCs w:val="21"/>
                    </w:rPr>
                    <w:t>《</w:t>
                  </w:r>
                  <w:r>
                    <w:rPr>
                      <w:rFonts w:hint="eastAsia"/>
                      <w:color w:val="auto"/>
                      <w:sz w:val="21"/>
                      <w:szCs w:val="21"/>
                    </w:rPr>
                    <w:t>水泥工业</w:t>
                  </w:r>
                  <w:r>
                    <w:rPr>
                      <w:rFonts w:hint="eastAsia"/>
                      <w:color w:val="auto"/>
                      <w:sz w:val="21"/>
                      <w:szCs w:val="21"/>
                      <w:lang w:val="en-US" w:eastAsia="zh-CN"/>
                    </w:rPr>
                    <w:t>大气</w:t>
                  </w:r>
                  <w:r>
                    <w:rPr>
                      <w:color w:val="auto"/>
                      <w:sz w:val="21"/>
                      <w:szCs w:val="21"/>
                    </w:rPr>
                    <w:t>污染物排放标准》</w:t>
                  </w:r>
                  <w:r>
                    <w:rPr>
                      <w:rFonts w:ascii="Times New Roman" w:hAnsi="Times New Roman" w:eastAsia="宋体" w:cs="Times New Roman"/>
                      <w:color w:val="auto"/>
                      <w:kern w:val="0"/>
                      <w:sz w:val="21"/>
                      <w:szCs w:val="21"/>
                    </w:rPr>
                    <w:t>（</w:t>
                  </w:r>
                  <w:r>
                    <w:rPr>
                      <w:rFonts w:hint="eastAsia"/>
                      <w:color w:val="auto"/>
                      <w:sz w:val="21"/>
                      <w:szCs w:val="21"/>
                    </w:rPr>
                    <w:t>GB4915</w:t>
                  </w:r>
                  <w:r>
                    <w:rPr>
                      <w:color w:val="auto"/>
                      <w:sz w:val="21"/>
                      <w:szCs w:val="21"/>
                    </w:rPr>
                    <w:t>-2013</w:t>
                  </w:r>
                  <w:r>
                    <w:rPr>
                      <w:rFonts w:ascii="Times New Roman" w:hAnsi="Times New Roman" w:eastAsia="宋体" w:cs="Times New Roman"/>
                      <w:color w:val="auto"/>
                      <w:kern w:val="0"/>
                      <w:sz w:val="21"/>
                      <w:szCs w:val="21"/>
                    </w:rPr>
                    <w:t>）</w:t>
                  </w:r>
                  <w:r>
                    <w:rPr>
                      <w:rFonts w:hint="default" w:ascii="Times New Roman" w:hAnsi="Times New Roman" w:eastAsia="宋体" w:cs="Times New Roman"/>
                      <w:color w:val="auto"/>
                      <w:kern w:val="2"/>
                      <w:sz w:val="21"/>
                      <w:szCs w:val="21"/>
                      <w:lang w:val="en-US" w:eastAsia="zh-CN" w:bidi="ar"/>
                    </w:rPr>
                    <w:t>中无组织排放浓度</w:t>
                  </w:r>
                  <w:r>
                    <w:rPr>
                      <w:rFonts w:hint="eastAsia" w:ascii="Times New Roman" w:hAnsi="Times New Roman" w:eastAsia="宋体" w:cs="Times New Roman"/>
                      <w:color w:val="auto"/>
                      <w:kern w:val="2"/>
                      <w:sz w:val="21"/>
                      <w:szCs w:val="21"/>
                      <w:lang w:val="en-US" w:eastAsia="zh-CN" w:bidi="ar"/>
                    </w:rPr>
                    <w:t>限值</w:t>
                  </w:r>
                  <w:r>
                    <w:rPr>
                      <w:rFonts w:hint="eastAsia" w:cs="Times New Roman"/>
                      <w:color w:val="auto"/>
                      <w:kern w:val="2"/>
                      <w:sz w:val="21"/>
                      <w:szCs w:val="21"/>
                      <w:lang w:val="en-US" w:eastAsia="zh-CN" w:bidi="ar"/>
                    </w:rPr>
                    <w:t>；</w:t>
                  </w:r>
                  <w:r>
                    <w:rPr>
                      <w:rFonts w:hint="eastAsia"/>
                      <w:lang w:val="en-US" w:eastAsia="zh-CN"/>
                    </w:rPr>
                    <w:t>厂区内</w:t>
                  </w:r>
                  <w:r>
                    <w:rPr>
                      <w:rFonts w:hint="eastAsia" w:ascii="Times New Roman" w:hAnsi="Times New Roman" w:eastAsia="宋体" w:cs="Times New Roman"/>
                      <w:color w:val="000000" w:themeColor="text1"/>
                      <w:sz w:val="21"/>
                      <w:szCs w:val="21"/>
                      <w:highlight w:val="none"/>
                      <w:lang w:val="en-US" w:eastAsia="zh-CN"/>
                    </w:rPr>
                    <w:t>非甲烷总烃执行</w:t>
                  </w:r>
                  <w:r>
                    <w:rPr>
                      <w:rFonts w:hint="default" w:ascii="Times New Roman" w:hAnsi="Times New Roman" w:eastAsia="宋体" w:cs="Times New Roman"/>
                      <w:sz w:val="21"/>
                      <w:szCs w:val="21"/>
                      <w:lang w:val="en-US" w:eastAsia="zh-CN"/>
                    </w:rPr>
                    <w:t>《挥发性有机物无组织排放控制标准》（GB37822-2019）中车间外VOCs无组织排放限值</w:t>
                  </w:r>
                </w:p>
              </w:tc>
              <w:tc>
                <w:tcPr>
                  <w:tcW w:w="437" w:type="pct"/>
                  <w:vMerge w:val="continue"/>
                  <w:tcBorders>
                    <w:tl2br w:val="nil"/>
                    <w:tr2bl w:val="nil"/>
                  </w:tcBorders>
                  <w:noWrap w:val="0"/>
                  <w:vAlign w:val="center"/>
                </w:tcPr>
                <w:p w14:paraId="0AFD9BC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000000"/>
                      <w:kern w:val="0"/>
                      <w:sz w:val="21"/>
                      <w:szCs w:val="21"/>
                      <w:highlight w:val="none"/>
                      <w:lang w:bidi="ar"/>
                    </w:rPr>
                  </w:pPr>
                </w:p>
              </w:tc>
            </w:tr>
            <w:tr w14:paraId="26BDFF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45" w:hRule="atLeast"/>
                <w:jc w:val="center"/>
              </w:trPr>
              <w:tc>
                <w:tcPr>
                  <w:tcW w:w="290" w:type="pct"/>
                  <w:vMerge w:val="continue"/>
                  <w:tcBorders>
                    <w:tl2br w:val="nil"/>
                    <w:tr2bl w:val="nil"/>
                  </w:tcBorders>
                  <w:noWrap w:val="0"/>
                  <w:vAlign w:val="center"/>
                </w:tcPr>
                <w:p w14:paraId="643D1B03">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cs="Times New Roman"/>
                      <w:color w:val="000000"/>
                      <w:kern w:val="0"/>
                      <w:sz w:val="21"/>
                      <w:szCs w:val="21"/>
                      <w:highlight w:val="none"/>
                      <w:lang w:val="en-US" w:eastAsia="zh-CN" w:bidi="ar"/>
                    </w:rPr>
                  </w:pPr>
                </w:p>
              </w:tc>
              <w:tc>
                <w:tcPr>
                  <w:tcW w:w="855" w:type="pct"/>
                  <w:tcBorders>
                    <w:tl2br w:val="nil"/>
                    <w:tr2bl w:val="nil"/>
                  </w:tcBorders>
                  <w:noWrap w:val="0"/>
                  <w:vAlign w:val="center"/>
                </w:tcPr>
                <w:p w14:paraId="0D74299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000000"/>
                      <w:sz w:val="21"/>
                      <w:szCs w:val="21"/>
                      <w:highlight w:val="none"/>
                      <w:lang w:val="en-US" w:eastAsia="zh-CN"/>
                    </w:rPr>
                  </w:pPr>
                  <w:r>
                    <w:rPr>
                      <w:rFonts w:hint="eastAsia"/>
                      <w:sz w:val="21"/>
                      <w:szCs w:val="21"/>
                      <w:lang w:val="en-US" w:eastAsia="zh-CN"/>
                    </w:rPr>
                    <w:t>无组织废气</w:t>
                  </w:r>
                </w:p>
              </w:tc>
              <w:tc>
                <w:tcPr>
                  <w:tcW w:w="693" w:type="pct"/>
                  <w:tcBorders>
                    <w:tl2br w:val="nil"/>
                    <w:tr2bl w:val="nil"/>
                  </w:tcBorders>
                  <w:noWrap w:val="0"/>
                  <w:vAlign w:val="center"/>
                </w:tcPr>
                <w:p w14:paraId="56E01A0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颗粒物</w:t>
                  </w:r>
                  <w:r>
                    <w:rPr>
                      <w:rFonts w:hint="eastAsia" w:cs="Times New Roman"/>
                      <w:color w:val="000000"/>
                      <w:sz w:val="21"/>
                      <w:szCs w:val="21"/>
                      <w:highlight w:val="none"/>
                      <w:lang w:val="en-US" w:eastAsia="zh-CN"/>
                    </w:rPr>
                    <w:t>、非甲烷总烃</w:t>
                  </w:r>
                </w:p>
              </w:tc>
              <w:tc>
                <w:tcPr>
                  <w:tcW w:w="848" w:type="pct"/>
                  <w:tcBorders>
                    <w:tl2br w:val="nil"/>
                    <w:tr2bl w:val="nil"/>
                  </w:tcBorders>
                  <w:noWrap w:val="0"/>
                  <w:vAlign w:val="center"/>
                </w:tcPr>
                <w:p w14:paraId="337C75F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z w:val="21"/>
                      <w:szCs w:val="21"/>
                      <w:highlight w:val="none"/>
                      <w:lang w:val="en-US" w:eastAsia="zh-CN"/>
                    </w:rPr>
                  </w:pPr>
                  <w:r>
                    <w:rPr>
                      <w:rFonts w:hint="eastAsia"/>
                      <w:sz w:val="21"/>
                      <w:szCs w:val="21"/>
                    </w:rPr>
                    <w:t>车间建设为全封闭式结构，工人佩戴防尘面罩，并定期打扫车间</w:t>
                  </w:r>
                </w:p>
              </w:tc>
              <w:tc>
                <w:tcPr>
                  <w:tcW w:w="510" w:type="pct"/>
                  <w:tcBorders>
                    <w:tl2br w:val="nil"/>
                    <w:tr2bl w:val="nil"/>
                  </w:tcBorders>
                  <w:noWrap w:val="0"/>
                  <w:vAlign w:val="center"/>
                </w:tcPr>
                <w:p w14:paraId="6FF0C97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highlight w:val="none"/>
                      <w:lang w:val="en-US" w:eastAsia="zh-CN"/>
                    </w:rPr>
                  </w:pPr>
                  <w:r>
                    <w:rPr>
                      <w:rFonts w:hint="eastAsia" w:cs="Times New Roman"/>
                      <w:color w:val="000000"/>
                      <w:sz w:val="21"/>
                      <w:szCs w:val="21"/>
                      <w:highlight w:val="none"/>
                      <w:lang w:val="en-US" w:eastAsia="zh-CN"/>
                    </w:rPr>
                    <w:t>5</w:t>
                  </w:r>
                </w:p>
              </w:tc>
              <w:tc>
                <w:tcPr>
                  <w:tcW w:w="1364" w:type="pct"/>
                  <w:vMerge w:val="continue"/>
                  <w:tcBorders>
                    <w:tl2br w:val="nil"/>
                    <w:tr2bl w:val="nil"/>
                  </w:tcBorders>
                  <w:noWrap w:val="0"/>
                  <w:vAlign w:val="center"/>
                </w:tcPr>
                <w:p w14:paraId="0F95F0B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highlight w:val="none"/>
                      <w:lang w:val="en-US" w:eastAsia="zh-CN"/>
                    </w:rPr>
                  </w:pPr>
                </w:p>
              </w:tc>
              <w:tc>
                <w:tcPr>
                  <w:tcW w:w="437" w:type="pct"/>
                  <w:vMerge w:val="continue"/>
                  <w:tcBorders>
                    <w:tl2br w:val="nil"/>
                    <w:tr2bl w:val="nil"/>
                  </w:tcBorders>
                  <w:noWrap w:val="0"/>
                  <w:vAlign w:val="center"/>
                </w:tcPr>
                <w:p w14:paraId="366CFFC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000000"/>
                      <w:kern w:val="0"/>
                      <w:sz w:val="21"/>
                      <w:szCs w:val="21"/>
                      <w:highlight w:val="none"/>
                      <w:lang w:bidi="ar"/>
                    </w:rPr>
                  </w:pPr>
                </w:p>
              </w:tc>
            </w:tr>
            <w:tr w14:paraId="6AD1D4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0" w:type="pct"/>
                  <w:tcBorders>
                    <w:tl2br w:val="nil"/>
                    <w:tr2bl w:val="nil"/>
                  </w:tcBorders>
                  <w:noWrap w:val="0"/>
                  <w:vAlign w:val="center"/>
                </w:tcPr>
                <w:p w14:paraId="366D326B">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000000"/>
                      <w:kern w:val="0"/>
                      <w:sz w:val="21"/>
                      <w:szCs w:val="21"/>
                      <w:highlight w:val="none"/>
                      <w:lang w:bidi="ar"/>
                    </w:rPr>
                  </w:pPr>
                  <w:r>
                    <w:rPr>
                      <w:rFonts w:hint="default" w:ascii="Times New Roman" w:hAnsi="Times New Roman" w:cs="Times New Roman"/>
                      <w:color w:val="000000"/>
                      <w:kern w:val="0"/>
                      <w:sz w:val="21"/>
                      <w:szCs w:val="21"/>
                      <w:highlight w:val="none"/>
                      <w:lang w:bidi="ar"/>
                    </w:rPr>
                    <w:t>废水</w:t>
                  </w:r>
                </w:p>
              </w:tc>
              <w:tc>
                <w:tcPr>
                  <w:tcW w:w="855" w:type="pct"/>
                  <w:tcBorders>
                    <w:tl2br w:val="nil"/>
                    <w:tr2bl w:val="nil"/>
                  </w:tcBorders>
                  <w:noWrap w:val="0"/>
                  <w:vAlign w:val="center"/>
                </w:tcPr>
                <w:p w14:paraId="7D9F5EB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kern w:val="2"/>
                      <w:sz w:val="21"/>
                      <w:szCs w:val="21"/>
                      <w:highlight w:val="none"/>
                      <w:lang w:val="en-US" w:eastAsia="zh-CN" w:bidi="ar-SA"/>
                    </w:rPr>
                    <w:t>生活污水</w:t>
                  </w:r>
                </w:p>
              </w:tc>
              <w:tc>
                <w:tcPr>
                  <w:tcW w:w="693" w:type="pct"/>
                  <w:tcBorders>
                    <w:tl2br w:val="nil"/>
                    <w:tr2bl w:val="nil"/>
                  </w:tcBorders>
                  <w:noWrap w:val="0"/>
                  <w:vAlign w:val="center"/>
                </w:tcPr>
                <w:p w14:paraId="0488113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pH、COD、SS、NH</w:t>
                  </w:r>
                  <w:r>
                    <w:rPr>
                      <w:rFonts w:hint="eastAsia" w:ascii="Times New Roman" w:hAnsi="Times New Roman" w:cs="Times New Roman"/>
                      <w:color w:val="000000"/>
                      <w:sz w:val="21"/>
                      <w:szCs w:val="21"/>
                      <w:highlight w:val="none"/>
                      <w:vertAlign w:val="subscript"/>
                      <w:lang w:val="en-US" w:eastAsia="zh-CN"/>
                    </w:rPr>
                    <w:t>3</w:t>
                  </w:r>
                  <w:r>
                    <w:rPr>
                      <w:rFonts w:hint="eastAsia" w:ascii="Times New Roman" w:hAnsi="Times New Roman" w:cs="Times New Roman"/>
                      <w:color w:val="000000"/>
                      <w:sz w:val="21"/>
                      <w:szCs w:val="21"/>
                      <w:highlight w:val="none"/>
                      <w:lang w:val="en-US" w:eastAsia="zh-CN"/>
                    </w:rPr>
                    <w:t>-N、BOD</w:t>
                  </w:r>
                  <w:r>
                    <w:rPr>
                      <w:rFonts w:hint="eastAsia" w:ascii="Times New Roman" w:hAnsi="Times New Roman" w:cs="Times New Roman"/>
                      <w:color w:val="000000"/>
                      <w:sz w:val="21"/>
                      <w:szCs w:val="21"/>
                      <w:highlight w:val="none"/>
                      <w:vertAlign w:val="subscript"/>
                      <w:lang w:val="en-US" w:eastAsia="zh-CN"/>
                    </w:rPr>
                    <w:t>5</w:t>
                  </w:r>
                  <w:r>
                    <w:rPr>
                      <w:rFonts w:hint="eastAsia" w:ascii="Times New Roman" w:hAnsi="Times New Roman" w:cs="Times New Roman"/>
                      <w:color w:val="000000"/>
                      <w:sz w:val="21"/>
                      <w:szCs w:val="21"/>
                      <w:highlight w:val="none"/>
                      <w:lang w:val="en-US" w:eastAsia="zh-CN"/>
                    </w:rPr>
                    <w:t>、动植物油</w:t>
                  </w:r>
                </w:p>
              </w:tc>
              <w:tc>
                <w:tcPr>
                  <w:tcW w:w="848" w:type="pct"/>
                  <w:tcBorders>
                    <w:tl2br w:val="nil"/>
                    <w:tr2bl w:val="nil"/>
                  </w:tcBorders>
                  <w:noWrap w:val="0"/>
                  <w:vAlign w:val="center"/>
                </w:tcPr>
                <w:p w14:paraId="1806438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经污水管网排入园区污水处理厂</w:t>
                  </w:r>
                </w:p>
              </w:tc>
              <w:tc>
                <w:tcPr>
                  <w:tcW w:w="510" w:type="pct"/>
                  <w:tcBorders>
                    <w:tl2br w:val="nil"/>
                    <w:tr2bl w:val="nil"/>
                  </w:tcBorders>
                  <w:noWrap w:val="0"/>
                  <w:vAlign w:val="center"/>
                </w:tcPr>
                <w:p w14:paraId="376E5C1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2</w:t>
                  </w:r>
                </w:p>
              </w:tc>
              <w:tc>
                <w:tcPr>
                  <w:tcW w:w="1364" w:type="pct"/>
                  <w:tcBorders>
                    <w:tl2br w:val="nil"/>
                    <w:tr2bl w:val="nil"/>
                  </w:tcBorders>
                  <w:noWrap w:val="0"/>
                  <w:vAlign w:val="center"/>
                </w:tcPr>
                <w:p w14:paraId="1A4046E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《污水综合排放标准》（GB8978-1996）表4中三级标准限值</w:t>
                  </w:r>
                </w:p>
              </w:tc>
              <w:tc>
                <w:tcPr>
                  <w:tcW w:w="437" w:type="pct"/>
                  <w:vMerge w:val="continue"/>
                  <w:tcBorders>
                    <w:tl2br w:val="nil"/>
                    <w:tr2bl w:val="nil"/>
                  </w:tcBorders>
                  <w:noWrap w:val="0"/>
                  <w:vAlign w:val="center"/>
                </w:tcPr>
                <w:p w14:paraId="004C844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kern w:val="0"/>
                      <w:sz w:val="21"/>
                      <w:szCs w:val="21"/>
                      <w:highlight w:val="none"/>
                    </w:rPr>
                  </w:pPr>
                </w:p>
              </w:tc>
            </w:tr>
            <w:tr w14:paraId="140F1A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0" w:type="pct"/>
                  <w:tcBorders>
                    <w:tl2br w:val="nil"/>
                    <w:tr2bl w:val="nil"/>
                  </w:tcBorders>
                  <w:noWrap w:val="0"/>
                  <w:vAlign w:val="center"/>
                </w:tcPr>
                <w:p w14:paraId="2748C514">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lang w:bidi="ar"/>
                    </w:rPr>
                    <w:t>噪声</w:t>
                  </w:r>
                </w:p>
              </w:tc>
              <w:tc>
                <w:tcPr>
                  <w:tcW w:w="855" w:type="pct"/>
                  <w:tcBorders>
                    <w:tl2br w:val="nil"/>
                    <w:tr2bl w:val="nil"/>
                  </w:tcBorders>
                  <w:noWrap w:val="0"/>
                  <w:vAlign w:val="center"/>
                </w:tcPr>
                <w:p w14:paraId="6D94015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sz w:val="21"/>
                      <w:szCs w:val="21"/>
                      <w:highlight w:val="none"/>
                    </w:rPr>
                    <w:t>各类设备</w:t>
                  </w:r>
                </w:p>
              </w:tc>
              <w:tc>
                <w:tcPr>
                  <w:tcW w:w="693" w:type="pct"/>
                  <w:tcBorders>
                    <w:tl2br w:val="nil"/>
                    <w:tr2bl w:val="nil"/>
                  </w:tcBorders>
                  <w:noWrap w:val="0"/>
                  <w:vAlign w:val="center"/>
                </w:tcPr>
                <w:p w14:paraId="33602D2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sz w:val="21"/>
                      <w:szCs w:val="21"/>
                      <w:highlight w:val="none"/>
                    </w:rPr>
                    <w:t>噪声</w:t>
                  </w:r>
                </w:p>
              </w:tc>
              <w:tc>
                <w:tcPr>
                  <w:tcW w:w="848" w:type="pct"/>
                  <w:tcBorders>
                    <w:tl2br w:val="nil"/>
                    <w:tr2bl w:val="nil"/>
                  </w:tcBorders>
                  <w:noWrap w:val="0"/>
                  <w:vAlign w:val="center"/>
                </w:tcPr>
                <w:p w14:paraId="522DA95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sz w:val="21"/>
                      <w:szCs w:val="21"/>
                      <w:highlight w:val="none"/>
                    </w:rPr>
                    <w:t>采用减振、消声、隔声等措施</w:t>
                  </w:r>
                </w:p>
              </w:tc>
              <w:tc>
                <w:tcPr>
                  <w:tcW w:w="510" w:type="pct"/>
                  <w:tcBorders>
                    <w:tl2br w:val="nil"/>
                    <w:tr2bl w:val="nil"/>
                  </w:tcBorders>
                  <w:noWrap w:val="0"/>
                  <w:vAlign w:val="center"/>
                </w:tcPr>
                <w:p w14:paraId="220C2074">
                  <w:pPr>
                    <w:pStyle w:val="8"/>
                    <w:bidi w:val="0"/>
                    <w:rPr>
                      <w:rFonts w:hint="default"/>
                      <w:sz w:val="21"/>
                      <w:szCs w:val="21"/>
                      <w:lang w:val="en-US" w:eastAsia="zh-CN"/>
                    </w:rPr>
                  </w:pPr>
                  <w:r>
                    <w:rPr>
                      <w:rFonts w:hint="eastAsia"/>
                      <w:sz w:val="21"/>
                      <w:szCs w:val="21"/>
                      <w:lang w:val="en-US" w:eastAsia="zh-CN"/>
                    </w:rPr>
                    <w:t>3</w:t>
                  </w:r>
                </w:p>
              </w:tc>
              <w:tc>
                <w:tcPr>
                  <w:tcW w:w="1364" w:type="pct"/>
                  <w:tcBorders>
                    <w:tl2br w:val="nil"/>
                    <w:tr2bl w:val="nil"/>
                  </w:tcBorders>
                  <w:noWrap w:val="0"/>
                  <w:vAlign w:val="center"/>
                </w:tcPr>
                <w:p w14:paraId="2EF8F823">
                  <w:pPr>
                    <w:pStyle w:val="8"/>
                    <w:bidi w:val="0"/>
                    <w:rPr>
                      <w:rFonts w:hint="default"/>
                      <w:sz w:val="21"/>
                      <w:szCs w:val="21"/>
                    </w:rPr>
                  </w:pPr>
                  <w:r>
                    <w:rPr>
                      <w:rFonts w:hint="default"/>
                      <w:sz w:val="21"/>
                      <w:szCs w:val="21"/>
                    </w:rPr>
                    <w:t>《</w:t>
                  </w:r>
                  <w:r>
                    <w:rPr>
                      <w:rFonts w:hint="eastAsia"/>
                      <w:sz w:val="21"/>
                      <w:szCs w:val="21"/>
                      <w:lang w:val="en-US" w:eastAsia="zh-CN"/>
                    </w:rPr>
                    <w:t>工业企业厂界</w:t>
                  </w:r>
                  <w:r>
                    <w:rPr>
                      <w:rFonts w:hint="default"/>
                      <w:sz w:val="21"/>
                      <w:szCs w:val="21"/>
                    </w:rPr>
                    <w:t>噪声排放标准》（GB</w:t>
                  </w:r>
                  <w:r>
                    <w:rPr>
                      <w:rFonts w:hint="eastAsia"/>
                      <w:sz w:val="21"/>
                      <w:szCs w:val="21"/>
                      <w:lang w:val="en-US" w:eastAsia="zh-CN"/>
                    </w:rPr>
                    <w:t>12348-</w:t>
                  </w:r>
                  <w:r>
                    <w:rPr>
                      <w:rFonts w:hint="default"/>
                      <w:sz w:val="21"/>
                      <w:szCs w:val="21"/>
                    </w:rPr>
                    <w:t>2008）</w:t>
                  </w:r>
                  <w:r>
                    <w:rPr>
                      <w:rFonts w:hint="eastAsia"/>
                      <w:sz w:val="21"/>
                      <w:szCs w:val="21"/>
                      <w:lang w:val="en-US" w:eastAsia="zh-CN"/>
                    </w:rPr>
                    <w:t>3</w:t>
                  </w:r>
                  <w:r>
                    <w:rPr>
                      <w:rFonts w:hint="default"/>
                      <w:sz w:val="21"/>
                      <w:szCs w:val="21"/>
                    </w:rPr>
                    <w:t>类标准</w:t>
                  </w:r>
                </w:p>
              </w:tc>
              <w:tc>
                <w:tcPr>
                  <w:tcW w:w="437" w:type="pct"/>
                  <w:vMerge w:val="continue"/>
                  <w:tcBorders>
                    <w:tl2br w:val="nil"/>
                    <w:tr2bl w:val="nil"/>
                  </w:tcBorders>
                  <w:noWrap w:val="0"/>
                  <w:vAlign w:val="center"/>
                </w:tcPr>
                <w:p w14:paraId="7ED41E0F">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000000"/>
                      <w:kern w:val="0"/>
                      <w:sz w:val="21"/>
                      <w:szCs w:val="21"/>
                      <w:highlight w:val="none"/>
                    </w:rPr>
                  </w:pPr>
                </w:p>
              </w:tc>
            </w:tr>
            <w:tr w14:paraId="1CAF12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0" w:type="pct"/>
                  <w:vMerge w:val="restart"/>
                  <w:tcBorders>
                    <w:tl2br w:val="nil"/>
                    <w:tr2bl w:val="nil"/>
                  </w:tcBorders>
                  <w:noWrap w:val="0"/>
                  <w:vAlign w:val="center"/>
                </w:tcPr>
                <w:p w14:paraId="7266DF72">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cs="Times New Roman"/>
                      <w:color w:val="000000"/>
                      <w:kern w:val="0"/>
                      <w:sz w:val="21"/>
                      <w:szCs w:val="21"/>
                      <w:highlight w:val="none"/>
                      <w:lang w:val="en-US" w:eastAsia="zh-CN" w:bidi="ar"/>
                    </w:rPr>
                    <w:t>固废</w:t>
                  </w:r>
                </w:p>
              </w:tc>
              <w:tc>
                <w:tcPr>
                  <w:tcW w:w="855" w:type="pct"/>
                  <w:tcBorders>
                    <w:tl2br w:val="nil"/>
                    <w:tr2bl w:val="nil"/>
                  </w:tcBorders>
                  <w:noWrap w:val="0"/>
                  <w:vAlign w:val="center"/>
                </w:tcPr>
                <w:p w14:paraId="081E857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kern w:val="0"/>
                      <w:sz w:val="21"/>
                      <w:szCs w:val="21"/>
                      <w:highlight w:val="none"/>
                      <w:lang w:bidi="ar"/>
                    </w:rPr>
                  </w:pPr>
                  <w:r>
                    <w:rPr>
                      <w:rFonts w:hint="default" w:ascii="Times New Roman" w:hAnsi="Times New Roman" w:cs="Times New Roman"/>
                      <w:color w:val="000000"/>
                      <w:sz w:val="21"/>
                      <w:szCs w:val="21"/>
                      <w:highlight w:val="none"/>
                    </w:rPr>
                    <w:t>办公生活</w:t>
                  </w:r>
                </w:p>
              </w:tc>
              <w:tc>
                <w:tcPr>
                  <w:tcW w:w="693" w:type="pct"/>
                  <w:tcBorders>
                    <w:tl2br w:val="nil"/>
                    <w:tr2bl w:val="nil"/>
                  </w:tcBorders>
                  <w:noWrap w:val="0"/>
                  <w:vAlign w:val="center"/>
                </w:tcPr>
                <w:p w14:paraId="3E55430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kern w:val="0"/>
                      <w:sz w:val="21"/>
                      <w:szCs w:val="21"/>
                      <w:highlight w:val="none"/>
                      <w:lang w:bidi="ar"/>
                    </w:rPr>
                  </w:pPr>
                  <w:r>
                    <w:rPr>
                      <w:rFonts w:hint="default" w:ascii="Times New Roman" w:hAnsi="Times New Roman" w:cs="Times New Roman"/>
                      <w:color w:val="000000"/>
                      <w:sz w:val="21"/>
                      <w:szCs w:val="21"/>
                      <w:highlight w:val="none"/>
                    </w:rPr>
                    <w:t>生活垃圾</w:t>
                  </w:r>
                </w:p>
              </w:tc>
              <w:tc>
                <w:tcPr>
                  <w:tcW w:w="848" w:type="pct"/>
                  <w:tcBorders>
                    <w:tl2br w:val="nil"/>
                    <w:tr2bl w:val="nil"/>
                  </w:tcBorders>
                  <w:noWrap w:val="0"/>
                  <w:vAlign w:val="center"/>
                </w:tcPr>
                <w:p w14:paraId="6066636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cs="Times New Roman"/>
                      <w:color w:val="000000"/>
                      <w:kern w:val="0"/>
                      <w:sz w:val="21"/>
                      <w:szCs w:val="21"/>
                      <w:highlight w:val="none"/>
                      <w:lang w:val="en-US" w:eastAsia="zh-CN"/>
                    </w:rPr>
                    <w:t>委托环卫部门处理</w:t>
                  </w:r>
                </w:p>
              </w:tc>
              <w:tc>
                <w:tcPr>
                  <w:tcW w:w="510" w:type="pct"/>
                  <w:tcBorders>
                    <w:tl2br w:val="nil"/>
                    <w:tr2bl w:val="nil"/>
                  </w:tcBorders>
                  <w:noWrap w:val="0"/>
                  <w:vAlign w:val="center"/>
                </w:tcPr>
                <w:p w14:paraId="175EBD3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2</w:t>
                  </w:r>
                </w:p>
              </w:tc>
              <w:tc>
                <w:tcPr>
                  <w:tcW w:w="1364" w:type="pct"/>
                  <w:tcBorders>
                    <w:tl2br w:val="nil"/>
                    <w:tr2bl w:val="nil"/>
                  </w:tcBorders>
                  <w:noWrap w:val="0"/>
                  <w:vAlign w:val="center"/>
                </w:tcPr>
                <w:p w14:paraId="4B132864">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cs="Times New Roman"/>
                      <w:color w:val="000000"/>
                      <w:kern w:val="0"/>
                      <w:sz w:val="21"/>
                      <w:szCs w:val="21"/>
                      <w:highlight w:val="none"/>
                      <w:lang w:val="en-US" w:eastAsia="zh-CN" w:bidi="ar"/>
                    </w:rPr>
                    <w:t>不造成二次污染</w:t>
                  </w:r>
                </w:p>
              </w:tc>
              <w:tc>
                <w:tcPr>
                  <w:tcW w:w="437" w:type="pct"/>
                  <w:vMerge w:val="continue"/>
                  <w:tcBorders>
                    <w:tl2br w:val="nil"/>
                    <w:tr2bl w:val="nil"/>
                  </w:tcBorders>
                  <w:noWrap w:val="0"/>
                  <w:vAlign w:val="center"/>
                </w:tcPr>
                <w:p w14:paraId="6F21450F">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000000"/>
                      <w:kern w:val="0"/>
                      <w:sz w:val="21"/>
                      <w:szCs w:val="21"/>
                      <w:highlight w:val="none"/>
                    </w:rPr>
                  </w:pPr>
                </w:p>
              </w:tc>
            </w:tr>
            <w:tr w14:paraId="0CA449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0" w:type="pct"/>
                  <w:vMerge w:val="continue"/>
                  <w:tcBorders>
                    <w:tl2br w:val="nil"/>
                    <w:tr2bl w:val="nil"/>
                  </w:tcBorders>
                  <w:noWrap w:val="0"/>
                  <w:vAlign w:val="center"/>
                </w:tcPr>
                <w:p w14:paraId="39FAB65F">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cs="Times New Roman"/>
                      <w:color w:val="000000"/>
                      <w:kern w:val="0"/>
                      <w:sz w:val="21"/>
                      <w:szCs w:val="21"/>
                      <w:highlight w:val="none"/>
                      <w:lang w:val="en-US" w:eastAsia="zh-CN" w:bidi="ar"/>
                    </w:rPr>
                  </w:pPr>
                </w:p>
              </w:tc>
              <w:tc>
                <w:tcPr>
                  <w:tcW w:w="855" w:type="pct"/>
                  <w:vMerge w:val="restart"/>
                  <w:tcBorders>
                    <w:tl2br w:val="nil"/>
                    <w:tr2bl w:val="nil"/>
                  </w:tcBorders>
                  <w:noWrap w:val="0"/>
                  <w:vAlign w:val="center"/>
                </w:tcPr>
                <w:p w14:paraId="60F48CF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生产</w:t>
                  </w:r>
                </w:p>
                <w:p w14:paraId="2D100AE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过程</w:t>
                  </w:r>
                </w:p>
              </w:tc>
              <w:tc>
                <w:tcPr>
                  <w:tcW w:w="693" w:type="pct"/>
                  <w:tcBorders>
                    <w:tl2br w:val="nil"/>
                    <w:tr2bl w:val="nil"/>
                  </w:tcBorders>
                  <w:noWrap w:val="0"/>
                  <w:vAlign w:val="center"/>
                </w:tcPr>
                <w:p w14:paraId="57AF2847">
                  <w:pPr>
                    <w:pStyle w:val="8"/>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除尘器粉尘</w:t>
                  </w:r>
                </w:p>
              </w:tc>
              <w:tc>
                <w:tcPr>
                  <w:tcW w:w="848" w:type="pct"/>
                  <w:vMerge w:val="restart"/>
                  <w:tcBorders>
                    <w:tl2br w:val="nil"/>
                    <w:tr2bl w:val="nil"/>
                  </w:tcBorders>
                  <w:noWrap w:val="0"/>
                  <w:vAlign w:val="center"/>
                </w:tcPr>
                <w:p w14:paraId="0A37660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val="en-US" w:eastAsia="zh-CN"/>
                    </w:rPr>
                    <w:t>回用于生产</w:t>
                  </w:r>
                </w:p>
              </w:tc>
              <w:tc>
                <w:tcPr>
                  <w:tcW w:w="510" w:type="pct"/>
                  <w:vMerge w:val="restart"/>
                  <w:tcBorders>
                    <w:tl2br w:val="nil"/>
                    <w:tr2bl w:val="nil"/>
                  </w:tcBorders>
                  <w:noWrap w:val="0"/>
                  <w:vAlign w:val="center"/>
                </w:tcPr>
                <w:p w14:paraId="29EDEFC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3</w:t>
                  </w:r>
                </w:p>
              </w:tc>
              <w:tc>
                <w:tcPr>
                  <w:tcW w:w="1364" w:type="pct"/>
                  <w:vMerge w:val="restart"/>
                  <w:tcBorders>
                    <w:tl2br w:val="nil"/>
                    <w:tr2bl w:val="nil"/>
                  </w:tcBorders>
                  <w:noWrap w:val="0"/>
                  <w:vAlign w:val="center"/>
                </w:tcPr>
                <w:p w14:paraId="5CE26B23">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000000"/>
                      <w:kern w:val="0"/>
                      <w:sz w:val="21"/>
                      <w:szCs w:val="21"/>
                      <w:highlight w:val="none"/>
                      <w:lang w:val="en-US" w:eastAsia="zh-CN" w:bidi="ar"/>
                    </w:rPr>
                  </w:pPr>
                  <w:r>
                    <w:rPr>
                      <w:rFonts w:hint="eastAsia" w:ascii="Times New Roman" w:hAnsi="Times New Roman" w:cs="Times New Roman"/>
                      <w:color w:val="000000"/>
                      <w:kern w:val="0"/>
                      <w:sz w:val="21"/>
                      <w:szCs w:val="21"/>
                      <w:highlight w:val="none"/>
                      <w:lang w:val="en-US" w:eastAsia="zh-CN" w:bidi="ar"/>
                    </w:rPr>
                    <w:t>回用于生产</w:t>
                  </w:r>
                </w:p>
              </w:tc>
              <w:tc>
                <w:tcPr>
                  <w:tcW w:w="437" w:type="pct"/>
                  <w:vMerge w:val="continue"/>
                  <w:tcBorders>
                    <w:tl2br w:val="nil"/>
                    <w:tr2bl w:val="nil"/>
                  </w:tcBorders>
                  <w:noWrap w:val="0"/>
                  <w:vAlign w:val="center"/>
                </w:tcPr>
                <w:p w14:paraId="34D95D72">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000000"/>
                      <w:kern w:val="0"/>
                      <w:sz w:val="21"/>
                      <w:szCs w:val="21"/>
                      <w:highlight w:val="none"/>
                    </w:rPr>
                  </w:pPr>
                </w:p>
              </w:tc>
            </w:tr>
            <w:tr w14:paraId="3021480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90" w:type="pct"/>
                  <w:vMerge w:val="continue"/>
                  <w:tcBorders>
                    <w:tl2br w:val="nil"/>
                    <w:tr2bl w:val="nil"/>
                  </w:tcBorders>
                  <w:noWrap w:val="0"/>
                  <w:vAlign w:val="center"/>
                </w:tcPr>
                <w:p w14:paraId="59E82DE8">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cs="Times New Roman"/>
                      <w:color w:val="000000"/>
                      <w:kern w:val="0"/>
                      <w:sz w:val="21"/>
                      <w:szCs w:val="21"/>
                      <w:highlight w:val="none"/>
                      <w:lang w:val="en-US" w:eastAsia="zh-CN" w:bidi="ar"/>
                    </w:rPr>
                  </w:pPr>
                </w:p>
              </w:tc>
              <w:tc>
                <w:tcPr>
                  <w:tcW w:w="855" w:type="pct"/>
                  <w:vMerge w:val="continue"/>
                  <w:tcBorders>
                    <w:tl2br w:val="nil"/>
                    <w:tr2bl w:val="nil"/>
                  </w:tcBorders>
                  <w:noWrap w:val="0"/>
                  <w:vAlign w:val="center"/>
                </w:tcPr>
                <w:p w14:paraId="1C05FAD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000000"/>
                      <w:sz w:val="21"/>
                      <w:szCs w:val="21"/>
                      <w:highlight w:val="none"/>
                      <w:lang w:val="en-US" w:eastAsia="zh-CN"/>
                    </w:rPr>
                  </w:pPr>
                </w:p>
              </w:tc>
              <w:tc>
                <w:tcPr>
                  <w:tcW w:w="693" w:type="pct"/>
                  <w:tcBorders>
                    <w:tl2br w:val="nil"/>
                    <w:tr2bl w:val="nil"/>
                  </w:tcBorders>
                  <w:noWrap w:val="0"/>
                  <w:vAlign w:val="center"/>
                </w:tcPr>
                <w:p w14:paraId="3044A235">
                  <w:pPr>
                    <w:pStyle w:val="8"/>
                    <w:keepNext w:val="0"/>
                    <w:keepLines w:val="0"/>
                    <w:pageBreakBefore w:val="0"/>
                    <w:widowControl w:val="0"/>
                    <w:kinsoku/>
                    <w:wordWrap/>
                    <w:overflowPunct/>
                    <w:topLinePunct w:val="0"/>
                    <w:autoSpaceDE/>
                    <w:autoSpaceDN/>
                    <w:bidi w:val="0"/>
                    <w:adjustRightInd/>
                    <w:snapToGrid/>
                    <w:jc w:val="both"/>
                    <w:textAlignment w:val="auto"/>
                    <w:rPr>
                      <w:rFonts w:hint="default"/>
                      <w:lang w:val="en-US" w:eastAsia="zh-CN"/>
                    </w:rPr>
                  </w:pPr>
                  <w:r>
                    <w:rPr>
                      <w:rFonts w:hint="eastAsia"/>
                      <w:lang w:val="en-US" w:eastAsia="zh-CN"/>
                    </w:rPr>
                    <w:t>不合格品、边角料</w:t>
                  </w:r>
                </w:p>
              </w:tc>
              <w:tc>
                <w:tcPr>
                  <w:tcW w:w="848" w:type="pct"/>
                  <w:vMerge w:val="continue"/>
                  <w:tcBorders>
                    <w:tl2br w:val="nil"/>
                    <w:tr2bl w:val="nil"/>
                  </w:tcBorders>
                  <w:noWrap w:val="0"/>
                  <w:vAlign w:val="center"/>
                </w:tcPr>
                <w:p w14:paraId="73F4788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000000"/>
                      <w:kern w:val="0"/>
                      <w:sz w:val="21"/>
                      <w:szCs w:val="21"/>
                      <w:highlight w:val="none"/>
                      <w:lang w:val="en-US" w:eastAsia="zh-CN"/>
                    </w:rPr>
                  </w:pPr>
                </w:p>
              </w:tc>
              <w:tc>
                <w:tcPr>
                  <w:tcW w:w="510" w:type="pct"/>
                  <w:vMerge w:val="continue"/>
                  <w:tcBorders>
                    <w:tl2br w:val="nil"/>
                    <w:tr2bl w:val="nil"/>
                  </w:tcBorders>
                  <w:noWrap w:val="0"/>
                  <w:vAlign w:val="center"/>
                </w:tcPr>
                <w:p w14:paraId="5A44BEE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p>
              </w:tc>
              <w:tc>
                <w:tcPr>
                  <w:tcW w:w="1364" w:type="pct"/>
                  <w:vMerge w:val="continue"/>
                  <w:tcBorders>
                    <w:tl2br w:val="nil"/>
                    <w:tr2bl w:val="nil"/>
                  </w:tcBorders>
                  <w:noWrap w:val="0"/>
                  <w:vAlign w:val="center"/>
                </w:tcPr>
                <w:p w14:paraId="5D274785">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000000"/>
                      <w:kern w:val="0"/>
                      <w:sz w:val="21"/>
                      <w:szCs w:val="21"/>
                      <w:highlight w:val="none"/>
                      <w:lang w:val="en-US" w:eastAsia="zh-CN" w:bidi="ar"/>
                    </w:rPr>
                  </w:pPr>
                </w:p>
              </w:tc>
              <w:tc>
                <w:tcPr>
                  <w:tcW w:w="437" w:type="pct"/>
                  <w:vMerge w:val="continue"/>
                  <w:tcBorders>
                    <w:tl2br w:val="nil"/>
                    <w:tr2bl w:val="nil"/>
                  </w:tcBorders>
                  <w:noWrap w:val="0"/>
                  <w:vAlign w:val="center"/>
                </w:tcPr>
                <w:p w14:paraId="0F969D9D">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000000"/>
                      <w:kern w:val="0"/>
                      <w:sz w:val="21"/>
                      <w:szCs w:val="21"/>
                      <w:highlight w:val="none"/>
                    </w:rPr>
                  </w:pPr>
                </w:p>
              </w:tc>
            </w:tr>
            <w:tr w14:paraId="3C28C09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0" w:type="pct"/>
                  <w:vMerge w:val="continue"/>
                  <w:tcBorders>
                    <w:tl2br w:val="nil"/>
                    <w:tr2bl w:val="nil"/>
                  </w:tcBorders>
                  <w:noWrap w:val="0"/>
                  <w:vAlign w:val="center"/>
                </w:tcPr>
                <w:p w14:paraId="06702E57">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cs="Times New Roman"/>
                      <w:color w:val="000000"/>
                      <w:kern w:val="0"/>
                      <w:sz w:val="21"/>
                      <w:szCs w:val="21"/>
                      <w:highlight w:val="none"/>
                      <w:lang w:val="en-US" w:eastAsia="zh-CN" w:bidi="ar"/>
                    </w:rPr>
                  </w:pPr>
                </w:p>
              </w:tc>
              <w:tc>
                <w:tcPr>
                  <w:tcW w:w="855" w:type="pct"/>
                  <w:vMerge w:val="continue"/>
                  <w:tcBorders>
                    <w:tl2br w:val="nil"/>
                    <w:tr2bl w:val="nil"/>
                  </w:tcBorders>
                  <w:noWrap w:val="0"/>
                  <w:vAlign w:val="center"/>
                </w:tcPr>
                <w:p w14:paraId="3F15EB3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000000"/>
                      <w:sz w:val="21"/>
                      <w:szCs w:val="21"/>
                      <w:highlight w:val="none"/>
                      <w:lang w:val="en-US" w:eastAsia="zh-CN"/>
                    </w:rPr>
                  </w:pPr>
                </w:p>
              </w:tc>
              <w:tc>
                <w:tcPr>
                  <w:tcW w:w="693" w:type="pct"/>
                  <w:tcBorders>
                    <w:tl2br w:val="nil"/>
                    <w:tr2bl w:val="nil"/>
                  </w:tcBorders>
                  <w:noWrap w:val="0"/>
                  <w:vAlign w:val="center"/>
                </w:tcPr>
                <w:p w14:paraId="0F5981A2">
                  <w:pPr>
                    <w:pStyle w:val="8"/>
                    <w:keepNext w:val="0"/>
                    <w:keepLines w:val="0"/>
                    <w:pageBreakBefore w:val="0"/>
                    <w:widowControl w:val="0"/>
                    <w:kinsoku/>
                    <w:wordWrap/>
                    <w:overflowPunct/>
                    <w:topLinePunct w:val="0"/>
                    <w:autoSpaceDE/>
                    <w:autoSpaceDN/>
                    <w:bidi w:val="0"/>
                    <w:adjustRightInd/>
                    <w:snapToGrid/>
                    <w:jc w:val="both"/>
                    <w:textAlignment w:val="auto"/>
                    <w:rPr>
                      <w:rFonts w:hint="default"/>
                      <w:lang w:val="en-US" w:eastAsia="zh-CN"/>
                    </w:rPr>
                  </w:pPr>
                  <w:r>
                    <w:rPr>
                      <w:rFonts w:hint="eastAsia"/>
                      <w:lang w:val="en-US" w:eastAsia="zh-CN"/>
                    </w:rPr>
                    <w:t>废钢筋</w:t>
                  </w:r>
                </w:p>
              </w:tc>
              <w:tc>
                <w:tcPr>
                  <w:tcW w:w="848" w:type="pct"/>
                  <w:tcBorders>
                    <w:tl2br w:val="nil"/>
                    <w:tr2bl w:val="nil"/>
                  </w:tcBorders>
                  <w:noWrap w:val="0"/>
                  <w:vAlign w:val="center"/>
                </w:tcPr>
                <w:p w14:paraId="7ACF3E4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highlight w:val="none"/>
                      <w:lang w:val="en-US" w:eastAsia="zh-CN"/>
                    </w:rPr>
                  </w:pPr>
                  <w:r>
                    <w:rPr>
                      <w:rFonts w:hint="eastAsia" w:cs="Times New Roman"/>
                      <w:color w:val="000000"/>
                      <w:kern w:val="0"/>
                      <w:sz w:val="21"/>
                      <w:szCs w:val="21"/>
                      <w:highlight w:val="none"/>
                      <w:lang w:val="en-US" w:eastAsia="zh-CN"/>
                    </w:rPr>
                    <w:t>收集后外售</w:t>
                  </w:r>
                </w:p>
              </w:tc>
              <w:tc>
                <w:tcPr>
                  <w:tcW w:w="510" w:type="pct"/>
                  <w:vMerge w:val="continue"/>
                  <w:tcBorders>
                    <w:tl2br w:val="nil"/>
                    <w:tr2bl w:val="nil"/>
                  </w:tcBorders>
                  <w:noWrap w:val="0"/>
                  <w:vAlign w:val="center"/>
                </w:tcPr>
                <w:p w14:paraId="3956774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000000"/>
                      <w:kern w:val="0"/>
                      <w:sz w:val="21"/>
                      <w:szCs w:val="21"/>
                      <w:highlight w:val="none"/>
                      <w:lang w:val="en-US" w:eastAsia="zh-CN" w:bidi="ar"/>
                    </w:rPr>
                  </w:pPr>
                </w:p>
              </w:tc>
              <w:tc>
                <w:tcPr>
                  <w:tcW w:w="1364" w:type="pct"/>
                  <w:tcBorders>
                    <w:tl2br w:val="nil"/>
                    <w:tr2bl w:val="nil"/>
                  </w:tcBorders>
                  <w:noWrap w:val="0"/>
                  <w:vAlign w:val="center"/>
                </w:tcPr>
                <w:p w14:paraId="6647D634">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000000"/>
                      <w:kern w:val="0"/>
                      <w:sz w:val="21"/>
                      <w:szCs w:val="21"/>
                      <w:highlight w:val="none"/>
                      <w:lang w:val="en-US" w:eastAsia="zh-CN" w:bidi="ar"/>
                    </w:rPr>
                  </w:pPr>
                  <w:r>
                    <w:rPr>
                      <w:rFonts w:hint="eastAsia" w:ascii="Times New Roman" w:hAnsi="Times New Roman" w:cs="Times New Roman"/>
                      <w:color w:val="000000"/>
                      <w:kern w:val="0"/>
                      <w:sz w:val="21"/>
                      <w:szCs w:val="21"/>
                      <w:highlight w:val="none"/>
                      <w:lang w:val="en-US" w:eastAsia="zh-CN" w:bidi="ar"/>
                    </w:rPr>
                    <w:t>不造成二次污染</w:t>
                  </w:r>
                </w:p>
              </w:tc>
              <w:tc>
                <w:tcPr>
                  <w:tcW w:w="437" w:type="pct"/>
                  <w:vMerge w:val="continue"/>
                  <w:tcBorders>
                    <w:tl2br w:val="nil"/>
                    <w:tr2bl w:val="nil"/>
                  </w:tcBorders>
                  <w:noWrap w:val="0"/>
                  <w:vAlign w:val="center"/>
                </w:tcPr>
                <w:p w14:paraId="05FAA2E3">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000000"/>
                      <w:kern w:val="0"/>
                      <w:sz w:val="21"/>
                      <w:szCs w:val="21"/>
                      <w:highlight w:val="none"/>
                    </w:rPr>
                  </w:pPr>
                </w:p>
              </w:tc>
            </w:tr>
            <w:tr w14:paraId="614CA64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0" w:type="pct"/>
                  <w:vMerge w:val="continue"/>
                  <w:tcBorders>
                    <w:tl2br w:val="nil"/>
                    <w:tr2bl w:val="nil"/>
                  </w:tcBorders>
                  <w:noWrap w:val="0"/>
                  <w:vAlign w:val="center"/>
                </w:tcPr>
                <w:p w14:paraId="70A01760">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cs="Times New Roman"/>
                      <w:color w:val="000000"/>
                      <w:kern w:val="0"/>
                      <w:sz w:val="21"/>
                      <w:szCs w:val="21"/>
                      <w:highlight w:val="none"/>
                      <w:lang w:val="en-US" w:eastAsia="zh-CN" w:bidi="ar"/>
                    </w:rPr>
                  </w:pPr>
                </w:p>
              </w:tc>
              <w:tc>
                <w:tcPr>
                  <w:tcW w:w="855" w:type="pct"/>
                  <w:vMerge w:val="continue"/>
                  <w:tcBorders>
                    <w:tl2br w:val="nil"/>
                    <w:tr2bl w:val="nil"/>
                  </w:tcBorders>
                  <w:noWrap w:val="0"/>
                  <w:vAlign w:val="center"/>
                </w:tcPr>
                <w:p w14:paraId="3855C8B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highlight w:val="none"/>
                    </w:rPr>
                  </w:pPr>
                </w:p>
              </w:tc>
              <w:tc>
                <w:tcPr>
                  <w:tcW w:w="693" w:type="pct"/>
                  <w:tcBorders>
                    <w:tl2br w:val="nil"/>
                    <w:tr2bl w:val="nil"/>
                  </w:tcBorders>
                  <w:noWrap w:val="0"/>
                  <w:vAlign w:val="center"/>
                </w:tcPr>
                <w:p w14:paraId="79ED3FED">
                  <w:pPr>
                    <w:pStyle w:val="8"/>
                    <w:keepNext w:val="0"/>
                    <w:keepLines w:val="0"/>
                    <w:pageBreakBefore w:val="0"/>
                    <w:widowControl w:val="0"/>
                    <w:kinsoku/>
                    <w:wordWrap/>
                    <w:overflowPunct/>
                    <w:topLinePunct w:val="0"/>
                    <w:autoSpaceDE/>
                    <w:autoSpaceDN/>
                    <w:bidi w:val="0"/>
                    <w:adjustRightInd/>
                    <w:snapToGrid/>
                    <w:textAlignment w:val="auto"/>
                    <w:rPr>
                      <w:rFonts w:hint="default" w:eastAsia="宋体"/>
                      <w:sz w:val="21"/>
                      <w:szCs w:val="21"/>
                      <w:lang w:val="en-US" w:eastAsia="zh-CN"/>
                    </w:rPr>
                  </w:pPr>
                  <w:r>
                    <w:rPr>
                      <w:rFonts w:hint="eastAsia"/>
                      <w:sz w:val="21"/>
                      <w:szCs w:val="21"/>
                      <w:lang w:val="en-US" w:eastAsia="zh-CN"/>
                    </w:rPr>
                    <w:t>废机油、废活性炭、废包装桶</w:t>
                  </w:r>
                </w:p>
              </w:tc>
              <w:tc>
                <w:tcPr>
                  <w:tcW w:w="848" w:type="pct"/>
                  <w:tcBorders>
                    <w:tl2br w:val="nil"/>
                    <w:tr2bl w:val="nil"/>
                  </w:tcBorders>
                  <w:noWrap w:val="0"/>
                  <w:vAlign w:val="center"/>
                </w:tcPr>
                <w:p w14:paraId="2459D4A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val="en-US" w:eastAsia="zh-CN"/>
                    </w:rPr>
                    <w:t>暂存于</w:t>
                  </w:r>
                  <w:r>
                    <w:rPr>
                      <w:rFonts w:hint="eastAsia" w:cs="Times New Roman"/>
                      <w:color w:val="000000"/>
                      <w:kern w:val="0"/>
                      <w:sz w:val="21"/>
                      <w:szCs w:val="21"/>
                      <w:highlight w:val="none"/>
                      <w:lang w:val="en-US" w:eastAsia="zh-CN"/>
                    </w:rPr>
                    <w:t>危废贮存库</w:t>
                  </w:r>
                </w:p>
              </w:tc>
              <w:tc>
                <w:tcPr>
                  <w:tcW w:w="510" w:type="pct"/>
                  <w:tcBorders>
                    <w:tl2br w:val="nil"/>
                    <w:tr2bl w:val="nil"/>
                  </w:tcBorders>
                  <w:noWrap w:val="0"/>
                  <w:vAlign w:val="center"/>
                </w:tcPr>
                <w:p w14:paraId="3DEFEBF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3</w:t>
                  </w:r>
                </w:p>
              </w:tc>
              <w:tc>
                <w:tcPr>
                  <w:tcW w:w="1364" w:type="pct"/>
                  <w:tcBorders>
                    <w:tl2br w:val="nil"/>
                    <w:tr2bl w:val="nil"/>
                  </w:tcBorders>
                  <w:noWrap w:val="0"/>
                  <w:vAlign w:val="center"/>
                </w:tcPr>
                <w:p w14:paraId="6F1BCF6C">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000000"/>
                      <w:kern w:val="0"/>
                      <w:sz w:val="21"/>
                      <w:szCs w:val="21"/>
                      <w:highlight w:val="none"/>
                      <w:lang w:val="en-US" w:eastAsia="zh-CN" w:bidi="ar"/>
                    </w:rPr>
                  </w:pPr>
                  <w:r>
                    <w:rPr>
                      <w:rFonts w:hint="eastAsia" w:ascii="Times New Roman" w:hAnsi="Times New Roman" w:cs="Times New Roman"/>
                      <w:color w:val="000000"/>
                      <w:kern w:val="0"/>
                      <w:sz w:val="21"/>
                      <w:szCs w:val="21"/>
                      <w:highlight w:val="none"/>
                      <w:lang w:val="en-US" w:eastAsia="zh-CN" w:bidi="ar"/>
                    </w:rPr>
                    <w:t>委托有资质单位处理处置</w:t>
                  </w:r>
                </w:p>
              </w:tc>
              <w:tc>
                <w:tcPr>
                  <w:tcW w:w="437" w:type="pct"/>
                  <w:vMerge w:val="continue"/>
                  <w:tcBorders>
                    <w:tl2br w:val="nil"/>
                    <w:tr2bl w:val="nil"/>
                  </w:tcBorders>
                  <w:noWrap w:val="0"/>
                  <w:vAlign w:val="center"/>
                </w:tcPr>
                <w:p w14:paraId="797B9BEA">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000000"/>
                      <w:kern w:val="0"/>
                      <w:sz w:val="21"/>
                      <w:szCs w:val="21"/>
                      <w:highlight w:val="none"/>
                    </w:rPr>
                  </w:pPr>
                </w:p>
              </w:tc>
            </w:tr>
            <w:tr w14:paraId="2A44FB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5" w:type="pct"/>
                  <w:gridSpan w:val="2"/>
                  <w:tcBorders>
                    <w:tl2br w:val="nil"/>
                    <w:tr2bl w:val="nil"/>
                  </w:tcBorders>
                  <w:noWrap w:val="0"/>
                  <w:vAlign w:val="center"/>
                </w:tcPr>
                <w:p w14:paraId="4D31752E">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lang w:bidi="ar"/>
                    </w:rPr>
                    <w:t>绿化</w:t>
                  </w:r>
                </w:p>
              </w:tc>
              <w:tc>
                <w:tcPr>
                  <w:tcW w:w="693" w:type="pct"/>
                  <w:tcBorders>
                    <w:tl2br w:val="nil"/>
                    <w:tr2bl w:val="nil"/>
                  </w:tcBorders>
                  <w:noWrap w:val="0"/>
                  <w:vAlign w:val="center"/>
                </w:tcPr>
                <w:p w14:paraId="3462BA8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kern w:val="0"/>
                      <w:sz w:val="21"/>
                      <w:szCs w:val="21"/>
                      <w:highlight w:val="none"/>
                      <w:lang w:bidi="ar"/>
                    </w:rPr>
                  </w:pPr>
                  <w:r>
                    <w:rPr>
                      <w:rFonts w:hint="default" w:ascii="Times New Roman" w:hAnsi="Times New Roman" w:cs="Times New Roman"/>
                      <w:color w:val="000000"/>
                      <w:kern w:val="0"/>
                      <w:sz w:val="21"/>
                      <w:szCs w:val="21"/>
                      <w:highlight w:val="none"/>
                      <w:lang w:bidi="ar"/>
                    </w:rPr>
                    <w:t>/</w:t>
                  </w:r>
                </w:p>
              </w:tc>
              <w:tc>
                <w:tcPr>
                  <w:tcW w:w="848" w:type="pct"/>
                  <w:tcBorders>
                    <w:tl2br w:val="nil"/>
                    <w:tr2bl w:val="nil"/>
                  </w:tcBorders>
                  <w:noWrap w:val="0"/>
                  <w:vAlign w:val="center"/>
                </w:tcPr>
                <w:p w14:paraId="204BA468">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snapToGrid w:val="0"/>
                      <w:color w:val="000000"/>
                      <w:kern w:val="0"/>
                      <w:sz w:val="21"/>
                      <w:szCs w:val="21"/>
                      <w:highlight w:val="none"/>
                      <w:lang w:val="en-US" w:eastAsia="zh-CN" w:bidi="ar"/>
                    </w:rPr>
                  </w:pPr>
                  <w:r>
                    <w:rPr>
                      <w:rFonts w:hint="eastAsia" w:ascii="Times New Roman" w:hAnsi="Times New Roman" w:eastAsia="宋体" w:cs="Times New Roman"/>
                      <w:snapToGrid w:val="0"/>
                      <w:color w:val="000000"/>
                      <w:kern w:val="0"/>
                      <w:sz w:val="21"/>
                      <w:szCs w:val="21"/>
                      <w:highlight w:val="none"/>
                      <w:lang w:val="en-US" w:eastAsia="zh-CN" w:bidi="ar"/>
                    </w:rPr>
                    <w:t>/</w:t>
                  </w:r>
                </w:p>
              </w:tc>
              <w:tc>
                <w:tcPr>
                  <w:tcW w:w="510" w:type="pct"/>
                  <w:tcBorders>
                    <w:tl2br w:val="nil"/>
                    <w:tr2bl w:val="nil"/>
                  </w:tcBorders>
                  <w:noWrap w:val="0"/>
                  <w:vAlign w:val="center"/>
                </w:tcPr>
                <w:p w14:paraId="6514B7E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5</w:t>
                  </w:r>
                </w:p>
              </w:tc>
              <w:tc>
                <w:tcPr>
                  <w:tcW w:w="1364" w:type="pct"/>
                  <w:tcBorders>
                    <w:tl2br w:val="nil"/>
                    <w:tr2bl w:val="nil"/>
                  </w:tcBorders>
                  <w:noWrap w:val="0"/>
                  <w:vAlign w:val="center"/>
                </w:tcPr>
                <w:p w14:paraId="7004753B">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000000"/>
                      <w:kern w:val="0"/>
                      <w:sz w:val="21"/>
                      <w:szCs w:val="21"/>
                      <w:highlight w:val="none"/>
                      <w:lang w:bidi="ar"/>
                    </w:rPr>
                  </w:pPr>
                  <w:r>
                    <w:rPr>
                      <w:rFonts w:hint="default" w:ascii="Times New Roman" w:hAnsi="Times New Roman" w:cs="Times New Roman"/>
                      <w:color w:val="000000"/>
                      <w:kern w:val="0"/>
                      <w:sz w:val="21"/>
                      <w:szCs w:val="21"/>
                      <w:highlight w:val="none"/>
                      <w:lang w:bidi="ar"/>
                    </w:rPr>
                    <w:t>美化环境</w:t>
                  </w:r>
                </w:p>
              </w:tc>
              <w:tc>
                <w:tcPr>
                  <w:tcW w:w="437" w:type="pct"/>
                  <w:vMerge w:val="continue"/>
                  <w:tcBorders>
                    <w:tl2br w:val="nil"/>
                    <w:tr2bl w:val="nil"/>
                  </w:tcBorders>
                  <w:noWrap w:val="0"/>
                  <w:vAlign w:val="center"/>
                </w:tcPr>
                <w:p w14:paraId="2A3E473E">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000000"/>
                      <w:kern w:val="0"/>
                      <w:sz w:val="21"/>
                      <w:szCs w:val="21"/>
                      <w:highlight w:val="none"/>
                    </w:rPr>
                  </w:pPr>
                </w:p>
              </w:tc>
            </w:tr>
            <w:tr w14:paraId="30FC74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5" w:type="pct"/>
                  <w:gridSpan w:val="2"/>
                  <w:tcBorders>
                    <w:tl2br w:val="nil"/>
                    <w:tr2bl w:val="nil"/>
                  </w:tcBorders>
                  <w:noWrap w:val="0"/>
                  <w:vAlign w:val="center"/>
                </w:tcPr>
                <w:p w14:paraId="21C119D4">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Times New Roman"/>
                      <w:color w:val="000000"/>
                      <w:kern w:val="0"/>
                      <w:sz w:val="21"/>
                      <w:szCs w:val="21"/>
                      <w:highlight w:val="none"/>
                      <w:lang w:eastAsia="zh-CN" w:bidi="ar"/>
                    </w:rPr>
                  </w:pPr>
                  <w:r>
                    <w:rPr>
                      <w:rFonts w:hint="eastAsia" w:cs="Times New Roman"/>
                      <w:color w:val="000000"/>
                      <w:kern w:val="0"/>
                      <w:sz w:val="21"/>
                      <w:szCs w:val="21"/>
                      <w:highlight w:val="none"/>
                      <w:lang w:eastAsia="zh-CN" w:bidi="ar"/>
                    </w:rPr>
                    <w:t>其他</w:t>
                  </w:r>
                </w:p>
              </w:tc>
              <w:tc>
                <w:tcPr>
                  <w:tcW w:w="693" w:type="pct"/>
                  <w:tcBorders>
                    <w:tl2br w:val="nil"/>
                    <w:tr2bl w:val="nil"/>
                  </w:tcBorders>
                  <w:noWrap w:val="0"/>
                  <w:vAlign w:val="center"/>
                </w:tcPr>
                <w:p w14:paraId="04469F4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w:t>
                  </w:r>
                </w:p>
              </w:tc>
              <w:tc>
                <w:tcPr>
                  <w:tcW w:w="848" w:type="pct"/>
                  <w:tcBorders>
                    <w:tl2br w:val="nil"/>
                    <w:tr2bl w:val="nil"/>
                  </w:tcBorders>
                  <w:noWrap w:val="0"/>
                  <w:vAlign w:val="center"/>
                </w:tcPr>
                <w:p w14:paraId="38E91690">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snapToGrid w:val="0"/>
                      <w:color w:val="000000"/>
                      <w:kern w:val="0"/>
                      <w:sz w:val="21"/>
                      <w:szCs w:val="21"/>
                      <w:highlight w:val="none"/>
                      <w:lang w:val="en-US" w:eastAsia="zh-CN" w:bidi="ar"/>
                    </w:rPr>
                  </w:pPr>
                  <w:r>
                    <w:rPr>
                      <w:rFonts w:hint="eastAsia" w:cs="Times New Roman"/>
                      <w:snapToGrid w:val="0"/>
                      <w:color w:val="000000"/>
                      <w:kern w:val="0"/>
                      <w:sz w:val="21"/>
                      <w:szCs w:val="21"/>
                      <w:highlight w:val="none"/>
                      <w:lang w:val="en-US" w:eastAsia="zh-CN" w:bidi="ar"/>
                    </w:rPr>
                    <w:t>/</w:t>
                  </w:r>
                </w:p>
              </w:tc>
              <w:tc>
                <w:tcPr>
                  <w:tcW w:w="510" w:type="pct"/>
                  <w:tcBorders>
                    <w:tl2br w:val="nil"/>
                    <w:tr2bl w:val="nil"/>
                  </w:tcBorders>
                  <w:noWrap w:val="0"/>
                  <w:vAlign w:val="center"/>
                </w:tcPr>
                <w:p w14:paraId="36547FF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6</w:t>
                  </w:r>
                </w:p>
              </w:tc>
              <w:tc>
                <w:tcPr>
                  <w:tcW w:w="1364" w:type="pct"/>
                  <w:tcBorders>
                    <w:tl2br w:val="nil"/>
                    <w:tr2bl w:val="nil"/>
                  </w:tcBorders>
                  <w:noWrap w:val="0"/>
                  <w:vAlign w:val="center"/>
                </w:tcPr>
                <w:p w14:paraId="74AE1485">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w:t>
                  </w:r>
                </w:p>
              </w:tc>
              <w:tc>
                <w:tcPr>
                  <w:tcW w:w="437" w:type="pct"/>
                  <w:vMerge w:val="continue"/>
                  <w:tcBorders>
                    <w:tl2br w:val="nil"/>
                    <w:tr2bl w:val="nil"/>
                  </w:tcBorders>
                  <w:noWrap w:val="0"/>
                  <w:vAlign w:val="center"/>
                </w:tcPr>
                <w:p w14:paraId="4BDE7DF2">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000000"/>
                      <w:kern w:val="0"/>
                      <w:sz w:val="21"/>
                      <w:szCs w:val="21"/>
                      <w:highlight w:val="none"/>
                    </w:rPr>
                  </w:pPr>
                </w:p>
              </w:tc>
            </w:tr>
            <w:tr w14:paraId="30F2D7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1145" w:type="pct"/>
                  <w:gridSpan w:val="2"/>
                  <w:tcBorders>
                    <w:tl2br w:val="nil"/>
                    <w:tr2bl w:val="nil"/>
                  </w:tcBorders>
                  <w:noWrap w:val="0"/>
                  <w:vAlign w:val="center"/>
                </w:tcPr>
                <w:p w14:paraId="38F0ED1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合计</w:t>
                  </w:r>
                </w:p>
              </w:tc>
              <w:tc>
                <w:tcPr>
                  <w:tcW w:w="693" w:type="pct"/>
                  <w:tcBorders>
                    <w:tl2br w:val="nil"/>
                    <w:tr2bl w:val="nil"/>
                  </w:tcBorders>
                  <w:noWrap w:val="0"/>
                  <w:vAlign w:val="center"/>
                </w:tcPr>
                <w:p w14:paraId="75E6913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val="en-US" w:eastAsia="zh-CN"/>
                    </w:rPr>
                    <w:t>/</w:t>
                  </w:r>
                </w:p>
              </w:tc>
              <w:tc>
                <w:tcPr>
                  <w:tcW w:w="848" w:type="pct"/>
                  <w:tcBorders>
                    <w:tl2br w:val="nil"/>
                    <w:tr2bl w:val="nil"/>
                  </w:tcBorders>
                  <w:noWrap w:val="0"/>
                  <w:vAlign w:val="center"/>
                </w:tcPr>
                <w:p w14:paraId="58CC3D25">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Times New Roman"/>
                      <w:snapToGrid w:val="0"/>
                      <w:color w:val="000000"/>
                      <w:kern w:val="0"/>
                      <w:sz w:val="21"/>
                      <w:szCs w:val="21"/>
                      <w:highlight w:val="none"/>
                      <w:lang w:val="en-US" w:eastAsia="zh-CN"/>
                    </w:rPr>
                  </w:pPr>
                  <w:r>
                    <w:rPr>
                      <w:rFonts w:hint="eastAsia" w:ascii="Times New Roman" w:hAnsi="Times New Roman" w:cs="Times New Roman"/>
                      <w:snapToGrid w:val="0"/>
                      <w:color w:val="000000"/>
                      <w:kern w:val="0"/>
                      <w:sz w:val="21"/>
                      <w:szCs w:val="21"/>
                      <w:highlight w:val="none"/>
                      <w:lang w:val="en-US" w:eastAsia="zh-CN"/>
                    </w:rPr>
                    <w:t>/</w:t>
                  </w:r>
                </w:p>
              </w:tc>
              <w:tc>
                <w:tcPr>
                  <w:tcW w:w="510" w:type="pct"/>
                  <w:tcBorders>
                    <w:tl2br w:val="nil"/>
                    <w:tr2bl w:val="nil"/>
                  </w:tcBorders>
                  <w:noWrap w:val="0"/>
                  <w:vAlign w:val="center"/>
                </w:tcPr>
                <w:p w14:paraId="5A96F58A">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snapToGrid w:val="0"/>
                      <w:color w:val="000000"/>
                      <w:kern w:val="0"/>
                      <w:sz w:val="21"/>
                      <w:szCs w:val="21"/>
                      <w:highlight w:val="none"/>
                      <w:lang w:val="en-US" w:eastAsia="zh-CN" w:bidi="ar"/>
                    </w:rPr>
                  </w:pPr>
                  <w:r>
                    <w:rPr>
                      <w:rFonts w:hint="eastAsia" w:cs="Times New Roman"/>
                      <w:snapToGrid w:val="0"/>
                      <w:color w:val="000000"/>
                      <w:kern w:val="0"/>
                      <w:sz w:val="21"/>
                      <w:szCs w:val="21"/>
                      <w:highlight w:val="none"/>
                      <w:lang w:val="en-US" w:eastAsia="zh-CN" w:bidi="ar"/>
                    </w:rPr>
                    <w:t>112</w:t>
                  </w:r>
                </w:p>
              </w:tc>
              <w:tc>
                <w:tcPr>
                  <w:tcW w:w="1364" w:type="pct"/>
                  <w:tcBorders>
                    <w:tl2br w:val="nil"/>
                    <w:tr2bl w:val="nil"/>
                  </w:tcBorders>
                  <w:noWrap w:val="0"/>
                  <w:vAlign w:val="center"/>
                </w:tcPr>
                <w:p w14:paraId="17FBAF8D">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w:t>
                  </w:r>
                </w:p>
              </w:tc>
              <w:tc>
                <w:tcPr>
                  <w:tcW w:w="437" w:type="pct"/>
                  <w:vMerge w:val="continue"/>
                  <w:tcBorders>
                    <w:tl2br w:val="nil"/>
                    <w:tr2bl w:val="nil"/>
                  </w:tcBorders>
                  <w:noWrap w:val="0"/>
                  <w:vAlign w:val="center"/>
                </w:tcPr>
                <w:p w14:paraId="02800D77">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000000"/>
                      <w:kern w:val="0"/>
                      <w:sz w:val="21"/>
                      <w:szCs w:val="21"/>
                      <w:highlight w:val="none"/>
                    </w:rPr>
                  </w:pPr>
                </w:p>
              </w:tc>
            </w:tr>
          </w:tbl>
          <w:p w14:paraId="585D09B5">
            <w:pPr>
              <w:pStyle w:val="14"/>
              <w:numPr>
                <w:ilvl w:val="0"/>
                <w:numId w:val="0"/>
              </w:numPr>
              <w:rPr>
                <w:b/>
                <w:bCs/>
                <w:szCs w:val="18"/>
              </w:rPr>
            </w:pPr>
          </w:p>
          <w:p w14:paraId="08323595">
            <w:pPr>
              <w:pStyle w:val="14"/>
              <w:numPr>
                <w:ilvl w:val="0"/>
                <w:numId w:val="0"/>
              </w:numPr>
              <w:rPr>
                <w:b/>
                <w:bCs/>
                <w:szCs w:val="18"/>
              </w:rPr>
            </w:pPr>
          </w:p>
          <w:p w14:paraId="12EC9191">
            <w:pPr>
              <w:pStyle w:val="14"/>
              <w:numPr>
                <w:ilvl w:val="0"/>
                <w:numId w:val="0"/>
              </w:numPr>
              <w:rPr>
                <w:b/>
                <w:bCs/>
                <w:szCs w:val="18"/>
              </w:rPr>
            </w:pPr>
          </w:p>
        </w:tc>
      </w:tr>
    </w:tbl>
    <w:p w14:paraId="169BFDB2">
      <w:pPr>
        <w:pStyle w:val="21"/>
        <w:spacing w:before="0" w:beforeAutospacing="0" w:after="0" w:afterAutospacing="0"/>
        <w:jc w:val="center"/>
        <w:outlineLvl w:val="0"/>
        <w:rPr>
          <w:rFonts w:ascii="黑体" w:hAnsi="黑体" w:eastAsia="黑体" w:cs="黑体"/>
          <w:snapToGrid w:val="0"/>
          <w:sz w:val="32"/>
          <w:szCs w:val="32"/>
        </w:rPr>
      </w:pPr>
      <w:r>
        <w:rPr>
          <w:rFonts w:ascii="Times New Roman" w:hAnsi="Times New Roman"/>
          <w:snapToGrid w:val="0"/>
          <w:sz w:val="21"/>
          <w:szCs w:val="21"/>
        </w:rPr>
        <w:br w:type="page"/>
      </w:r>
      <w:r>
        <w:rPr>
          <w:rFonts w:hint="eastAsia" w:ascii="黑体" w:hAnsi="黑体" w:eastAsia="黑体" w:cs="黑体"/>
          <w:snapToGrid w:val="0"/>
          <w:sz w:val="32"/>
          <w:szCs w:val="32"/>
        </w:rPr>
        <w:t>六、结论</w:t>
      </w:r>
    </w:p>
    <w:tbl>
      <w:tblPr>
        <w:tblStyle w:val="24"/>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5F40AA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14:paraId="3BA3BE24">
            <w:pPr>
              <w:spacing w:line="360" w:lineRule="auto"/>
              <w:ind w:firstLine="480" w:firstLineChars="200"/>
              <w:rPr>
                <w:sz w:val="24"/>
                <w:szCs w:val="24"/>
              </w:rPr>
            </w:pPr>
            <w:r>
              <w:rPr>
                <w:rFonts w:hint="eastAsia"/>
                <w:sz w:val="24"/>
                <w:szCs w:val="24"/>
              </w:rPr>
              <w:t>本项目在运营过程中会产生废气、废水、噪声、固体废物等，在全面落实本报告表提出的各项环境保护措施的基础上，切实做到“三同时”制度，并在运营期内持之以恒加强环境管理的前提下，从环境保护角度，本项目环境影响可行。</w:t>
            </w:r>
          </w:p>
          <w:p w14:paraId="28C08440">
            <w:pPr>
              <w:spacing w:line="360" w:lineRule="auto"/>
              <w:ind w:firstLine="420" w:firstLineChars="200"/>
            </w:pPr>
          </w:p>
          <w:p w14:paraId="520CB705">
            <w:pPr>
              <w:spacing w:line="360" w:lineRule="auto"/>
              <w:ind w:firstLine="420" w:firstLineChars="200"/>
            </w:pPr>
          </w:p>
          <w:p w14:paraId="733F8A27">
            <w:pPr>
              <w:spacing w:line="360" w:lineRule="auto"/>
              <w:ind w:firstLine="420" w:firstLineChars="200"/>
            </w:pPr>
          </w:p>
          <w:p w14:paraId="039F17BC">
            <w:pPr>
              <w:spacing w:line="360" w:lineRule="auto"/>
              <w:ind w:firstLine="420" w:firstLineChars="200"/>
            </w:pPr>
          </w:p>
          <w:p w14:paraId="4FDA81D7">
            <w:pPr>
              <w:spacing w:line="360" w:lineRule="auto"/>
              <w:ind w:firstLine="420" w:firstLineChars="200"/>
            </w:pPr>
          </w:p>
          <w:p w14:paraId="1C6705A5">
            <w:pPr>
              <w:spacing w:line="360" w:lineRule="auto"/>
              <w:ind w:firstLine="420" w:firstLineChars="200"/>
            </w:pPr>
          </w:p>
          <w:p w14:paraId="231BCCCA">
            <w:pPr>
              <w:spacing w:line="360" w:lineRule="auto"/>
              <w:ind w:firstLine="420" w:firstLineChars="200"/>
            </w:pPr>
          </w:p>
          <w:p w14:paraId="19645584">
            <w:pPr>
              <w:spacing w:line="360" w:lineRule="auto"/>
              <w:ind w:firstLine="420" w:firstLineChars="200"/>
            </w:pPr>
          </w:p>
          <w:p w14:paraId="1DF46A54">
            <w:pPr>
              <w:spacing w:line="360" w:lineRule="auto"/>
              <w:ind w:firstLine="420" w:firstLineChars="200"/>
            </w:pPr>
          </w:p>
          <w:p w14:paraId="503C28C9">
            <w:pPr>
              <w:spacing w:line="360" w:lineRule="auto"/>
              <w:ind w:firstLine="420" w:firstLineChars="200"/>
            </w:pPr>
          </w:p>
          <w:p w14:paraId="5FE130D9">
            <w:pPr>
              <w:spacing w:line="360" w:lineRule="auto"/>
              <w:ind w:firstLine="420" w:firstLineChars="200"/>
            </w:pPr>
          </w:p>
          <w:p w14:paraId="38D5CD91">
            <w:pPr>
              <w:spacing w:line="360" w:lineRule="auto"/>
              <w:ind w:firstLine="420" w:firstLineChars="200"/>
            </w:pPr>
          </w:p>
          <w:p w14:paraId="4D6DE14E">
            <w:pPr>
              <w:spacing w:line="360" w:lineRule="auto"/>
              <w:ind w:firstLine="420" w:firstLineChars="200"/>
            </w:pPr>
          </w:p>
          <w:p w14:paraId="6C9468B1">
            <w:pPr>
              <w:spacing w:line="360" w:lineRule="auto"/>
              <w:ind w:firstLine="420" w:firstLineChars="200"/>
            </w:pPr>
          </w:p>
          <w:p w14:paraId="212BA138">
            <w:pPr>
              <w:spacing w:line="360" w:lineRule="auto"/>
              <w:ind w:firstLine="420" w:firstLineChars="200"/>
            </w:pPr>
          </w:p>
          <w:p w14:paraId="164AF450">
            <w:pPr>
              <w:spacing w:line="360" w:lineRule="auto"/>
              <w:ind w:firstLine="420" w:firstLineChars="200"/>
            </w:pPr>
          </w:p>
          <w:p w14:paraId="6D495A3B">
            <w:pPr>
              <w:spacing w:line="360" w:lineRule="auto"/>
              <w:ind w:firstLine="420" w:firstLineChars="200"/>
            </w:pPr>
          </w:p>
          <w:p w14:paraId="1501F502">
            <w:pPr>
              <w:spacing w:line="360" w:lineRule="auto"/>
              <w:ind w:firstLine="420" w:firstLineChars="200"/>
            </w:pPr>
          </w:p>
          <w:p w14:paraId="0554FE90">
            <w:pPr>
              <w:spacing w:line="360" w:lineRule="auto"/>
              <w:ind w:firstLine="420" w:firstLineChars="200"/>
            </w:pPr>
          </w:p>
          <w:p w14:paraId="6D8D62DC">
            <w:pPr>
              <w:spacing w:line="360" w:lineRule="auto"/>
              <w:ind w:firstLine="420" w:firstLineChars="200"/>
            </w:pPr>
          </w:p>
          <w:p w14:paraId="44E585E9">
            <w:pPr>
              <w:spacing w:line="360" w:lineRule="auto"/>
              <w:ind w:firstLine="420" w:firstLineChars="200"/>
            </w:pPr>
          </w:p>
          <w:p w14:paraId="76F7232F">
            <w:pPr>
              <w:spacing w:line="360" w:lineRule="auto"/>
              <w:ind w:firstLine="420" w:firstLineChars="200"/>
            </w:pPr>
          </w:p>
          <w:p w14:paraId="3CC390AF">
            <w:pPr>
              <w:pStyle w:val="36"/>
              <w:rPr>
                <w:rFonts w:eastAsia="宋体"/>
                <w:sz w:val="21"/>
                <w:szCs w:val="21"/>
              </w:rPr>
            </w:pPr>
          </w:p>
        </w:tc>
      </w:tr>
    </w:tbl>
    <w:p w14:paraId="5EFF076C">
      <w:pPr>
        <w:pStyle w:val="33"/>
        <w:spacing w:beforeLines="80" w:after="31"/>
        <w:jc w:val="left"/>
        <w:rPr>
          <w:rFonts w:ascii="Times New Roman"/>
          <w:szCs w:val="21"/>
        </w:rPr>
        <w:sectPr>
          <w:footerReference r:id="rId4" w:type="default"/>
          <w:pgSz w:w="11905" w:h="16838"/>
          <w:pgMar w:top="1701" w:right="1531" w:bottom="1701" w:left="1531" w:header="851" w:footer="850" w:gutter="0"/>
          <w:pgBorders>
            <w:top w:val="none" w:sz="0" w:space="0"/>
            <w:left w:val="none" w:sz="0" w:space="0"/>
            <w:bottom w:val="none" w:sz="0" w:space="0"/>
            <w:right w:val="none" w:sz="0" w:space="0"/>
          </w:pgBorders>
          <w:cols w:space="0" w:num="1"/>
          <w:docGrid w:type="lines" w:linePitch="312" w:charSpace="0"/>
        </w:sectPr>
      </w:pPr>
    </w:p>
    <w:p w14:paraId="5CD96FF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w:t>
      </w:r>
    </w:p>
    <w:p w14:paraId="39C73582">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黑体" w:hAnsi="黑体" w:eastAsia="黑体" w:cs="黑体"/>
          <w:b/>
          <w:bCs/>
          <w:snapToGrid w:val="0"/>
          <w:spacing w:val="0"/>
          <w:kern w:val="21"/>
          <w:sz w:val="24"/>
          <w:szCs w:val="24"/>
        </w:rPr>
      </w:pPr>
      <w:r>
        <w:rPr>
          <w:rFonts w:hint="eastAsia" w:ascii="黑体" w:hAnsi="黑体" w:eastAsia="黑体" w:cs="黑体"/>
          <w:b/>
          <w:bCs/>
          <w:snapToGrid w:val="0"/>
          <w:spacing w:val="0"/>
          <w:kern w:val="21"/>
          <w:sz w:val="24"/>
          <w:szCs w:val="24"/>
        </w:rPr>
        <w:t>建设项目污染物排放量汇总表</w:t>
      </w:r>
    </w:p>
    <w:tbl>
      <w:tblPr>
        <w:tblStyle w:val="24"/>
        <w:tblW w:w="134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550"/>
        <w:gridCol w:w="1661"/>
        <w:gridCol w:w="1245"/>
        <w:gridCol w:w="1661"/>
        <w:gridCol w:w="1345"/>
        <w:gridCol w:w="1575"/>
        <w:gridCol w:w="1635"/>
        <w:gridCol w:w="1433"/>
      </w:tblGrid>
      <w:tr w14:paraId="0FE908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82" w:type="dxa"/>
            <w:tcBorders>
              <w:tl2br w:val="single" w:color="auto" w:sz="4" w:space="0"/>
            </w:tcBorders>
            <w:noWrap w:val="0"/>
            <w:tcMar>
              <w:left w:w="28" w:type="dxa"/>
              <w:right w:w="28" w:type="dxa"/>
            </w:tcMar>
            <w:vAlign w:val="center"/>
          </w:tcPr>
          <w:p w14:paraId="2C9B67B3">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jc w:val="right"/>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napToGrid w:val="0"/>
                <w:color w:val="000000"/>
                <w:spacing w:val="0"/>
                <w:kern w:val="21"/>
                <w:sz w:val="21"/>
                <w:szCs w:val="21"/>
              </w:rPr>
              <w:t>项目</w:t>
            </w:r>
          </w:p>
          <w:p w14:paraId="6D2670BD">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jc w:val="left"/>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napToGrid w:val="0"/>
                <w:color w:val="000000"/>
                <w:spacing w:val="0"/>
                <w:kern w:val="21"/>
                <w:sz w:val="21"/>
                <w:szCs w:val="21"/>
              </w:rPr>
              <w:t>分类</w:t>
            </w:r>
          </w:p>
        </w:tc>
        <w:tc>
          <w:tcPr>
            <w:tcW w:w="1550" w:type="dxa"/>
            <w:noWrap w:val="0"/>
            <w:tcMar>
              <w:left w:w="28" w:type="dxa"/>
              <w:right w:w="28" w:type="dxa"/>
            </w:tcMar>
            <w:vAlign w:val="center"/>
          </w:tcPr>
          <w:p w14:paraId="3DDFF0FC">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napToGrid w:val="0"/>
                <w:color w:val="000000"/>
                <w:spacing w:val="0"/>
                <w:kern w:val="21"/>
                <w:sz w:val="21"/>
                <w:szCs w:val="21"/>
              </w:rPr>
              <w:t>污染物名称</w:t>
            </w:r>
          </w:p>
        </w:tc>
        <w:tc>
          <w:tcPr>
            <w:tcW w:w="1661" w:type="dxa"/>
            <w:noWrap w:val="0"/>
            <w:tcMar>
              <w:left w:w="28" w:type="dxa"/>
              <w:right w:w="28" w:type="dxa"/>
            </w:tcMar>
            <w:vAlign w:val="center"/>
          </w:tcPr>
          <w:p w14:paraId="6B278791">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napToGrid w:val="0"/>
                <w:color w:val="000000"/>
                <w:spacing w:val="0"/>
                <w:kern w:val="21"/>
                <w:sz w:val="21"/>
                <w:szCs w:val="21"/>
              </w:rPr>
              <w:t>现有工程</w:t>
            </w:r>
          </w:p>
          <w:p w14:paraId="05059C6D">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napToGrid w:val="0"/>
                <w:color w:val="000000"/>
                <w:spacing w:val="0"/>
                <w:kern w:val="21"/>
                <w:sz w:val="21"/>
                <w:szCs w:val="21"/>
              </w:rPr>
              <w:t>排放量（固体废物产生量）</w:t>
            </w:r>
            <w:r>
              <w:rPr>
                <w:rFonts w:hint="default" w:ascii="Times New Roman" w:hAnsi="Times New Roman" w:eastAsia="宋体" w:cs="Times New Roman"/>
                <w:smallCaps w:val="0"/>
                <w:snapToGrid w:val="0"/>
                <w:color w:val="000000"/>
                <w:spacing w:val="0"/>
                <w:kern w:val="21"/>
                <w:sz w:val="21"/>
                <w:szCs w:val="21"/>
              </w:rPr>
              <w:fldChar w:fldCharType="begin"/>
            </w:r>
            <w:r>
              <w:rPr>
                <w:rFonts w:hint="default" w:ascii="Times New Roman" w:hAnsi="Times New Roman" w:eastAsia="宋体" w:cs="Times New Roman"/>
                <w:smallCaps w:val="0"/>
                <w:snapToGrid w:val="0"/>
                <w:color w:val="000000"/>
                <w:spacing w:val="0"/>
                <w:kern w:val="21"/>
                <w:sz w:val="21"/>
                <w:szCs w:val="21"/>
              </w:rPr>
              <w:instrText xml:space="preserve"> = 1 \* GB3 \* MERGEFORMAT </w:instrText>
            </w:r>
            <w:r>
              <w:rPr>
                <w:rFonts w:hint="default" w:ascii="Times New Roman" w:hAnsi="Times New Roman" w:eastAsia="宋体" w:cs="Times New Roman"/>
                <w:smallCaps w:val="0"/>
                <w:snapToGrid w:val="0"/>
                <w:color w:val="000000"/>
                <w:spacing w:val="0"/>
                <w:kern w:val="21"/>
                <w:sz w:val="21"/>
                <w:szCs w:val="21"/>
              </w:rPr>
              <w:fldChar w:fldCharType="separate"/>
            </w:r>
            <w:r>
              <w:rPr>
                <w:rFonts w:hint="default" w:ascii="Times New Roman" w:hAnsi="Times New Roman" w:eastAsia="宋体" w:cs="Times New Roman"/>
                <w:smallCaps w:val="0"/>
                <w:spacing w:val="0"/>
                <w:kern w:val="21"/>
                <w:sz w:val="21"/>
                <w:szCs w:val="21"/>
              </w:rPr>
              <w:t>①</w:t>
            </w:r>
            <w:r>
              <w:rPr>
                <w:rFonts w:hint="default" w:ascii="Times New Roman" w:hAnsi="Times New Roman" w:eastAsia="宋体" w:cs="Times New Roman"/>
                <w:smallCaps w:val="0"/>
                <w:snapToGrid w:val="0"/>
                <w:color w:val="000000"/>
                <w:spacing w:val="0"/>
                <w:kern w:val="21"/>
                <w:sz w:val="21"/>
                <w:szCs w:val="21"/>
              </w:rPr>
              <w:fldChar w:fldCharType="end"/>
            </w:r>
          </w:p>
        </w:tc>
        <w:tc>
          <w:tcPr>
            <w:tcW w:w="1245" w:type="dxa"/>
            <w:noWrap w:val="0"/>
            <w:tcMar>
              <w:left w:w="28" w:type="dxa"/>
              <w:right w:w="28" w:type="dxa"/>
            </w:tcMar>
            <w:vAlign w:val="center"/>
          </w:tcPr>
          <w:p w14:paraId="503640FF">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napToGrid w:val="0"/>
                <w:color w:val="000000"/>
                <w:spacing w:val="0"/>
                <w:kern w:val="21"/>
                <w:sz w:val="21"/>
                <w:szCs w:val="21"/>
              </w:rPr>
              <w:t>现有工程</w:t>
            </w:r>
          </w:p>
          <w:p w14:paraId="7A8B2DF5">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napToGrid w:val="0"/>
                <w:color w:val="000000"/>
                <w:spacing w:val="0"/>
                <w:kern w:val="21"/>
                <w:sz w:val="21"/>
                <w:szCs w:val="21"/>
              </w:rPr>
              <w:t>许可排放量</w:t>
            </w:r>
          </w:p>
          <w:p w14:paraId="4A6AB01B">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napToGrid w:val="0"/>
                <w:color w:val="000000"/>
                <w:spacing w:val="0"/>
                <w:kern w:val="21"/>
                <w:sz w:val="21"/>
                <w:szCs w:val="21"/>
              </w:rPr>
              <w:fldChar w:fldCharType="begin"/>
            </w:r>
            <w:r>
              <w:rPr>
                <w:rFonts w:hint="default" w:ascii="Times New Roman" w:hAnsi="Times New Roman" w:eastAsia="宋体" w:cs="Times New Roman"/>
                <w:smallCaps w:val="0"/>
                <w:snapToGrid w:val="0"/>
                <w:color w:val="000000"/>
                <w:spacing w:val="0"/>
                <w:kern w:val="21"/>
                <w:sz w:val="21"/>
                <w:szCs w:val="21"/>
              </w:rPr>
              <w:instrText xml:space="preserve"> = 2 \* GB3 \* MERGEFORMAT </w:instrText>
            </w:r>
            <w:r>
              <w:rPr>
                <w:rFonts w:hint="default" w:ascii="Times New Roman" w:hAnsi="Times New Roman" w:eastAsia="宋体" w:cs="Times New Roman"/>
                <w:smallCaps w:val="0"/>
                <w:snapToGrid w:val="0"/>
                <w:color w:val="000000"/>
                <w:spacing w:val="0"/>
                <w:kern w:val="21"/>
                <w:sz w:val="21"/>
                <w:szCs w:val="21"/>
              </w:rPr>
              <w:fldChar w:fldCharType="separate"/>
            </w:r>
            <w:r>
              <w:rPr>
                <w:rFonts w:hint="default" w:ascii="Times New Roman" w:hAnsi="Times New Roman" w:eastAsia="宋体" w:cs="Times New Roman"/>
                <w:smallCaps w:val="0"/>
                <w:snapToGrid w:val="0"/>
                <w:color w:val="000000"/>
                <w:spacing w:val="0"/>
                <w:kern w:val="21"/>
                <w:sz w:val="21"/>
                <w:szCs w:val="21"/>
              </w:rPr>
              <w:t>②</w:t>
            </w:r>
            <w:r>
              <w:rPr>
                <w:rFonts w:hint="default" w:ascii="Times New Roman" w:hAnsi="Times New Roman" w:eastAsia="宋体" w:cs="Times New Roman"/>
                <w:smallCaps w:val="0"/>
                <w:snapToGrid w:val="0"/>
                <w:color w:val="000000"/>
                <w:spacing w:val="0"/>
                <w:kern w:val="21"/>
                <w:sz w:val="21"/>
                <w:szCs w:val="21"/>
              </w:rPr>
              <w:fldChar w:fldCharType="end"/>
            </w:r>
          </w:p>
        </w:tc>
        <w:tc>
          <w:tcPr>
            <w:tcW w:w="1661" w:type="dxa"/>
            <w:noWrap w:val="0"/>
            <w:tcMar>
              <w:left w:w="28" w:type="dxa"/>
              <w:right w:w="28" w:type="dxa"/>
            </w:tcMar>
            <w:vAlign w:val="center"/>
          </w:tcPr>
          <w:p w14:paraId="7CD1469B">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napToGrid w:val="0"/>
                <w:color w:val="000000"/>
                <w:spacing w:val="0"/>
                <w:kern w:val="21"/>
                <w:sz w:val="21"/>
                <w:szCs w:val="21"/>
              </w:rPr>
              <w:t>在建工程</w:t>
            </w:r>
          </w:p>
          <w:p w14:paraId="2D128FB2">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napToGrid w:val="0"/>
                <w:color w:val="000000"/>
                <w:spacing w:val="0"/>
                <w:kern w:val="21"/>
                <w:sz w:val="21"/>
                <w:szCs w:val="21"/>
              </w:rPr>
              <w:t>排放量（固体废物产生量）</w:t>
            </w:r>
            <w:r>
              <w:rPr>
                <w:rFonts w:hint="default" w:ascii="Times New Roman" w:hAnsi="Times New Roman" w:eastAsia="宋体" w:cs="Times New Roman"/>
                <w:smallCaps w:val="0"/>
                <w:snapToGrid w:val="0"/>
                <w:color w:val="000000"/>
                <w:spacing w:val="0"/>
                <w:kern w:val="21"/>
                <w:sz w:val="21"/>
                <w:szCs w:val="21"/>
              </w:rPr>
              <w:fldChar w:fldCharType="begin"/>
            </w:r>
            <w:r>
              <w:rPr>
                <w:rFonts w:hint="default" w:ascii="Times New Roman" w:hAnsi="Times New Roman" w:eastAsia="宋体" w:cs="Times New Roman"/>
                <w:smallCaps w:val="0"/>
                <w:snapToGrid w:val="0"/>
                <w:color w:val="000000"/>
                <w:spacing w:val="0"/>
                <w:kern w:val="21"/>
                <w:sz w:val="21"/>
                <w:szCs w:val="21"/>
              </w:rPr>
              <w:instrText xml:space="preserve"> = 3 \* GB3 \* MERGEFORMAT </w:instrText>
            </w:r>
            <w:r>
              <w:rPr>
                <w:rFonts w:hint="default" w:ascii="Times New Roman" w:hAnsi="Times New Roman" w:eastAsia="宋体" w:cs="Times New Roman"/>
                <w:smallCaps w:val="0"/>
                <w:snapToGrid w:val="0"/>
                <w:color w:val="000000"/>
                <w:spacing w:val="0"/>
                <w:kern w:val="21"/>
                <w:sz w:val="21"/>
                <w:szCs w:val="21"/>
              </w:rPr>
              <w:fldChar w:fldCharType="separate"/>
            </w:r>
            <w:r>
              <w:rPr>
                <w:rFonts w:hint="default" w:ascii="Times New Roman" w:hAnsi="Times New Roman" w:eastAsia="宋体" w:cs="Times New Roman"/>
                <w:smallCaps w:val="0"/>
                <w:spacing w:val="0"/>
                <w:kern w:val="21"/>
                <w:sz w:val="21"/>
                <w:szCs w:val="21"/>
              </w:rPr>
              <w:t>③</w:t>
            </w:r>
            <w:r>
              <w:rPr>
                <w:rFonts w:hint="default" w:ascii="Times New Roman" w:hAnsi="Times New Roman" w:eastAsia="宋体" w:cs="Times New Roman"/>
                <w:smallCaps w:val="0"/>
                <w:snapToGrid w:val="0"/>
                <w:color w:val="000000"/>
                <w:spacing w:val="0"/>
                <w:kern w:val="21"/>
                <w:sz w:val="21"/>
                <w:szCs w:val="21"/>
              </w:rPr>
              <w:fldChar w:fldCharType="end"/>
            </w:r>
          </w:p>
        </w:tc>
        <w:tc>
          <w:tcPr>
            <w:tcW w:w="1345" w:type="dxa"/>
            <w:noWrap w:val="0"/>
            <w:tcMar>
              <w:left w:w="28" w:type="dxa"/>
              <w:right w:w="28" w:type="dxa"/>
            </w:tcMar>
            <w:vAlign w:val="center"/>
          </w:tcPr>
          <w:p w14:paraId="30FB6AE8">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napToGrid w:val="0"/>
                <w:color w:val="000000"/>
                <w:spacing w:val="0"/>
                <w:kern w:val="21"/>
                <w:sz w:val="21"/>
                <w:szCs w:val="21"/>
              </w:rPr>
              <w:t>本项目</w:t>
            </w:r>
          </w:p>
          <w:p w14:paraId="6298284C">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napToGrid w:val="0"/>
                <w:color w:val="000000"/>
                <w:spacing w:val="0"/>
                <w:kern w:val="21"/>
                <w:sz w:val="21"/>
                <w:szCs w:val="21"/>
              </w:rPr>
              <w:t>排放量（固体废物产生量）</w:t>
            </w:r>
            <w:r>
              <w:rPr>
                <w:rFonts w:hint="default" w:ascii="Times New Roman" w:hAnsi="Times New Roman" w:eastAsia="宋体" w:cs="Times New Roman"/>
                <w:smallCaps w:val="0"/>
                <w:snapToGrid w:val="0"/>
                <w:color w:val="000000"/>
                <w:spacing w:val="0"/>
                <w:kern w:val="21"/>
                <w:sz w:val="21"/>
                <w:szCs w:val="21"/>
              </w:rPr>
              <w:fldChar w:fldCharType="begin"/>
            </w:r>
            <w:r>
              <w:rPr>
                <w:rFonts w:hint="default" w:ascii="Times New Roman" w:hAnsi="Times New Roman" w:eastAsia="宋体" w:cs="Times New Roman"/>
                <w:smallCaps w:val="0"/>
                <w:snapToGrid w:val="0"/>
                <w:color w:val="000000"/>
                <w:spacing w:val="0"/>
                <w:kern w:val="21"/>
                <w:sz w:val="21"/>
                <w:szCs w:val="21"/>
              </w:rPr>
              <w:instrText xml:space="preserve"> = 4 \* GB3 \* MERGEFORMAT </w:instrText>
            </w:r>
            <w:r>
              <w:rPr>
                <w:rFonts w:hint="default" w:ascii="Times New Roman" w:hAnsi="Times New Roman" w:eastAsia="宋体" w:cs="Times New Roman"/>
                <w:smallCaps w:val="0"/>
                <w:snapToGrid w:val="0"/>
                <w:color w:val="000000"/>
                <w:spacing w:val="0"/>
                <w:kern w:val="21"/>
                <w:sz w:val="21"/>
                <w:szCs w:val="21"/>
              </w:rPr>
              <w:fldChar w:fldCharType="separate"/>
            </w:r>
            <w:r>
              <w:rPr>
                <w:rFonts w:hint="default" w:ascii="Times New Roman" w:hAnsi="Times New Roman" w:eastAsia="宋体" w:cs="Times New Roman"/>
                <w:smallCaps w:val="0"/>
                <w:spacing w:val="0"/>
                <w:kern w:val="21"/>
                <w:sz w:val="21"/>
                <w:szCs w:val="21"/>
              </w:rPr>
              <w:t>④</w:t>
            </w:r>
            <w:r>
              <w:rPr>
                <w:rFonts w:hint="default" w:ascii="Times New Roman" w:hAnsi="Times New Roman" w:eastAsia="宋体" w:cs="Times New Roman"/>
                <w:smallCaps w:val="0"/>
                <w:snapToGrid w:val="0"/>
                <w:color w:val="000000"/>
                <w:spacing w:val="0"/>
                <w:kern w:val="21"/>
                <w:sz w:val="21"/>
                <w:szCs w:val="21"/>
              </w:rPr>
              <w:fldChar w:fldCharType="end"/>
            </w:r>
          </w:p>
        </w:tc>
        <w:tc>
          <w:tcPr>
            <w:tcW w:w="1575" w:type="dxa"/>
            <w:noWrap w:val="0"/>
            <w:tcMar>
              <w:left w:w="28" w:type="dxa"/>
              <w:right w:w="28" w:type="dxa"/>
            </w:tcMar>
            <w:vAlign w:val="center"/>
          </w:tcPr>
          <w:p w14:paraId="69BFEDC6">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napToGrid w:val="0"/>
                <w:color w:val="000000"/>
                <w:spacing w:val="0"/>
                <w:kern w:val="21"/>
                <w:sz w:val="21"/>
                <w:szCs w:val="21"/>
              </w:rPr>
              <w:t>以新带老削减量</w:t>
            </w:r>
          </w:p>
          <w:p w14:paraId="7CA81F83">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napToGrid w:val="0"/>
                <w:color w:val="000000"/>
                <w:spacing w:val="0"/>
                <w:kern w:val="21"/>
                <w:sz w:val="21"/>
                <w:szCs w:val="21"/>
              </w:rPr>
              <w:t>（新建项目不填）</w:t>
            </w:r>
            <w:r>
              <w:rPr>
                <w:rFonts w:hint="default" w:ascii="Times New Roman" w:hAnsi="Times New Roman" w:eastAsia="宋体" w:cs="Times New Roman"/>
                <w:smallCaps w:val="0"/>
                <w:snapToGrid w:val="0"/>
                <w:color w:val="000000"/>
                <w:spacing w:val="0"/>
                <w:kern w:val="21"/>
                <w:sz w:val="21"/>
                <w:szCs w:val="21"/>
              </w:rPr>
              <w:fldChar w:fldCharType="begin"/>
            </w:r>
            <w:r>
              <w:rPr>
                <w:rFonts w:hint="default" w:ascii="Times New Roman" w:hAnsi="Times New Roman" w:eastAsia="宋体" w:cs="Times New Roman"/>
                <w:smallCaps w:val="0"/>
                <w:snapToGrid w:val="0"/>
                <w:color w:val="000000"/>
                <w:spacing w:val="0"/>
                <w:kern w:val="21"/>
                <w:sz w:val="21"/>
                <w:szCs w:val="21"/>
              </w:rPr>
              <w:instrText xml:space="preserve"> = 5 \* GB3 \* MERGEFORMAT </w:instrText>
            </w:r>
            <w:r>
              <w:rPr>
                <w:rFonts w:hint="default" w:ascii="Times New Roman" w:hAnsi="Times New Roman" w:eastAsia="宋体" w:cs="Times New Roman"/>
                <w:smallCaps w:val="0"/>
                <w:snapToGrid w:val="0"/>
                <w:color w:val="000000"/>
                <w:spacing w:val="0"/>
                <w:kern w:val="21"/>
                <w:sz w:val="21"/>
                <w:szCs w:val="21"/>
              </w:rPr>
              <w:fldChar w:fldCharType="separate"/>
            </w:r>
            <w:r>
              <w:rPr>
                <w:rFonts w:hint="default" w:ascii="Times New Roman" w:hAnsi="Times New Roman" w:eastAsia="宋体" w:cs="Times New Roman"/>
                <w:smallCaps w:val="0"/>
                <w:spacing w:val="0"/>
                <w:kern w:val="21"/>
                <w:sz w:val="21"/>
                <w:szCs w:val="21"/>
              </w:rPr>
              <w:t>⑤</w:t>
            </w:r>
            <w:r>
              <w:rPr>
                <w:rFonts w:hint="default" w:ascii="Times New Roman" w:hAnsi="Times New Roman" w:eastAsia="宋体" w:cs="Times New Roman"/>
                <w:smallCaps w:val="0"/>
                <w:snapToGrid w:val="0"/>
                <w:color w:val="000000"/>
                <w:spacing w:val="0"/>
                <w:kern w:val="21"/>
                <w:sz w:val="21"/>
                <w:szCs w:val="21"/>
              </w:rPr>
              <w:fldChar w:fldCharType="end"/>
            </w:r>
          </w:p>
        </w:tc>
        <w:tc>
          <w:tcPr>
            <w:tcW w:w="1635" w:type="dxa"/>
            <w:noWrap w:val="0"/>
            <w:tcMar>
              <w:left w:w="28" w:type="dxa"/>
              <w:right w:w="28" w:type="dxa"/>
            </w:tcMar>
            <w:vAlign w:val="center"/>
          </w:tcPr>
          <w:p w14:paraId="531BC910">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napToGrid w:val="0"/>
                <w:color w:val="000000"/>
                <w:spacing w:val="0"/>
                <w:kern w:val="21"/>
                <w:sz w:val="21"/>
                <w:szCs w:val="21"/>
              </w:rPr>
              <w:t>本项目建成后</w:t>
            </w:r>
          </w:p>
          <w:p w14:paraId="60D2DF4C">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napToGrid w:val="0"/>
                <w:color w:val="000000"/>
                <w:spacing w:val="0"/>
                <w:kern w:val="21"/>
                <w:sz w:val="21"/>
                <w:szCs w:val="21"/>
              </w:rPr>
              <w:t>全厂排放量（固体废物产生量）</w:t>
            </w:r>
            <w:r>
              <w:rPr>
                <w:rFonts w:hint="default" w:ascii="Times New Roman" w:hAnsi="Times New Roman" w:eastAsia="宋体" w:cs="Times New Roman"/>
                <w:smallCaps w:val="0"/>
                <w:snapToGrid w:val="0"/>
                <w:color w:val="000000"/>
                <w:spacing w:val="0"/>
                <w:kern w:val="21"/>
                <w:sz w:val="21"/>
                <w:szCs w:val="21"/>
              </w:rPr>
              <w:fldChar w:fldCharType="begin"/>
            </w:r>
            <w:r>
              <w:rPr>
                <w:rFonts w:hint="default" w:ascii="Times New Roman" w:hAnsi="Times New Roman" w:eastAsia="宋体" w:cs="Times New Roman"/>
                <w:smallCaps w:val="0"/>
                <w:snapToGrid w:val="0"/>
                <w:color w:val="000000"/>
                <w:spacing w:val="0"/>
                <w:kern w:val="21"/>
                <w:sz w:val="21"/>
                <w:szCs w:val="21"/>
              </w:rPr>
              <w:instrText xml:space="preserve"> = 6 \* GB3 \* MERGEFORMAT </w:instrText>
            </w:r>
            <w:r>
              <w:rPr>
                <w:rFonts w:hint="default" w:ascii="Times New Roman" w:hAnsi="Times New Roman" w:eastAsia="宋体" w:cs="Times New Roman"/>
                <w:smallCaps w:val="0"/>
                <w:snapToGrid w:val="0"/>
                <w:color w:val="000000"/>
                <w:spacing w:val="0"/>
                <w:kern w:val="21"/>
                <w:sz w:val="21"/>
                <w:szCs w:val="21"/>
              </w:rPr>
              <w:fldChar w:fldCharType="separate"/>
            </w:r>
            <w:r>
              <w:rPr>
                <w:rFonts w:hint="default" w:ascii="Times New Roman" w:hAnsi="Times New Roman" w:eastAsia="宋体" w:cs="Times New Roman"/>
                <w:smallCaps w:val="0"/>
                <w:spacing w:val="0"/>
                <w:kern w:val="21"/>
                <w:sz w:val="21"/>
                <w:szCs w:val="21"/>
              </w:rPr>
              <w:t>⑥</w:t>
            </w:r>
            <w:r>
              <w:rPr>
                <w:rFonts w:hint="default" w:ascii="Times New Roman" w:hAnsi="Times New Roman" w:eastAsia="宋体" w:cs="Times New Roman"/>
                <w:smallCaps w:val="0"/>
                <w:snapToGrid w:val="0"/>
                <w:color w:val="000000"/>
                <w:spacing w:val="0"/>
                <w:kern w:val="21"/>
                <w:sz w:val="21"/>
                <w:szCs w:val="21"/>
              </w:rPr>
              <w:fldChar w:fldCharType="end"/>
            </w:r>
          </w:p>
        </w:tc>
        <w:tc>
          <w:tcPr>
            <w:tcW w:w="1433" w:type="dxa"/>
            <w:noWrap w:val="0"/>
            <w:tcMar>
              <w:left w:w="28" w:type="dxa"/>
              <w:right w:w="28" w:type="dxa"/>
            </w:tcMar>
            <w:vAlign w:val="center"/>
          </w:tcPr>
          <w:p w14:paraId="7AE621A0">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napToGrid w:val="0"/>
                <w:color w:val="000000"/>
                <w:spacing w:val="0"/>
                <w:kern w:val="21"/>
                <w:sz w:val="21"/>
                <w:szCs w:val="21"/>
              </w:rPr>
              <w:t>变化量</w:t>
            </w:r>
            <w:r>
              <w:rPr>
                <w:rFonts w:hint="default" w:ascii="Times New Roman" w:hAnsi="Times New Roman" w:eastAsia="宋体" w:cs="Times New Roman"/>
                <w:smallCaps w:val="0"/>
                <w:snapToGrid w:val="0"/>
                <w:color w:val="000000"/>
                <w:spacing w:val="0"/>
                <w:kern w:val="21"/>
                <w:sz w:val="21"/>
                <w:szCs w:val="21"/>
              </w:rPr>
              <w:fldChar w:fldCharType="begin"/>
            </w:r>
            <w:r>
              <w:rPr>
                <w:rFonts w:hint="default" w:ascii="Times New Roman" w:hAnsi="Times New Roman" w:eastAsia="宋体" w:cs="Times New Roman"/>
                <w:smallCaps w:val="0"/>
                <w:snapToGrid w:val="0"/>
                <w:color w:val="000000"/>
                <w:spacing w:val="0"/>
                <w:kern w:val="21"/>
                <w:sz w:val="21"/>
                <w:szCs w:val="21"/>
              </w:rPr>
              <w:instrText xml:space="preserve"> = 7 \* GB3 \* MERGEFORMAT </w:instrText>
            </w:r>
            <w:r>
              <w:rPr>
                <w:rFonts w:hint="default" w:ascii="Times New Roman" w:hAnsi="Times New Roman" w:eastAsia="宋体" w:cs="Times New Roman"/>
                <w:smallCaps w:val="0"/>
                <w:snapToGrid w:val="0"/>
                <w:color w:val="000000"/>
                <w:spacing w:val="0"/>
                <w:kern w:val="21"/>
                <w:sz w:val="21"/>
                <w:szCs w:val="21"/>
              </w:rPr>
              <w:fldChar w:fldCharType="separate"/>
            </w:r>
            <w:r>
              <w:rPr>
                <w:rFonts w:hint="default" w:ascii="Times New Roman" w:hAnsi="Times New Roman" w:eastAsia="宋体" w:cs="Times New Roman"/>
                <w:smallCaps w:val="0"/>
                <w:spacing w:val="0"/>
                <w:kern w:val="21"/>
                <w:sz w:val="21"/>
                <w:szCs w:val="21"/>
              </w:rPr>
              <w:t>⑦</w:t>
            </w:r>
            <w:r>
              <w:rPr>
                <w:rFonts w:hint="default" w:ascii="Times New Roman" w:hAnsi="Times New Roman" w:eastAsia="宋体" w:cs="Times New Roman"/>
                <w:smallCaps w:val="0"/>
                <w:snapToGrid w:val="0"/>
                <w:color w:val="000000"/>
                <w:spacing w:val="0"/>
                <w:kern w:val="21"/>
                <w:sz w:val="21"/>
                <w:szCs w:val="21"/>
              </w:rPr>
              <w:fldChar w:fldCharType="end"/>
            </w:r>
          </w:p>
        </w:tc>
      </w:tr>
      <w:tr w14:paraId="0495EE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82" w:type="dxa"/>
            <w:vMerge w:val="restart"/>
            <w:noWrap w:val="0"/>
            <w:vAlign w:val="center"/>
          </w:tcPr>
          <w:p w14:paraId="1A0CE4C5">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napToGrid w:val="0"/>
                <w:color w:val="000000"/>
                <w:spacing w:val="0"/>
                <w:kern w:val="21"/>
                <w:sz w:val="21"/>
                <w:szCs w:val="21"/>
              </w:rPr>
              <w:t>废气</w:t>
            </w:r>
          </w:p>
        </w:tc>
        <w:tc>
          <w:tcPr>
            <w:tcW w:w="1550" w:type="dxa"/>
            <w:noWrap w:val="0"/>
            <w:vAlign w:val="center"/>
          </w:tcPr>
          <w:p w14:paraId="19482388">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eastAsia" w:ascii="Times New Roman" w:cs="Times New Roman"/>
                <w:smallCaps w:val="0"/>
                <w:snapToGrid w:val="0"/>
                <w:color w:val="000000"/>
                <w:spacing w:val="0"/>
                <w:kern w:val="21"/>
                <w:sz w:val="21"/>
                <w:szCs w:val="21"/>
                <w:lang w:val="en-US" w:eastAsia="zh-CN"/>
              </w:rPr>
              <w:t>颗粒物</w:t>
            </w:r>
          </w:p>
        </w:tc>
        <w:tc>
          <w:tcPr>
            <w:tcW w:w="1661" w:type="dxa"/>
            <w:noWrap w:val="0"/>
            <w:vAlign w:val="center"/>
          </w:tcPr>
          <w:p w14:paraId="3AFBE14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smallCaps w:val="0"/>
                <w:snapToGrid w:val="0"/>
                <w:color w:val="000000"/>
                <w:spacing w:val="0"/>
                <w:kern w:val="21"/>
                <w:sz w:val="21"/>
                <w:szCs w:val="21"/>
                <w:lang w:val="en-US"/>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245" w:type="dxa"/>
            <w:noWrap w:val="0"/>
            <w:vAlign w:val="center"/>
          </w:tcPr>
          <w:p w14:paraId="723B66A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smallCaps w:val="0"/>
                <w:snapToGrid w:val="0"/>
                <w:color w:val="000000"/>
                <w:spacing w:val="0"/>
                <w:kern w:val="21"/>
                <w:sz w:val="21"/>
                <w:szCs w:val="21"/>
                <w:lang w:val="en-US"/>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661" w:type="dxa"/>
            <w:noWrap w:val="0"/>
            <w:vAlign w:val="center"/>
          </w:tcPr>
          <w:p w14:paraId="22ADD4FD">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jc w:val="center"/>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345" w:type="dxa"/>
            <w:noWrap w:val="0"/>
            <w:vAlign w:val="center"/>
          </w:tcPr>
          <w:p w14:paraId="4016AF91">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1.</w:t>
            </w:r>
            <w:r>
              <w:rPr>
                <w:rFonts w:hint="eastAsia" w:ascii="Times New Roman" w:cs="Times New Roman"/>
                <w:smallCaps w:val="0"/>
                <w:snapToGrid w:val="0"/>
                <w:color w:val="000000"/>
                <w:spacing w:val="0"/>
                <w:kern w:val="21"/>
                <w:sz w:val="21"/>
                <w:szCs w:val="21"/>
                <w:lang w:val="en-US" w:eastAsia="zh-CN"/>
              </w:rPr>
              <w:t>65</w:t>
            </w:r>
            <w:r>
              <w:rPr>
                <w:rFonts w:hint="default" w:ascii="Times New Roman" w:hAnsi="Times New Roman" w:eastAsia="宋体" w:cs="Times New Roman"/>
                <w:smallCaps w:val="0"/>
                <w:snapToGrid w:val="0"/>
                <w:color w:val="000000"/>
                <w:spacing w:val="0"/>
                <w:kern w:val="21"/>
                <w:sz w:val="21"/>
                <w:szCs w:val="21"/>
                <w:lang w:val="en-US" w:eastAsia="zh-CN"/>
              </w:rPr>
              <w:t>9t/a</w:t>
            </w:r>
          </w:p>
        </w:tc>
        <w:tc>
          <w:tcPr>
            <w:tcW w:w="1575" w:type="dxa"/>
            <w:noWrap w:val="0"/>
            <w:vAlign w:val="center"/>
          </w:tcPr>
          <w:p w14:paraId="696F1A4C">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635" w:type="dxa"/>
            <w:noWrap w:val="0"/>
            <w:vAlign w:val="center"/>
          </w:tcPr>
          <w:p w14:paraId="075F2B55">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napToGrid w:val="0"/>
                <w:color w:val="000000"/>
                <w:spacing w:val="0"/>
                <w:kern w:val="21"/>
                <w:sz w:val="21"/>
                <w:szCs w:val="21"/>
                <w:lang w:val="en-US" w:eastAsia="zh-CN"/>
              </w:rPr>
              <w:t>1.</w:t>
            </w:r>
            <w:r>
              <w:rPr>
                <w:rFonts w:hint="eastAsia" w:ascii="Times New Roman" w:cs="Times New Roman"/>
                <w:smallCaps w:val="0"/>
                <w:snapToGrid w:val="0"/>
                <w:color w:val="000000"/>
                <w:spacing w:val="0"/>
                <w:kern w:val="21"/>
                <w:sz w:val="21"/>
                <w:szCs w:val="21"/>
                <w:lang w:val="en-US" w:eastAsia="zh-CN"/>
              </w:rPr>
              <w:t>65</w:t>
            </w:r>
            <w:r>
              <w:rPr>
                <w:rFonts w:hint="default" w:ascii="Times New Roman" w:hAnsi="Times New Roman" w:eastAsia="宋体" w:cs="Times New Roman"/>
                <w:smallCaps w:val="0"/>
                <w:snapToGrid w:val="0"/>
                <w:color w:val="000000"/>
                <w:spacing w:val="0"/>
                <w:kern w:val="21"/>
                <w:sz w:val="21"/>
                <w:szCs w:val="21"/>
                <w:lang w:val="en-US" w:eastAsia="zh-CN"/>
              </w:rPr>
              <w:t>9t/a</w:t>
            </w:r>
          </w:p>
        </w:tc>
        <w:tc>
          <w:tcPr>
            <w:tcW w:w="1433" w:type="dxa"/>
            <w:noWrap w:val="0"/>
            <w:vAlign w:val="center"/>
          </w:tcPr>
          <w:p w14:paraId="6F16509D">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rPr>
            </w:pPr>
            <w:r>
              <w:rPr>
                <w:rFonts w:hint="default" w:ascii="Times New Roman" w:hAnsi="Times New Roman" w:eastAsia="宋体" w:cs="Times New Roman"/>
                <w:smallCaps w:val="0"/>
                <w:snapToGrid w:val="0"/>
                <w:color w:val="000000"/>
                <w:spacing w:val="0"/>
                <w:kern w:val="21"/>
                <w:sz w:val="21"/>
                <w:szCs w:val="21"/>
                <w:lang w:val="en-US" w:eastAsia="zh-CN"/>
              </w:rPr>
              <w:t>+1.</w:t>
            </w:r>
            <w:r>
              <w:rPr>
                <w:rFonts w:hint="eastAsia" w:ascii="Times New Roman" w:cs="Times New Roman"/>
                <w:smallCaps w:val="0"/>
                <w:snapToGrid w:val="0"/>
                <w:color w:val="000000"/>
                <w:spacing w:val="0"/>
                <w:kern w:val="21"/>
                <w:sz w:val="21"/>
                <w:szCs w:val="21"/>
                <w:lang w:val="en-US" w:eastAsia="zh-CN"/>
              </w:rPr>
              <w:t>65</w:t>
            </w:r>
            <w:r>
              <w:rPr>
                <w:rFonts w:hint="default" w:ascii="Times New Roman" w:hAnsi="Times New Roman" w:eastAsia="宋体" w:cs="Times New Roman"/>
                <w:smallCaps w:val="0"/>
                <w:snapToGrid w:val="0"/>
                <w:color w:val="000000"/>
                <w:spacing w:val="0"/>
                <w:kern w:val="21"/>
                <w:sz w:val="21"/>
                <w:szCs w:val="21"/>
                <w:lang w:val="en-US" w:eastAsia="zh-CN"/>
              </w:rPr>
              <w:t>9t/a</w:t>
            </w:r>
          </w:p>
        </w:tc>
      </w:tr>
      <w:tr w14:paraId="300792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82" w:type="dxa"/>
            <w:vMerge w:val="continue"/>
            <w:noWrap w:val="0"/>
            <w:vAlign w:val="center"/>
          </w:tcPr>
          <w:p w14:paraId="4FF96148">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p>
        </w:tc>
        <w:tc>
          <w:tcPr>
            <w:tcW w:w="1550" w:type="dxa"/>
            <w:noWrap w:val="0"/>
            <w:vAlign w:val="center"/>
          </w:tcPr>
          <w:p w14:paraId="78B54C03">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color w:val="auto"/>
                <w:kern w:val="0"/>
                <w:sz w:val="21"/>
                <w:szCs w:val="21"/>
                <w:lang w:val="en-US" w:eastAsia="zh-CN" w:bidi="ar-SA"/>
              </w:rPr>
            </w:pPr>
            <w:r>
              <w:rPr>
                <w:rFonts w:hint="eastAsia" w:ascii="Times New Roman" w:cs="Times New Roman"/>
                <w:smallCaps w:val="0"/>
                <w:color w:val="auto"/>
                <w:kern w:val="0"/>
                <w:sz w:val="21"/>
                <w:szCs w:val="21"/>
                <w:lang w:val="en-US" w:eastAsia="zh-CN" w:bidi="ar-SA"/>
              </w:rPr>
              <w:t>非甲烷总烃</w:t>
            </w:r>
          </w:p>
        </w:tc>
        <w:tc>
          <w:tcPr>
            <w:tcW w:w="1661" w:type="dxa"/>
            <w:noWrap w:val="0"/>
            <w:vAlign w:val="center"/>
          </w:tcPr>
          <w:p w14:paraId="3AD64E2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245" w:type="dxa"/>
            <w:noWrap w:val="0"/>
            <w:vAlign w:val="center"/>
          </w:tcPr>
          <w:p w14:paraId="4E58254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661" w:type="dxa"/>
            <w:noWrap w:val="0"/>
            <w:vAlign w:val="center"/>
          </w:tcPr>
          <w:p w14:paraId="326CFDC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345" w:type="dxa"/>
            <w:noWrap w:val="0"/>
            <w:vAlign w:val="center"/>
          </w:tcPr>
          <w:p w14:paraId="63FB6D55">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0.</w:t>
            </w:r>
            <w:r>
              <w:rPr>
                <w:rFonts w:hint="eastAsia" w:ascii="Times New Roman" w:cs="Times New Roman"/>
                <w:smallCaps w:val="0"/>
                <w:snapToGrid w:val="0"/>
                <w:color w:val="000000"/>
                <w:spacing w:val="0"/>
                <w:kern w:val="21"/>
                <w:sz w:val="21"/>
                <w:szCs w:val="21"/>
                <w:lang w:val="en-US" w:eastAsia="zh-CN"/>
              </w:rPr>
              <w:t>1</w:t>
            </w:r>
            <w:r>
              <w:rPr>
                <w:rFonts w:hint="default" w:ascii="Times New Roman" w:hAnsi="Times New Roman" w:eastAsia="宋体" w:cs="Times New Roman"/>
                <w:smallCaps w:val="0"/>
                <w:snapToGrid w:val="0"/>
                <w:color w:val="000000"/>
                <w:spacing w:val="0"/>
                <w:kern w:val="21"/>
                <w:sz w:val="21"/>
                <w:szCs w:val="21"/>
                <w:lang w:val="en-US" w:eastAsia="zh-CN"/>
              </w:rPr>
              <w:t>t/a</w:t>
            </w:r>
          </w:p>
        </w:tc>
        <w:tc>
          <w:tcPr>
            <w:tcW w:w="1575" w:type="dxa"/>
            <w:noWrap w:val="0"/>
            <w:vAlign w:val="center"/>
          </w:tcPr>
          <w:p w14:paraId="2737036E">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635" w:type="dxa"/>
            <w:noWrap w:val="0"/>
            <w:vAlign w:val="center"/>
          </w:tcPr>
          <w:p w14:paraId="45A3DB33">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eastAsia" w:ascii="Times New Roman" w:cs="Times New Roman"/>
                <w:smallCaps w:val="0"/>
                <w:snapToGrid w:val="0"/>
                <w:color w:val="000000"/>
                <w:spacing w:val="0"/>
                <w:kern w:val="21"/>
                <w:sz w:val="21"/>
                <w:szCs w:val="21"/>
                <w:lang w:val="en-US" w:eastAsia="zh-CN"/>
              </w:rPr>
              <w:t>0.</w:t>
            </w:r>
            <w:r>
              <w:rPr>
                <w:rFonts w:hint="default" w:ascii="Times New Roman" w:hAnsi="Times New Roman" w:eastAsia="宋体" w:cs="Times New Roman"/>
                <w:smallCaps w:val="0"/>
                <w:snapToGrid w:val="0"/>
                <w:color w:val="000000"/>
                <w:spacing w:val="0"/>
                <w:kern w:val="21"/>
                <w:sz w:val="21"/>
                <w:szCs w:val="21"/>
                <w:lang w:val="en-US" w:eastAsia="zh-CN"/>
              </w:rPr>
              <w:t>t/a</w:t>
            </w:r>
          </w:p>
        </w:tc>
        <w:tc>
          <w:tcPr>
            <w:tcW w:w="1433" w:type="dxa"/>
            <w:noWrap w:val="0"/>
            <w:vAlign w:val="center"/>
          </w:tcPr>
          <w:p w14:paraId="66AF59C4">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+0.</w:t>
            </w:r>
            <w:r>
              <w:rPr>
                <w:rFonts w:hint="eastAsia" w:ascii="Times New Roman" w:cs="Times New Roman"/>
                <w:smallCaps w:val="0"/>
                <w:snapToGrid w:val="0"/>
                <w:color w:val="000000"/>
                <w:spacing w:val="0"/>
                <w:kern w:val="21"/>
                <w:sz w:val="21"/>
                <w:szCs w:val="21"/>
                <w:lang w:val="en-US" w:eastAsia="zh-CN"/>
              </w:rPr>
              <w:t>1</w:t>
            </w:r>
            <w:r>
              <w:rPr>
                <w:rFonts w:hint="default" w:ascii="Times New Roman" w:hAnsi="Times New Roman" w:eastAsia="宋体" w:cs="Times New Roman"/>
                <w:smallCaps w:val="0"/>
                <w:snapToGrid w:val="0"/>
                <w:color w:val="000000"/>
                <w:spacing w:val="0"/>
                <w:kern w:val="21"/>
                <w:sz w:val="21"/>
                <w:szCs w:val="21"/>
                <w:lang w:val="en-US" w:eastAsia="zh-CN"/>
              </w:rPr>
              <w:t>t/a</w:t>
            </w:r>
          </w:p>
        </w:tc>
      </w:tr>
      <w:tr w14:paraId="433DCD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82" w:type="dxa"/>
            <w:noWrap w:val="0"/>
            <w:vAlign w:val="center"/>
          </w:tcPr>
          <w:p w14:paraId="2FF6A54C">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jc w:val="center"/>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废水</w:t>
            </w:r>
          </w:p>
        </w:tc>
        <w:tc>
          <w:tcPr>
            <w:tcW w:w="1550" w:type="dxa"/>
            <w:noWrap w:val="0"/>
            <w:vAlign w:val="center"/>
          </w:tcPr>
          <w:p w14:paraId="02840792">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z w:val="21"/>
                <w:szCs w:val="21"/>
                <w:lang w:val="en-US" w:eastAsia="zh-CN"/>
              </w:rPr>
            </w:pPr>
            <w:r>
              <w:rPr>
                <w:rFonts w:hint="default" w:ascii="Times New Roman" w:hAnsi="Times New Roman" w:eastAsia="宋体" w:cs="Times New Roman"/>
                <w:smallCaps w:val="0"/>
                <w:sz w:val="21"/>
                <w:szCs w:val="21"/>
                <w:lang w:val="en-US" w:eastAsia="zh-CN"/>
              </w:rPr>
              <w:t>生活污水</w:t>
            </w:r>
          </w:p>
        </w:tc>
        <w:tc>
          <w:tcPr>
            <w:tcW w:w="1661" w:type="dxa"/>
            <w:noWrap w:val="0"/>
            <w:vAlign w:val="center"/>
          </w:tcPr>
          <w:p w14:paraId="5372844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245" w:type="dxa"/>
            <w:noWrap w:val="0"/>
            <w:vAlign w:val="center"/>
          </w:tcPr>
          <w:p w14:paraId="135686F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661" w:type="dxa"/>
            <w:noWrap w:val="0"/>
            <w:vAlign w:val="center"/>
          </w:tcPr>
          <w:p w14:paraId="77EB766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345" w:type="dxa"/>
            <w:noWrap w:val="0"/>
            <w:vAlign w:val="center"/>
          </w:tcPr>
          <w:p w14:paraId="26DD27CA">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1</w:t>
            </w:r>
            <w:r>
              <w:rPr>
                <w:rFonts w:hint="eastAsia" w:ascii="Times New Roman" w:cs="Times New Roman"/>
                <w:smallCaps w:val="0"/>
                <w:snapToGrid w:val="0"/>
                <w:color w:val="000000"/>
                <w:spacing w:val="0"/>
                <w:kern w:val="21"/>
                <w:sz w:val="21"/>
                <w:szCs w:val="21"/>
                <w:lang w:val="en-US" w:eastAsia="zh-CN"/>
              </w:rPr>
              <w:t>017.6</w:t>
            </w:r>
            <w:r>
              <w:rPr>
                <w:rFonts w:hint="default" w:ascii="Times New Roman" w:hAnsi="Times New Roman" w:eastAsia="宋体" w:cs="Times New Roman"/>
                <w:smallCaps w:val="0"/>
                <w:snapToGrid w:val="0"/>
                <w:color w:val="000000"/>
                <w:spacing w:val="0"/>
                <w:kern w:val="21"/>
                <w:sz w:val="21"/>
                <w:szCs w:val="21"/>
                <w:lang w:val="en-US" w:eastAsia="zh-CN"/>
              </w:rPr>
              <w:t>m</w:t>
            </w:r>
            <w:r>
              <w:rPr>
                <w:rFonts w:hint="default" w:ascii="Times New Roman" w:hAnsi="Times New Roman" w:eastAsia="宋体" w:cs="Times New Roman"/>
                <w:smallCaps w:val="0"/>
                <w:snapToGrid w:val="0"/>
                <w:color w:val="000000"/>
                <w:spacing w:val="0"/>
                <w:kern w:val="21"/>
                <w:sz w:val="21"/>
                <w:szCs w:val="21"/>
                <w:vertAlign w:val="superscript"/>
                <w:lang w:val="en-US" w:eastAsia="zh-CN"/>
              </w:rPr>
              <w:t>3</w:t>
            </w:r>
            <w:r>
              <w:rPr>
                <w:rFonts w:hint="default" w:ascii="Times New Roman" w:hAnsi="Times New Roman" w:eastAsia="宋体" w:cs="Times New Roman"/>
                <w:smallCaps w:val="0"/>
                <w:snapToGrid w:val="0"/>
                <w:color w:val="000000"/>
                <w:spacing w:val="0"/>
                <w:kern w:val="21"/>
                <w:sz w:val="21"/>
                <w:szCs w:val="21"/>
                <w:lang w:val="en-US" w:eastAsia="zh-CN"/>
              </w:rPr>
              <w:t>/a</w:t>
            </w:r>
          </w:p>
        </w:tc>
        <w:tc>
          <w:tcPr>
            <w:tcW w:w="1575" w:type="dxa"/>
            <w:noWrap w:val="0"/>
            <w:vAlign w:val="center"/>
          </w:tcPr>
          <w:p w14:paraId="600E7CA5">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635" w:type="dxa"/>
            <w:noWrap w:val="0"/>
            <w:vAlign w:val="center"/>
          </w:tcPr>
          <w:p w14:paraId="0F7976A7">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1</w:t>
            </w:r>
            <w:r>
              <w:rPr>
                <w:rFonts w:hint="eastAsia" w:ascii="Times New Roman" w:cs="Times New Roman"/>
                <w:smallCaps w:val="0"/>
                <w:snapToGrid w:val="0"/>
                <w:color w:val="000000"/>
                <w:spacing w:val="0"/>
                <w:kern w:val="21"/>
                <w:sz w:val="21"/>
                <w:szCs w:val="21"/>
                <w:lang w:val="en-US" w:eastAsia="zh-CN"/>
              </w:rPr>
              <w:t>017.6</w:t>
            </w:r>
            <w:r>
              <w:rPr>
                <w:rFonts w:hint="default" w:ascii="Times New Roman" w:hAnsi="Times New Roman" w:eastAsia="宋体" w:cs="Times New Roman"/>
                <w:smallCaps w:val="0"/>
                <w:snapToGrid w:val="0"/>
                <w:color w:val="000000"/>
                <w:spacing w:val="0"/>
                <w:kern w:val="21"/>
                <w:sz w:val="21"/>
                <w:szCs w:val="21"/>
                <w:lang w:val="en-US" w:eastAsia="zh-CN"/>
              </w:rPr>
              <w:t>m</w:t>
            </w:r>
            <w:r>
              <w:rPr>
                <w:rFonts w:hint="default" w:ascii="Times New Roman" w:hAnsi="Times New Roman" w:eastAsia="宋体" w:cs="Times New Roman"/>
                <w:smallCaps w:val="0"/>
                <w:snapToGrid w:val="0"/>
                <w:color w:val="000000"/>
                <w:spacing w:val="0"/>
                <w:kern w:val="21"/>
                <w:sz w:val="21"/>
                <w:szCs w:val="21"/>
                <w:vertAlign w:val="superscript"/>
                <w:lang w:val="en-US" w:eastAsia="zh-CN"/>
              </w:rPr>
              <w:t>3</w:t>
            </w:r>
            <w:r>
              <w:rPr>
                <w:rFonts w:hint="default" w:ascii="Times New Roman" w:hAnsi="Times New Roman" w:eastAsia="宋体" w:cs="Times New Roman"/>
                <w:smallCaps w:val="0"/>
                <w:snapToGrid w:val="0"/>
                <w:color w:val="000000"/>
                <w:spacing w:val="0"/>
                <w:kern w:val="21"/>
                <w:sz w:val="21"/>
                <w:szCs w:val="21"/>
                <w:lang w:val="en-US" w:eastAsia="zh-CN"/>
              </w:rPr>
              <w:t>/a</w:t>
            </w:r>
          </w:p>
        </w:tc>
        <w:tc>
          <w:tcPr>
            <w:tcW w:w="1433" w:type="dxa"/>
            <w:noWrap w:val="0"/>
            <w:vAlign w:val="center"/>
          </w:tcPr>
          <w:p w14:paraId="6B07D1AB">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+1</w:t>
            </w:r>
            <w:r>
              <w:rPr>
                <w:rFonts w:hint="eastAsia" w:ascii="Times New Roman" w:cs="Times New Roman"/>
                <w:smallCaps w:val="0"/>
                <w:snapToGrid w:val="0"/>
                <w:color w:val="000000"/>
                <w:spacing w:val="0"/>
                <w:kern w:val="21"/>
                <w:sz w:val="21"/>
                <w:szCs w:val="21"/>
                <w:lang w:val="en-US" w:eastAsia="zh-CN"/>
              </w:rPr>
              <w:t>017.6</w:t>
            </w:r>
            <w:r>
              <w:rPr>
                <w:rFonts w:hint="default" w:ascii="Times New Roman" w:hAnsi="Times New Roman" w:eastAsia="宋体" w:cs="Times New Roman"/>
                <w:smallCaps w:val="0"/>
                <w:snapToGrid w:val="0"/>
                <w:color w:val="000000"/>
                <w:spacing w:val="0"/>
                <w:kern w:val="21"/>
                <w:sz w:val="21"/>
                <w:szCs w:val="21"/>
                <w:lang w:val="en-US" w:eastAsia="zh-CN"/>
              </w:rPr>
              <w:t>m</w:t>
            </w:r>
            <w:r>
              <w:rPr>
                <w:rFonts w:hint="default" w:ascii="Times New Roman" w:hAnsi="Times New Roman" w:eastAsia="宋体" w:cs="Times New Roman"/>
                <w:smallCaps w:val="0"/>
                <w:snapToGrid w:val="0"/>
                <w:color w:val="000000"/>
                <w:spacing w:val="0"/>
                <w:kern w:val="21"/>
                <w:sz w:val="21"/>
                <w:szCs w:val="21"/>
                <w:vertAlign w:val="superscript"/>
                <w:lang w:val="en-US" w:eastAsia="zh-CN"/>
              </w:rPr>
              <w:t>3</w:t>
            </w:r>
            <w:r>
              <w:rPr>
                <w:rFonts w:hint="default" w:ascii="Times New Roman" w:hAnsi="Times New Roman" w:eastAsia="宋体" w:cs="Times New Roman"/>
                <w:smallCaps w:val="0"/>
                <w:snapToGrid w:val="0"/>
                <w:color w:val="000000"/>
                <w:spacing w:val="0"/>
                <w:kern w:val="21"/>
                <w:sz w:val="21"/>
                <w:szCs w:val="21"/>
                <w:lang w:val="en-US" w:eastAsia="zh-CN"/>
              </w:rPr>
              <w:t>/a</w:t>
            </w:r>
          </w:p>
        </w:tc>
      </w:tr>
      <w:tr w14:paraId="767080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82" w:type="dxa"/>
            <w:vMerge w:val="restart"/>
            <w:noWrap w:val="0"/>
            <w:vAlign w:val="center"/>
          </w:tcPr>
          <w:p w14:paraId="479D0151">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napToGrid w:val="0"/>
                <w:color w:val="000000"/>
                <w:spacing w:val="0"/>
                <w:kern w:val="21"/>
                <w:sz w:val="21"/>
                <w:szCs w:val="21"/>
              </w:rPr>
              <w:t>一般工业固体废物</w:t>
            </w:r>
          </w:p>
        </w:tc>
        <w:tc>
          <w:tcPr>
            <w:tcW w:w="1550" w:type="dxa"/>
            <w:noWrap w:val="0"/>
            <w:vAlign w:val="center"/>
          </w:tcPr>
          <w:p w14:paraId="42AD3B17">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z w:val="21"/>
                <w:szCs w:val="21"/>
              </w:rPr>
              <w:t>生活垃圾</w:t>
            </w:r>
          </w:p>
        </w:tc>
        <w:tc>
          <w:tcPr>
            <w:tcW w:w="1661" w:type="dxa"/>
            <w:noWrap w:val="0"/>
            <w:vAlign w:val="center"/>
          </w:tcPr>
          <w:p w14:paraId="6716E63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smallCaps w:val="0"/>
                <w:snapToGrid w:val="0"/>
                <w:color w:val="000000"/>
                <w:spacing w:val="0"/>
                <w:kern w:val="21"/>
                <w:sz w:val="21"/>
                <w:szCs w:val="21"/>
                <w:lang w:val="en-US"/>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245" w:type="dxa"/>
            <w:noWrap w:val="0"/>
            <w:vAlign w:val="center"/>
          </w:tcPr>
          <w:p w14:paraId="1A536F6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smallCaps w:val="0"/>
                <w:snapToGrid w:val="0"/>
                <w:color w:val="000000"/>
                <w:spacing w:val="0"/>
                <w:kern w:val="21"/>
                <w:sz w:val="21"/>
                <w:szCs w:val="21"/>
                <w:lang w:val="en-US"/>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661" w:type="dxa"/>
            <w:noWrap w:val="0"/>
            <w:vAlign w:val="center"/>
          </w:tcPr>
          <w:p w14:paraId="6EA0A2C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jc w:val="center"/>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345" w:type="dxa"/>
            <w:noWrap w:val="0"/>
            <w:vAlign w:val="center"/>
          </w:tcPr>
          <w:p w14:paraId="61EBE57A">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1</w:t>
            </w:r>
            <w:r>
              <w:rPr>
                <w:rFonts w:hint="eastAsia" w:ascii="Times New Roman" w:cs="Times New Roman"/>
                <w:smallCaps w:val="0"/>
                <w:snapToGrid w:val="0"/>
                <w:color w:val="000000"/>
                <w:spacing w:val="0"/>
                <w:kern w:val="21"/>
                <w:sz w:val="21"/>
                <w:szCs w:val="21"/>
                <w:lang w:val="en-US" w:eastAsia="zh-CN"/>
              </w:rPr>
              <w:t>2.72</w:t>
            </w:r>
            <w:r>
              <w:rPr>
                <w:rFonts w:hint="default" w:ascii="Times New Roman" w:hAnsi="Times New Roman" w:eastAsia="宋体" w:cs="Times New Roman"/>
                <w:smallCaps w:val="0"/>
                <w:snapToGrid w:val="0"/>
                <w:color w:val="000000"/>
                <w:spacing w:val="0"/>
                <w:kern w:val="21"/>
                <w:sz w:val="21"/>
                <w:szCs w:val="21"/>
                <w:lang w:val="en-US" w:eastAsia="zh-CN"/>
              </w:rPr>
              <w:t>t/a</w:t>
            </w:r>
          </w:p>
        </w:tc>
        <w:tc>
          <w:tcPr>
            <w:tcW w:w="1575" w:type="dxa"/>
            <w:noWrap w:val="0"/>
            <w:vAlign w:val="center"/>
          </w:tcPr>
          <w:p w14:paraId="5E8BB150">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635" w:type="dxa"/>
            <w:noWrap w:val="0"/>
            <w:vAlign w:val="center"/>
          </w:tcPr>
          <w:p w14:paraId="587A1DA0">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r>
              <w:rPr>
                <w:rFonts w:hint="eastAsia" w:ascii="Times New Roman" w:cs="Times New Roman"/>
                <w:smallCaps w:val="0"/>
                <w:snapToGrid w:val="0"/>
                <w:color w:val="000000"/>
                <w:spacing w:val="0"/>
                <w:kern w:val="21"/>
                <w:sz w:val="21"/>
                <w:szCs w:val="21"/>
                <w:lang w:val="en-US" w:eastAsia="zh-CN"/>
              </w:rPr>
              <w:t>12.72</w:t>
            </w:r>
            <w:r>
              <w:rPr>
                <w:rFonts w:hint="default" w:ascii="Times New Roman" w:hAnsi="Times New Roman" w:eastAsia="宋体" w:cs="Times New Roman"/>
                <w:smallCaps w:val="0"/>
                <w:snapToGrid w:val="0"/>
                <w:color w:val="000000"/>
                <w:spacing w:val="0"/>
                <w:kern w:val="21"/>
                <w:sz w:val="21"/>
                <w:szCs w:val="21"/>
                <w:lang w:val="en-US" w:eastAsia="zh-CN"/>
              </w:rPr>
              <w:t>t/a</w:t>
            </w:r>
          </w:p>
        </w:tc>
        <w:tc>
          <w:tcPr>
            <w:tcW w:w="1433" w:type="dxa"/>
            <w:noWrap w:val="0"/>
            <w:vAlign w:val="center"/>
          </w:tcPr>
          <w:p w14:paraId="4A660EA1">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rPr>
            </w:pPr>
            <w:r>
              <w:rPr>
                <w:rFonts w:hint="default" w:ascii="Times New Roman" w:hAnsi="Times New Roman" w:eastAsia="宋体" w:cs="Times New Roman"/>
                <w:smallCaps w:val="0"/>
                <w:snapToGrid w:val="0"/>
                <w:color w:val="000000"/>
                <w:spacing w:val="0"/>
                <w:kern w:val="21"/>
                <w:sz w:val="21"/>
                <w:szCs w:val="21"/>
                <w:lang w:val="en-US" w:eastAsia="zh-CN"/>
              </w:rPr>
              <w:t>+1</w:t>
            </w:r>
            <w:r>
              <w:rPr>
                <w:rFonts w:hint="eastAsia" w:ascii="Times New Roman" w:cs="Times New Roman"/>
                <w:smallCaps w:val="0"/>
                <w:snapToGrid w:val="0"/>
                <w:color w:val="000000"/>
                <w:spacing w:val="0"/>
                <w:kern w:val="21"/>
                <w:sz w:val="21"/>
                <w:szCs w:val="21"/>
                <w:lang w:val="en-US" w:eastAsia="zh-CN"/>
              </w:rPr>
              <w:t>2.72</w:t>
            </w:r>
            <w:r>
              <w:rPr>
                <w:rFonts w:hint="default" w:ascii="Times New Roman" w:hAnsi="Times New Roman" w:eastAsia="宋体" w:cs="Times New Roman"/>
                <w:smallCaps w:val="0"/>
                <w:snapToGrid w:val="0"/>
                <w:color w:val="000000"/>
                <w:spacing w:val="0"/>
                <w:kern w:val="21"/>
                <w:sz w:val="21"/>
                <w:szCs w:val="21"/>
                <w:lang w:val="en-US" w:eastAsia="zh-CN"/>
              </w:rPr>
              <w:t>t/a</w:t>
            </w:r>
          </w:p>
        </w:tc>
      </w:tr>
      <w:tr w14:paraId="30F2B3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82" w:type="dxa"/>
            <w:vMerge w:val="continue"/>
            <w:noWrap w:val="0"/>
            <w:vAlign w:val="center"/>
          </w:tcPr>
          <w:p w14:paraId="5E91DD0D">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p>
        </w:tc>
        <w:tc>
          <w:tcPr>
            <w:tcW w:w="1550" w:type="dxa"/>
            <w:noWrap w:val="0"/>
            <w:vAlign w:val="center"/>
          </w:tcPr>
          <w:p w14:paraId="04E6A0A7">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color w:val="auto"/>
                <w:sz w:val="21"/>
                <w:szCs w:val="21"/>
                <w:lang w:val="en-US" w:eastAsia="zh-CN"/>
              </w:rPr>
            </w:pPr>
            <w:r>
              <w:rPr>
                <w:rFonts w:hint="default" w:ascii="Times New Roman" w:hAnsi="Times New Roman" w:eastAsia="宋体" w:cs="Times New Roman"/>
                <w:smallCaps w:val="0"/>
                <w:color w:val="auto"/>
                <w:sz w:val="21"/>
                <w:szCs w:val="21"/>
                <w:lang w:val="en-US" w:eastAsia="zh-CN"/>
              </w:rPr>
              <w:t>收集粉尘</w:t>
            </w:r>
          </w:p>
        </w:tc>
        <w:tc>
          <w:tcPr>
            <w:tcW w:w="1661" w:type="dxa"/>
            <w:noWrap w:val="0"/>
            <w:vAlign w:val="center"/>
          </w:tcPr>
          <w:p w14:paraId="299D1A2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smallCaps w:val="0"/>
                <w:snapToGrid w:val="0"/>
                <w:color w:val="000000"/>
                <w:spacing w:val="0"/>
                <w:kern w:val="21"/>
                <w:sz w:val="21"/>
                <w:szCs w:val="21"/>
                <w:lang w:val="en-US"/>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245" w:type="dxa"/>
            <w:noWrap w:val="0"/>
            <w:vAlign w:val="center"/>
          </w:tcPr>
          <w:p w14:paraId="38CE3E1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smallCaps w:val="0"/>
                <w:snapToGrid w:val="0"/>
                <w:color w:val="000000"/>
                <w:spacing w:val="0"/>
                <w:kern w:val="21"/>
                <w:sz w:val="21"/>
                <w:szCs w:val="21"/>
                <w:lang w:val="en-US"/>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661" w:type="dxa"/>
            <w:noWrap w:val="0"/>
            <w:vAlign w:val="center"/>
          </w:tcPr>
          <w:p w14:paraId="71942C2A">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jc w:val="center"/>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345" w:type="dxa"/>
            <w:noWrap w:val="0"/>
            <w:vAlign w:val="center"/>
          </w:tcPr>
          <w:p w14:paraId="0AA704F5">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eastAsia" w:ascii="Times New Roman" w:cs="Times New Roman"/>
                <w:smallCaps w:val="0"/>
                <w:snapToGrid w:val="0"/>
                <w:color w:val="000000"/>
                <w:spacing w:val="0"/>
                <w:kern w:val="21"/>
                <w:sz w:val="21"/>
                <w:szCs w:val="21"/>
                <w:lang w:val="en-US" w:eastAsia="zh-CN"/>
              </w:rPr>
              <w:t>23.4</w:t>
            </w:r>
            <w:r>
              <w:rPr>
                <w:rFonts w:hint="default" w:ascii="Times New Roman" w:hAnsi="Times New Roman" w:eastAsia="宋体" w:cs="Times New Roman"/>
                <w:smallCaps w:val="0"/>
                <w:snapToGrid w:val="0"/>
                <w:color w:val="000000"/>
                <w:spacing w:val="0"/>
                <w:kern w:val="21"/>
                <w:sz w:val="21"/>
                <w:szCs w:val="21"/>
                <w:lang w:val="en-US" w:eastAsia="zh-CN"/>
              </w:rPr>
              <w:t>t/a</w:t>
            </w:r>
          </w:p>
        </w:tc>
        <w:tc>
          <w:tcPr>
            <w:tcW w:w="1575" w:type="dxa"/>
            <w:noWrap w:val="0"/>
            <w:vAlign w:val="center"/>
          </w:tcPr>
          <w:p w14:paraId="0481A4EF">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635" w:type="dxa"/>
            <w:noWrap w:val="0"/>
            <w:vAlign w:val="center"/>
          </w:tcPr>
          <w:p w14:paraId="52A2EEF2">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r>
              <w:rPr>
                <w:rFonts w:hint="eastAsia" w:ascii="Times New Roman" w:cs="Times New Roman"/>
                <w:smallCaps w:val="0"/>
                <w:snapToGrid w:val="0"/>
                <w:color w:val="000000"/>
                <w:spacing w:val="0"/>
                <w:kern w:val="21"/>
                <w:sz w:val="21"/>
                <w:szCs w:val="21"/>
                <w:lang w:val="en-US" w:eastAsia="zh-CN"/>
              </w:rPr>
              <w:t>23.4</w:t>
            </w:r>
            <w:r>
              <w:rPr>
                <w:rFonts w:hint="default" w:ascii="Times New Roman" w:hAnsi="Times New Roman" w:eastAsia="宋体" w:cs="Times New Roman"/>
                <w:smallCaps w:val="0"/>
                <w:snapToGrid w:val="0"/>
                <w:color w:val="000000"/>
                <w:spacing w:val="0"/>
                <w:kern w:val="21"/>
                <w:sz w:val="21"/>
                <w:szCs w:val="21"/>
                <w:lang w:val="en-US" w:eastAsia="zh-CN"/>
              </w:rPr>
              <w:t>t/a</w:t>
            </w:r>
          </w:p>
        </w:tc>
        <w:tc>
          <w:tcPr>
            <w:tcW w:w="1433" w:type="dxa"/>
            <w:noWrap w:val="0"/>
            <w:vAlign w:val="center"/>
          </w:tcPr>
          <w:p w14:paraId="314DE26D">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rPr>
            </w:pPr>
            <w:r>
              <w:rPr>
                <w:rFonts w:hint="default" w:ascii="Times New Roman" w:hAnsi="Times New Roman" w:eastAsia="宋体" w:cs="Times New Roman"/>
                <w:smallCaps w:val="0"/>
                <w:snapToGrid w:val="0"/>
                <w:color w:val="000000"/>
                <w:spacing w:val="0"/>
                <w:kern w:val="21"/>
                <w:sz w:val="21"/>
                <w:szCs w:val="21"/>
                <w:lang w:val="en-US" w:eastAsia="zh-CN"/>
              </w:rPr>
              <w:t>+</w:t>
            </w:r>
            <w:r>
              <w:rPr>
                <w:rFonts w:hint="eastAsia" w:ascii="Times New Roman" w:cs="Times New Roman"/>
                <w:smallCaps w:val="0"/>
                <w:snapToGrid w:val="0"/>
                <w:color w:val="000000"/>
                <w:spacing w:val="0"/>
                <w:kern w:val="21"/>
                <w:sz w:val="21"/>
                <w:szCs w:val="21"/>
                <w:lang w:val="en-US" w:eastAsia="zh-CN"/>
              </w:rPr>
              <w:t>23.4</w:t>
            </w:r>
            <w:r>
              <w:rPr>
                <w:rFonts w:hint="default" w:ascii="Times New Roman" w:hAnsi="Times New Roman" w:eastAsia="宋体" w:cs="Times New Roman"/>
                <w:smallCaps w:val="0"/>
                <w:snapToGrid w:val="0"/>
                <w:color w:val="000000"/>
                <w:spacing w:val="0"/>
                <w:kern w:val="21"/>
                <w:sz w:val="21"/>
                <w:szCs w:val="21"/>
                <w:lang w:val="en-US" w:eastAsia="zh-CN"/>
              </w:rPr>
              <w:t>t/a</w:t>
            </w:r>
          </w:p>
        </w:tc>
      </w:tr>
      <w:tr w14:paraId="6BB5C7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82" w:type="dxa"/>
            <w:vMerge w:val="continue"/>
            <w:noWrap w:val="0"/>
            <w:vAlign w:val="center"/>
          </w:tcPr>
          <w:p w14:paraId="0C84C2B7">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p>
        </w:tc>
        <w:tc>
          <w:tcPr>
            <w:tcW w:w="1550" w:type="dxa"/>
            <w:noWrap w:val="0"/>
            <w:vAlign w:val="center"/>
          </w:tcPr>
          <w:p w14:paraId="663CFE60">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color w:val="auto"/>
                <w:sz w:val="21"/>
                <w:szCs w:val="21"/>
                <w:lang w:val="en-US" w:eastAsia="zh-CN"/>
              </w:rPr>
            </w:pPr>
            <w:r>
              <w:rPr>
                <w:rFonts w:hint="eastAsia"/>
                <w:sz w:val="21"/>
                <w:szCs w:val="21"/>
                <w:lang w:val="en-US" w:eastAsia="zh-CN"/>
              </w:rPr>
              <w:t>边角料、不合格品</w:t>
            </w:r>
          </w:p>
        </w:tc>
        <w:tc>
          <w:tcPr>
            <w:tcW w:w="1661" w:type="dxa"/>
            <w:noWrap w:val="0"/>
            <w:vAlign w:val="center"/>
          </w:tcPr>
          <w:p w14:paraId="31B6453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245" w:type="dxa"/>
            <w:noWrap w:val="0"/>
            <w:vAlign w:val="center"/>
          </w:tcPr>
          <w:p w14:paraId="4181377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661" w:type="dxa"/>
            <w:noWrap w:val="0"/>
            <w:vAlign w:val="center"/>
          </w:tcPr>
          <w:p w14:paraId="2142D6AE">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jc w:val="center"/>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345" w:type="dxa"/>
            <w:noWrap w:val="0"/>
            <w:vAlign w:val="center"/>
          </w:tcPr>
          <w:p w14:paraId="1409D10D">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eastAsia" w:ascii="Times New Roman" w:hAnsi="Times New Roman" w:eastAsia="宋体" w:cs="Times New Roman"/>
                <w:smallCaps w:val="0"/>
                <w:snapToGrid w:val="0"/>
                <w:color w:val="000000"/>
                <w:spacing w:val="0"/>
                <w:kern w:val="21"/>
                <w:sz w:val="21"/>
                <w:szCs w:val="21"/>
                <w:lang w:val="en-US" w:eastAsia="zh-CN"/>
              </w:rPr>
              <w:t>59.4</w:t>
            </w:r>
            <w:r>
              <w:rPr>
                <w:rFonts w:hint="default" w:ascii="Times New Roman" w:hAnsi="Times New Roman" w:eastAsia="宋体" w:cs="Times New Roman"/>
                <w:smallCaps w:val="0"/>
                <w:snapToGrid w:val="0"/>
                <w:color w:val="000000"/>
                <w:spacing w:val="0"/>
                <w:kern w:val="21"/>
                <w:sz w:val="21"/>
                <w:szCs w:val="21"/>
                <w:lang w:val="en-US" w:eastAsia="zh-CN"/>
              </w:rPr>
              <w:t>t/a</w:t>
            </w:r>
          </w:p>
        </w:tc>
        <w:tc>
          <w:tcPr>
            <w:tcW w:w="1575" w:type="dxa"/>
            <w:noWrap w:val="0"/>
            <w:vAlign w:val="center"/>
          </w:tcPr>
          <w:p w14:paraId="40832C93">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635" w:type="dxa"/>
            <w:noWrap w:val="0"/>
            <w:vAlign w:val="center"/>
          </w:tcPr>
          <w:p w14:paraId="4FA956E5">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eastAsia" w:ascii="Times New Roman" w:hAnsi="Times New Roman" w:eastAsia="宋体" w:cs="Times New Roman"/>
                <w:smallCaps w:val="0"/>
                <w:snapToGrid w:val="0"/>
                <w:color w:val="000000"/>
                <w:spacing w:val="0"/>
                <w:kern w:val="21"/>
                <w:sz w:val="21"/>
                <w:szCs w:val="21"/>
                <w:lang w:val="en-US" w:eastAsia="zh-CN"/>
              </w:rPr>
              <w:t>59.4</w:t>
            </w:r>
            <w:r>
              <w:rPr>
                <w:rFonts w:hint="default" w:ascii="Times New Roman" w:hAnsi="Times New Roman" w:eastAsia="宋体" w:cs="Times New Roman"/>
                <w:smallCaps w:val="0"/>
                <w:snapToGrid w:val="0"/>
                <w:color w:val="000000"/>
                <w:spacing w:val="0"/>
                <w:kern w:val="21"/>
                <w:sz w:val="21"/>
                <w:szCs w:val="21"/>
                <w:lang w:val="en-US" w:eastAsia="zh-CN"/>
              </w:rPr>
              <w:t>t/a</w:t>
            </w:r>
          </w:p>
        </w:tc>
        <w:tc>
          <w:tcPr>
            <w:tcW w:w="1433" w:type="dxa"/>
            <w:noWrap w:val="0"/>
            <w:vAlign w:val="center"/>
          </w:tcPr>
          <w:p w14:paraId="1B9A8281">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eastAsia" w:ascii="Times New Roman" w:hAnsi="Times New Roman" w:eastAsia="宋体" w:cs="Times New Roman"/>
                <w:smallCaps w:val="0"/>
                <w:snapToGrid w:val="0"/>
                <w:color w:val="000000"/>
                <w:spacing w:val="0"/>
                <w:kern w:val="21"/>
                <w:sz w:val="21"/>
                <w:szCs w:val="21"/>
                <w:lang w:val="en-US" w:eastAsia="zh-CN"/>
              </w:rPr>
              <w:t>+59.4</w:t>
            </w:r>
            <w:r>
              <w:rPr>
                <w:rFonts w:hint="default" w:ascii="Times New Roman" w:hAnsi="Times New Roman" w:eastAsia="宋体" w:cs="Times New Roman"/>
                <w:smallCaps w:val="0"/>
                <w:snapToGrid w:val="0"/>
                <w:color w:val="000000"/>
                <w:spacing w:val="0"/>
                <w:kern w:val="21"/>
                <w:sz w:val="21"/>
                <w:szCs w:val="21"/>
                <w:lang w:val="en-US" w:eastAsia="zh-CN"/>
              </w:rPr>
              <w:t>t/a</w:t>
            </w:r>
          </w:p>
        </w:tc>
      </w:tr>
      <w:tr w14:paraId="3065FC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82" w:type="dxa"/>
            <w:vMerge w:val="continue"/>
            <w:noWrap w:val="0"/>
            <w:vAlign w:val="center"/>
          </w:tcPr>
          <w:p w14:paraId="3E6D8D12">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p>
        </w:tc>
        <w:tc>
          <w:tcPr>
            <w:tcW w:w="1550" w:type="dxa"/>
            <w:noWrap w:val="0"/>
            <w:vAlign w:val="center"/>
          </w:tcPr>
          <w:p w14:paraId="61839BD6">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color w:val="auto"/>
                <w:sz w:val="21"/>
                <w:szCs w:val="21"/>
                <w:lang w:val="en-US" w:eastAsia="zh-CN"/>
              </w:rPr>
            </w:pPr>
            <w:r>
              <w:rPr>
                <w:rFonts w:hint="eastAsia" w:ascii="Times New Roman" w:cs="Times New Roman"/>
                <w:smallCaps w:val="0"/>
                <w:color w:val="auto"/>
                <w:sz w:val="21"/>
                <w:szCs w:val="21"/>
                <w:lang w:val="en-US" w:eastAsia="zh-CN"/>
              </w:rPr>
              <w:t>废钢筋</w:t>
            </w:r>
          </w:p>
        </w:tc>
        <w:tc>
          <w:tcPr>
            <w:tcW w:w="1661" w:type="dxa"/>
            <w:noWrap w:val="0"/>
            <w:vAlign w:val="center"/>
          </w:tcPr>
          <w:p w14:paraId="3989DAA0">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245" w:type="dxa"/>
            <w:noWrap w:val="0"/>
            <w:vAlign w:val="center"/>
          </w:tcPr>
          <w:p w14:paraId="6DA5316C">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661" w:type="dxa"/>
            <w:noWrap w:val="0"/>
            <w:vAlign w:val="center"/>
          </w:tcPr>
          <w:p w14:paraId="4E7E52BC">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345" w:type="dxa"/>
            <w:noWrap w:val="0"/>
            <w:vAlign w:val="center"/>
          </w:tcPr>
          <w:p w14:paraId="66A5CEDE">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10t/a</w:t>
            </w:r>
          </w:p>
        </w:tc>
        <w:tc>
          <w:tcPr>
            <w:tcW w:w="1575" w:type="dxa"/>
            <w:noWrap w:val="0"/>
            <w:vAlign w:val="center"/>
          </w:tcPr>
          <w:p w14:paraId="72C44D07">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635" w:type="dxa"/>
            <w:noWrap w:val="0"/>
            <w:vAlign w:val="center"/>
          </w:tcPr>
          <w:p w14:paraId="3A554813">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10t/a</w:t>
            </w:r>
          </w:p>
        </w:tc>
        <w:tc>
          <w:tcPr>
            <w:tcW w:w="1433" w:type="dxa"/>
            <w:noWrap w:val="0"/>
            <w:vAlign w:val="center"/>
          </w:tcPr>
          <w:p w14:paraId="348B499B">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eastAsia" w:ascii="Times New Roman" w:hAnsi="Times New Roman" w:eastAsia="宋体" w:cs="Times New Roman"/>
                <w:smallCaps w:val="0"/>
                <w:snapToGrid w:val="0"/>
                <w:color w:val="000000"/>
                <w:spacing w:val="0"/>
                <w:kern w:val="21"/>
                <w:sz w:val="21"/>
                <w:szCs w:val="21"/>
                <w:lang w:val="en-US" w:eastAsia="zh-CN"/>
              </w:rPr>
              <w:t>+</w:t>
            </w:r>
            <w:r>
              <w:rPr>
                <w:rFonts w:hint="default" w:ascii="Times New Roman" w:hAnsi="Times New Roman" w:eastAsia="宋体" w:cs="Times New Roman"/>
                <w:smallCaps w:val="0"/>
                <w:snapToGrid w:val="0"/>
                <w:color w:val="000000"/>
                <w:spacing w:val="0"/>
                <w:kern w:val="21"/>
                <w:sz w:val="21"/>
                <w:szCs w:val="21"/>
                <w:lang w:val="en-US" w:eastAsia="zh-CN"/>
              </w:rPr>
              <w:t>10t/a</w:t>
            </w:r>
          </w:p>
        </w:tc>
      </w:tr>
      <w:tr w14:paraId="18B81B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82" w:type="dxa"/>
            <w:vMerge w:val="restart"/>
            <w:noWrap w:val="0"/>
            <w:vAlign w:val="center"/>
          </w:tcPr>
          <w:p w14:paraId="50C5340F">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napToGrid w:val="0"/>
                <w:color w:val="000000"/>
                <w:spacing w:val="0"/>
                <w:kern w:val="21"/>
                <w:sz w:val="21"/>
                <w:szCs w:val="21"/>
              </w:rPr>
              <w:t>危险废物</w:t>
            </w:r>
          </w:p>
        </w:tc>
        <w:tc>
          <w:tcPr>
            <w:tcW w:w="1550" w:type="dxa"/>
            <w:noWrap w:val="0"/>
            <w:vAlign w:val="center"/>
          </w:tcPr>
          <w:p w14:paraId="10E00C54">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color w:val="auto"/>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废机油</w:t>
            </w:r>
          </w:p>
        </w:tc>
        <w:tc>
          <w:tcPr>
            <w:tcW w:w="1661" w:type="dxa"/>
            <w:noWrap w:val="0"/>
            <w:vAlign w:val="center"/>
          </w:tcPr>
          <w:p w14:paraId="466C7B8A">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245" w:type="dxa"/>
            <w:noWrap w:val="0"/>
            <w:vAlign w:val="center"/>
          </w:tcPr>
          <w:p w14:paraId="36C1B471">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661" w:type="dxa"/>
            <w:noWrap w:val="0"/>
            <w:vAlign w:val="center"/>
          </w:tcPr>
          <w:p w14:paraId="4AF63EE3">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345" w:type="dxa"/>
            <w:noWrap w:val="0"/>
            <w:vAlign w:val="center"/>
          </w:tcPr>
          <w:p w14:paraId="0FA36669">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eastAsia" w:ascii="Times New Roman" w:cs="Times New Roman"/>
                <w:smallCaps w:val="0"/>
                <w:snapToGrid w:val="0"/>
                <w:color w:val="000000"/>
                <w:spacing w:val="0"/>
                <w:kern w:val="21"/>
                <w:sz w:val="21"/>
                <w:szCs w:val="21"/>
                <w:lang w:val="en-US" w:eastAsia="zh-CN"/>
              </w:rPr>
              <w:t>0.1</w:t>
            </w:r>
            <w:r>
              <w:rPr>
                <w:rFonts w:hint="default" w:ascii="Times New Roman" w:hAnsi="Times New Roman" w:eastAsia="宋体" w:cs="Times New Roman"/>
                <w:smallCaps w:val="0"/>
                <w:snapToGrid w:val="0"/>
                <w:color w:val="000000"/>
                <w:spacing w:val="0"/>
                <w:kern w:val="21"/>
                <w:sz w:val="21"/>
                <w:szCs w:val="21"/>
                <w:lang w:val="en-US" w:eastAsia="zh-CN"/>
              </w:rPr>
              <w:t>t/a</w:t>
            </w:r>
          </w:p>
        </w:tc>
        <w:tc>
          <w:tcPr>
            <w:tcW w:w="1575" w:type="dxa"/>
            <w:noWrap w:val="0"/>
            <w:vAlign w:val="center"/>
          </w:tcPr>
          <w:p w14:paraId="26334510">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635" w:type="dxa"/>
            <w:noWrap w:val="0"/>
            <w:vAlign w:val="center"/>
          </w:tcPr>
          <w:p w14:paraId="595BED03">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eastAsia" w:ascii="Times New Roman" w:cs="Times New Roman"/>
                <w:smallCaps w:val="0"/>
                <w:snapToGrid w:val="0"/>
                <w:color w:val="000000"/>
                <w:spacing w:val="0"/>
                <w:kern w:val="21"/>
                <w:sz w:val="21"/>
                <w:szCs w:val="21"/>
                <w:lang w:val="en-US" w:eastAsia="zh-CN"/>
              </w:rPr>
              <w:t>0.1</w:t>
            </w:r>
            <w:r>
              <w:rPr>
                <w:rFonts w:hint="default" w:ascii="Times New Roman" w:hAnsi="Times New Roman" w:eastAsia="宋体" w:cs="Times New Roman"/>
                <w:smallCaps w:val="0"/>
                <w:snapToGrid w:val="0"/>
                <w:color w:val="000000"/>
                <w:spacing w:val="0"/>
                <w:kern w:val="21"/>
                <w:sz w:val="21"/>
                <w:szCs w:val="21"/>
                <w:lang w:val="en-US" w:eastAsia="zh-CN"/>
              </w:rPr>
              <w:t>t/a</w:t>
            </w:r>
          </w:p>
        </w:tc>
        <w:tc>
          <w:tcPr>
            <w:tcW w:w="1433" w:type="dxa"/>
            <w:noWrap w:val="0"/>
            <w:vAlign w:val="center"/>
          </w:tcPr>
          <w:p w14:paraId="759D5CF8">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eastAsia" w:ascii="Times New Roman" w:cs="Times New Roman"/>
                <w:smallCaps w:val="0"/>
                <w:snapToGrid w:val="0"/>
                <w:color w:val="000000"/>
                <w:spacing w:val="0"/>
                <w:kern w:val="21"/>
                <w:sz w:val="21"/>
                <w:szCs w:val="21"/>
                <w:lang w:val="en-US" w:eastAsia="zh-CN"/>
              </w:rPr>
              <w:t>+0.1</w:t>
            </w:r>
            <w:r>
              <w:rPr>
                <w:rFonts w:hint="default" w:ascii="Times New Roman" w:hAnsi="Times New Roman" w:eastAsia="宋体" w:cs="Times New Roman"/>
                <w:smallCaps w:val="0"/>
                <w:snapToGrid w:val="0"/>
                <w:color w:val="000000"/>
                <w:spacing w:val="0"/>
                <w:kern w:val="21"/>
                <w:sz w:val="21"/>
                <w:szCs w:val="21"/>
                <w:lang w:val="en-US" w:eastAsia="zh-CN"/>
              </w:rPr>
              <w:t>t/a</w:t>
            </w:r>
          </w:p>
        </w:tc>
      </w:tr>
      <w:tr w14:paraId="553FDA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82" w:type="dxa"/>
            <w:vMerge w:val="continue"/>
            <w:noWrap w:val="0"/>
            <w:vAlign w:val="center"/>
          </w:tcPr>
          <w:p w14:paraId="7AA2B7FF">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rPr>
            </w:pPr>
          </w:p>
        </w:tc>
        <w:tc>
          <w:tcPr>
            <w:tcW w:w="1550" w:type="dxa"/>
            <w:noWrap w:val="0"/>
            <w:vAlign w:val="center"/>
          </w:tcPr>
          <w:p w14:paraId="2A4AF50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eastAsia"/>
                <w:sz w:val="21"/>
                <w:szCs w:val="21"/>
              </w:rPr>
              <w:t>废包装</w:t>
            </w:r>
            <w:r>
              <w:rPr>
                <w:rFonts w:hint="eastAsia"/>
                <w:sz w:val="21"/>
                <w:szCs w:val="21"/>
                <w:lang w:val="en-US" w:eastAsia="zh-CN"/>
              </w:rPr>
              <w:t>桶</w:t>
            </w:r>
          </w:p>
        </w:tc>
        <w:tc>
          <w:tcPr>
            <w:tcW w:w="1661" w:type="dxa"/>
            <w:noWrap w:val="0"/>
            <w:vAlign w:val="center"/>
          </w:tcPr>
          <w:p w14:paraId="4B766C00">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245" w:type="dxa"/>
            <w:noWrap w:val="0"/>
            <w:vAlign w:val="center"/>
          </w:tcPr>
          <w:p w14:paraId="3F610805">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661" w:type="dxa"/>
            <w:noWrap w:val="0"/>
            <w:vAlign w:val="center"/>
          </w:tcPr>
          <w:p w14:paraId="2E4E16FE">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345" w:type="dxa"/>
            <w:noWrap w:val="0"/>
            <w:vAlign w:val="center"/>
          </w:tcPr>
          <w:p w14:paraId="66EC99B4">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eastAsia" w:ascii="Times New Roman" w:cs="Times New Roman"/>
                <w:smallCaps w:val="0"/>
                <w:snapToGrid w:val="0"/>
                <w:color w:val="000000"/>
                <w:spacing w:val="0"/>
                <w:kern w:val="21"/>
                <w:sz w:val="21"/>
                <w:szCs w:val="21"/>
                <w:lang w:val="en-US" w:eastAsia="zh-CN"/>
              </w:rPr>
              <w:t>1.5</w:t>
            </w:r>
            <w:r>
              <w:rPr>
                <w:rFonts w:hint="default" w:ascii="Times New Roman" w:hAnsi="Times New Roman" w:eastAsia="宋体" w:cs="Times New Roman"/>
                <w:smallCaps w:val="0"/>
                <w:snapToGrid w:val="0"/>
                <w:color w:val="000000"/>
                <w:spacing w:val="0"/>
                <w:kern w:val="21"/>
                <w:sz w:val="21"/>
                <w:szCs w:val="21"/>
                <w:lang w:val="en-US" w:eastAsia="zh-CN"/>
              </w:rPr>
              <w:t>t/a</w:t>
            </w:r>
          </w:p>
        </w:tc>
        <w:tc>
          <w:tcPr>
            <w:tcW w:w="1575" w:type="dxa"/>
            <w:noWrap w:val="0"/>
            <w:vAlign w:val="center"/>
          </w:tcPr>
          <w:p w14:paraId="62402543">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635" w:type="dxa"/>
            <w:noWrap w:val="0"/>
            <w:vAlign w:val="center"/>
          </w:tcPr>
          <w:p w14:paraId="0F5A3DD5">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eastAsia" w:ascii="Times New Roman" w:cs="Times New Roman"/>
                <w:smallCaps w:val="0"/>
                <w:snapToGrid w:val="0"/>
                <w:color w:val="000000"/>
                <w:spacing w:val="0"/>
                <w:kern w:val="21"/>
                <w:sz w:val="21"/>
                <w:szCs w:val="21"/>
                <w:lang w:val="en-US" w:eastAsia="zh-CN"/>
              </w:rPr>
              <w:t>1.5</w:t>
            </w:r>
            <w:r>
              <w:rPr>
                <w:rFonts w:hint="default" w:ascii="Times New Roman" w:hAnsi="Times New Roman" w:eastAsia="宋体" w:cs="Times New Roman"/>
                <w:smallCaps w:val="0"/>
                <w:snapToGrid w:val="0"/>
                <w:color w:val="000000"/>
                <w:spacing w:val="0"/>
                <w:kern w:val="21"/>
                <w:sz w:val="21"/>
                <w:szCs w:val="21"/>
                <w:lang w:val="en-US" w:eastAsia="zh-CN"/>
              </w:rPr>
              <w:t>t/a</w:t>
            </w:r>
          </w:p>
        </w:tc>
        <w:tc>
          <w:tcPr>
            <w:tcW w:w="1433" w:type="dxa"/>
            <w:noWrap w:val="0"/>
            <w:vAlign w:val="center"/>
          </w:tcPr>
          <w:p w14:paraId="49922941">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eastAsia" w:ascii="Times New Roman" w:cs="Times New Roman"/>
                <w:smallCaps w:val="0"/>
                <w:snapToGrid w:val="0"/>
                <w:color w:val="000000"/>
                <w:spacing w:val="0"/>
                <w:kern w:val="21"/>
                <w:sz w:val="21"/>
                <w:szCs w:val="21"/>
                <w:lang w:val="en-US" w:eastAsia="zh-CN"/>
              </w:rPr>
              <w:t>+1.5</w:t>
            </w:r>
            <w:r>
              <w:rPr>
                <w:rFonts w:hint="default" w:ascii="Times New Roman" w:hAnsi="Times New Roman" w:eastAsia="宋体" w:cs="Times New Roman"/>
                <w:smallCaps w:val="0"/>
                <w:snapToGrid w:val="0"/>
                <w:color w:val="000000"/>
                <w:spacing w:val="0"/>
                <w:kern w:val="21"/>
                <w:sz w:val="21"/>
                <w:szCs w:val="21"/>
                <w:lang w:val="en-US" w:eastAsia="zh-CN"/>
              </w:rPr>
              <w:t>t/a</w:t>
            </w:r>
          </w:p>
        </w:tc>
      </w:tr>
      <w:tr w14:paraId="5CD1F3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82" w:type="dxa"/>
            <w:vMerge w:val="continue"/>
            <w:noWrap w:val="0"/>
            <w:vAlign w:val="center"/>
          </w:tcPr>
          <w:p w14:paraId="0AED6A23">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rPr>
            </w:pPr>
          </w:p>
        </w:tc>
        <w:tc>
          <w:tcPr>
            <w:tcW w:w="1550" w:type="dxa"/>
            <w:noWrap w:val="0"/>
            <w:vAlign w:val="center"/>
          </w:tcPr>
          <w:p w14:paraId="354189D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eastAsia"/>
                <w:color w:val="auto"/>
                <w:sz w:val="21"/>
                <w:szCs w:val="21"/>
                <w:lang w:val="en-US" w:eastAsia="zh-CN"/>
              </w:rPr>
              <w:t>废活性炭</w:t>
            </w:r>
          </w:p>
        </w:tc>
        <w:tc>
          <w:tcPr>
            <w:tcW w:w="1661" w:type="dxa"/>
            <w:noWrap w:val="0"/>
            <w:vAlign w:val="center"/>
          </w:tcPr>
          <w:p w14:paraId="12BB0EFD">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245" w:type="dxa"/>
            <w:noWrap w:val="0"/>
            <w:vAlign w:val="center"/>
          </w:tcPr>
          <w:p w14:paraId="74562244">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661" w:type="dxa"/>
            <w:noWrap w:val="0"/>
            <w:vAlign w:val="center"/>
          </w:tcPr>
          <w:p w14:paraId="3BC4EED5">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345" w:type="dxa"/>
            <w:noWrap w:val="0"/>
            <w:vAlign w:val="center"/>
          </w:tcPr>
          <w:p w14:paraId="50EA3B7A">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eastAsia" w:ascii="Times New Roman" w:cs="Times New Roman"/>
                <w:smallCaps w:val="0"/>
                <w:snapToGrid w:val="0"/>
                <w:color w:val="000000"/>
                <w:spacing w:val="0"/>
                <w:kern w:val="21"/>
                <w:sz w:val="21"/>
                <w:szCs w:val="21"/>
                <w:lang w:val="en-US" w:eastAsia="zh-CN"/>
              </w:rPr>
              <w:t>1.75</w:t>
            </w:r>
            <w:r>
              <w:rPr>
                <w:rFonts w:hint="default" w:ascii="Times New Roman" w:hAnsi="Times New Roman" w:eastAsia="宋体" w:cs="Times New Roman"/>
                <w:smallCaps w:val="0"/>
                <w:snapToGrid w:val="0"/>
                <w:color w:val="000000"/>
                <w:spacing w:val="0"/>
                <w:kern w:val="21"/>
                <w:sz w:val="21"/>
                <w:szCs w:val="21"/>
                <w:lang w:val="en-US" w:eastAsia="zh-CN"/>
              </w:rPr>
              <w:t>t/a</w:t>
            </w:r>
          </w:p>
        </w:tc>
        <w:tc>
          <w:tcPr>
            <w:tcW w:w="1575" w:type="dxa"/>
            <w:noWrap w:val="0"/>
            <w:vAlign w:val="center"/>
          </w:tcPr>
          <w:p w14:paraId="7CBBAE04">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635" w:type="dxa"/>
            <w:noWrap w:val="0"/>
            <w:vAlign w:val="center"/>
          </w:tcPr>
          <w:p w14:paraId="5ED49514">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eastAsia" w:ascii="Times New Roman" w:cs="Times New Roman"/>
                <w:smallCaps w:val="0"/>
                <w:snapToGrid w:val="0"/>
                <w:color w:val="000000"/>
                <w:spacing w:val="0"/>
                <w:kern w:val="21"/>
                <w:sz w:val="21"/>
                <w:szCs w:val="21"/>
                <w:lang w:val="en-US" w:eastAsia="zh-CN"/>
              </w:rPr>
              <w:t>1.75</w:t>
            </w:r>
            <w:r>
              <w:rPr>
                <w:rFonts w:hint="default" w:ascii="Times New Roman" w:hAnsi="Times New Roman" w:eastAsia="宋体" w:cs="Times New Roman"/>
                <w:smallCaps w:val="0"/>
                <w:snapToGrid w:val="0"/>
                <w:color w:val="000000"/>
                <w:spacing w:val="0"/>
                <w:kern w:val="21"/>
                <w:sz w:val="21"/>
                <w:szCs w:val="21"/>
                <w:lang w:val="en-US" w:eastAsia="zh-CN"/>
              </w:rPr>
              <w:t>t/a</w:t>
            </w:r>
          </w:p>
        </w:tc>
        <w:tc>
          <w:tcPr>
            <w:tcW w:w="1433" w:type="dxa"/>
            <w:noWrap w:val="0"/>
            <w:vAlign w:val="center"/>
          </w:tcPr>
          <w:p w14:paraId="4F616A6C">
            <w:pPr>
              <w:pStyle w:val="33"/>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eastAsia" w:ascii="Times New Roman" w:cs="Times New Roman"/>
                <w:smallCaps w:val="0"/>
                <w:snapToGrid w:val="0"/>
                <w:color w:val="000000"/>
                <w:spacing w:val="0"/>
                <w:kern w:val="21"/>
                <w:sz w:val="21"/>
                <w:szCs w:val="21"/>
                <w:lang w:val="en-US" w:eastAsia="zh-CN"/>
              </w:rPr>
              <w:t>+1.75</w:t>
            </w:r>
            <w:r>
              <w:rPr>
                <w:rFonts w:hint="default" w:ascii="Times New Roman" w:hAnsi="Times New Roman" w:eastAsia="宋体" w:cs="Times New Roman"/>
                <w:smallCaps w:val="0"/>
                <w:snapToGrid w:val="0"/>
                <w:color w:val="000000"/>
                <w:spacing w:val="0"/>
                <w:kern w:val="21"/>
                <w:sz w:val="21"/>
                <w:szCs w:val="21"/>
                <w:lang w:val="en-US" w:eastAsia="zh-CN"/>
              </w:rPr>
              <w:t>t/a</w:t>
            </w:r>
          </w:p>
        </w:tc>
      </w:tr>
    </w:tbl>
    <w:p w14:paraId="25211423">
      <w:pPr>
        <w:pStyle w:val="33"/>
        <w:kinsoku/>
        <w:wordWrap/>
        <w:bidi w:val="0"/>
        <w:adjustRightInd/>
        <w:snapToGrid/>
        <w:spacing w:before="192" w:beforeLines="80" w:after="24"/>
        <w:jc w:val="left"/>
      </w:pPr>
      <w:r>
        <w:rPr>
          <w:rFonts w:hAnsi="宋体"/>
          <w:snapToGrid w:val="0"/>
          <w:color w:val="000000"/>
          <w:spacing w:val="0"/>
          <w:kern w:val="21"/>
          <w:szCs w:val="21"/>
        </w:rPr>
        <w:t>注：</w:t>
      </w:r>
      <w:r>
        <w:rPr>
          <w:rFonts w:hAnsi="宋体"/>
          <w:snapToGrid w:val="0"/>
          <w:color w:val="000000"/>
          <w:spacing w:val="0"/>
          <w:kern w:val="21"/>
          <w:szCs w:val="21"/>
        </w:rPr>
        <w:fldChar w:fldCharType="begin"/>
      </w:r>
      <w:r>
        <w:rPr>
          <w:rFonts w:hAnsi="宋体"/>
          <w:snapToGrid w:val="0"/>
          <w:color w:val="000000"/>
          <w:spacing w:val="0"/>
          <w:kern w:val="21"/>
          <w:szCs w:val="21"/>
        </w:rPr>
        <w:instrText xml:space="preserve"> = 6 \* GB3 \* MERGEFORMAT </w:instrText>
      </w:r>
      <w:r>
        <w:rPr>
          <w:rFonts w:hAnsi="宋体"/>
          <w:snapToGrid w:val="0"/>
          <w:color w:val="000000"/>
          <w:spacing w:val="0"/>
          <w:kern w:val="21"/>
          <w:szCs w:val="21"/>
        </w:rPr>
        <w:fldChar w:fldCharType="separate"/>
      </w:r>
      <w:r>
        <w:rPr>
          <w:rFonts w:hint="eastAsia" w:hAnsi="宋体"/>
          <w:spacing w:val="0"/>
          <w:kern w:val="21"/>
          <w:szCs w:val="21"/>
        </w:rPr>
        <w:t>⑥</w:t>
      </w:r>
      <w:r>
        <w:rPr>
          <w:rFonts w:hAnsi="宋体"/>
          <w:snapToGrid w:val="0"/>
          <w:color w:val="000000"/>
          <w:spacing w:val="0"/>
          <w:kern w:val="21"/>
          <w:szCs w:val="21"/>
        </w:rPr>
        <w:fldChar w:fldCharType="end"/>
      </w:r>
      <w:r>
        <w:rPr>
          <w:rFonts w:hAnsi="宋体"/>
          <w:snapToGrid w:val="0"/>
          <w:color w:val="000000"/>
          <w:spacing w:val="0"/>
          <w:kern w:val="21"/>
          <w:szCs w:val="21"/>
        </w:rPr>
        <w:t>=</w:t>
      </w:r>
      <w:r>
        <w:rPr>
          <w:rFonts w:hAnsi="宋体"/>
          <w:snapToGrid w:val="0"/>
          <w:color w:val="000000"/>
          <w:spacing w:val="0"/>
          <w:kern w:val="21"/>
          <w:szCs w:val="21"/>
        </w:rPr>
        <w:fldChar w:fldCharType="begin"/>
      </w:r>
      <w:r>
        <w:rPr>
          <w:rFonts w:hAnsi="宋体"/>
          <w:snapToGrid w:val="0"/>
          <w:color w:val="000000"/>
          <w:spacing w:val="0"/>
          <w:kern w:val="21"/>
          <w:szCs w:val="21"/>
        </w:rPr>
        <w:instrText xml:space="preserve"> = 1 \* GB3 \* MERGEFORMAT </w:instrText>
      </w:r>
      <w:r>
        <w:rPr>
          <w:rFonts w:hAnsi="宋体"/>
          <w:snapToGrid w:val="0"/>
          <w:color w:val="000000"/>
          <w:spacing w:val="0"/>
          <w:kern w:val="21"/>
          <w:szCs w:val="21"/>
        </w:rPr>
        <w:fldChar w:fldCharType="separate"/>
      </w:r>
      <w:r>
        <w:rPr>
          <w:rFonts w:hint="eastAsia" w:hAnsi="宋体"/>
          <w:spacing w:val="0"/>
          <w:kern w:val="21"/>
          <w:szCs w:val="21"/>
        </w:rPr>
        <w:t>①</w:t>
      </w:r>
      <w:r>
        <w:rPr>
          <w:rFonts w:hAnsi="宋体"/>
          <w:snapToGrid w:val="0"/>
          <w:color w:val="000000"/>
          <w:spacing w:val="0"/>
          <w:kern w:val="21"/>
          <w:szCs w:val="21"/>
        </w:rPr>
        <w:fldChar w:fldCharType="end"/>
      </w:r>
      <w:r>
        <w:rPr>
          <w:rFonts w:hAnsi="宋体"/>
          <w:snapToGrid w:val="0"/>
          <w:color w:val="000000"/>
          <w:spacing w:val="0"/>
          <w:kern w:val="21"/>
          <w:szCs w:val="21"/>
        </w:rPr>
        <w:t>+</w:t>
      </w:r>
      <w:r>
        <w:rPr>
          <w:rFonts w:hAnsi="宋体"/>
          <w:snapToGrid w:val="0"/>
          <w:color w:val="000000"/>
          <w:spacing w:val="0"/>
          <w:kern w:val="21"/>
          <w:szCs w:val="21"/>
        </w:rPr>
        <w:fldChar w:fldCharType="begin"/>
      </w:r>
      <w:r>
        <w:rPr>
          <w:rFonts w:hAnsi="宋体"/>
          <w:snapToGrid w:val="0"/>
          <w:color w:val="000000"/>
          <w:spacing w:val="0"/>
          <w:kern w:val="21"/>
          <w:szCs w:val="21"/>
        </w:rPr>
        <w:instrText xml:space="preserve"> = 3 \* GB3 \* MERGEFORMAT </w:instrText>
      </w:r>
      <w:r>
        <w:rPr>
          <w:rFonts w:hAnsi="宋体"/>
          <w:snapToGrid w:val="0"/>
          <w:color w:val="000000"/>
          <w:spacing w:val="0"/>
          <w:kern w:val="21"/>
          <w:szCs w:val="21"/>
        </w:rPr>
        <w:fldChar w:fldCharType="separate"/>
      </w:r>
      <w:r>
        <w:rPr>
          <w:rFonts w:hint="eastAsia" w:hAnsi="宋体"/>
          <w:spacing w:val="0"/>
          <w:kern w:val="21"/>
          <w:szCs w:val="21"/>
        </w:rPr>
        <w:t>③</w:t>
      </w:r>
      <w:r>
        <w:rPr>
          <w:rFonts w:hAnsi="宋体"/>
          <w:snapToGrid w:val="0"/>
          <w:color w:val="000000"/>
          <w:spacing w:val="0"/>
          <w:kern w:val="21"/>
          <w:szCs w:val="21"/>
        </w:rPr>
        <w:fldChar w:fldCharType="end"/>
      </w:r>
      <w:r>
        <w:rPr>
          <w:rFonts w:hAnsi="宋体"/>
          <w:snapToGrid w:val="0"/>
          <w:color w:val="000000"/>
          <w:spacing w:val="0"/>
          <w:kern w:val="21"/>
          <w:szCs w:val="21"/>
        </w:rPr>
        <w:t>+</w:t>
      </w:r>
      <w:r>
        <w:rPr>
          <w:rFonts w:hAnsi="宋体"/>
          <w:snapToGrid w:val="0"/>
          <w:color w:val="000000"/>
          <w:spacing w:val="0"/>
          <w:kern w:val="21"/>
          <w:szCs w:val="21"/>
        </w:rPr>
        <w:fldChar w:fldCharType="begin"/>
      </w:r>
      <w:r>
        <w:rPr>
          <w:rFonts w:hAnsi="宋体"/>
          <w:snapToGrid w:val="0"/>
          <w:color w:val="000000"/>
          <w:spacing w:val="0"/>
          <w:kern w:val="21"/>
          <w:szCs w:val="21"/>
        </w:rPr>
        <w:instrText xml:space="preserve"> = 4 \* GB3 \* MERGEFORMAT </w:instrText>
      </w:r>
      <w:r>
        <w:rPr>
          <w:rFonts w:hAnsi="宋体"/>
          <w:snapToGrid w:val="0"/>
          <w:color w:val="000000"/>
          <w:spacing w:val="0"/>
          <w:kern w:val="21"/>
          <w:szCs w:val="21"/>
        </w:rPr>
        <w:fldChar w:fldCharType="separate"/>
      </w:r>
      <w:r>
        <w:rPr>
          <w:rFonts w:hint="eastAsia" w:hAnsi="宋体"/>
          <w:spacing w:val="0"/>
          <w:kern w:val="21"/>
          <w:szCs w:val="21"/>
        </w:rPr>
        <w:t>④</w:t>
      </w:r>
      <w:r>
        <w:rPr>
          <w:rFonts w:hAnsi="宋体"/>
          <w:snapToGrid w:val="0"/>
          <w:color w:val="000000"/>
          <w:spacing w:val="0"/>
          <w:kern w:val="21"/>
          <w:szCs w:val="21"/>
        </w:rPr>
        <w:fldChar w:fldCharType="end"/>
      </w:r>
      <w:r>
        <w:rPr>
          <w:rFonts w:hAnsi="宋体"/>
          <w:snapToGrid w:val="0"/>
          <w:color w:val="000000"/>
          <w:spacing w:val="0"/>
          <w:kern w:val="21"/>
          <w:szCs w:val="21"/>
        </w:rPr>
        <w:t>-</w:t>
      </w:r>
      <w:r>
        <w:rPr>
          <w:rFonts w:hAnsi="宋体"/>
          <w:snapToGrid w:val="0"/>
          <w:color w:val="000000"/>
          <w:spacing w:val="0"/>
          <w:kern w:val="21"/>
          <w:szCs w:val="21"/>
        </w:rPr>
        <w:fldChar w:fldCharType="begin"/>
      </w:r>
      <w:r>
        <w:rPr>
          <w:rFonts w:hAnsi="宋体"/>
          <w:snapToGrid w:val="0"/>
          <w:color w:val="000000"/>
          <w:spacing w:val="0"/>
          <w:kern w:val="21"/>
          <w:szCs w:val="21"/>
        </w:rPr>
        <w:instrText xml:space="preserve"> = 5 \* GB3 \* MERGEFORMAT </w:instrText>
      </w:r>
      <w:r>
        <w:rPr>
          <w:rFonts w:hAnsi="宋体"/>
          <w:snapToGrid w:val="0"/>
          <w:color w:val="000000"/>
          <w:spacing w:val="0"/>
          <w:kern w:val="21"/>
          <w:szCs w:val="21"/>
        </w:rPr>
        <w:fldChar w:fldCharType="separate"/>
      </w:r>
      <w:r>
        <w:rPr>
          <w:rFonts w:hint="eastAsia" w:hAnsi="宋体"/>
          <w:spacing w:val="0"/>
          <w:kern w:val="21"/>
          <w:szCs w:val="21"/>
        </w:rPr>
        <w:t>⑤</w:t>
      </w:r>
      <w:r>
        <w:rPr>
          <w:rFonts w:hAnsi="宋体"/>
          <w:snapToGrid w:val="0"/>
          <w:color w:val="000000"/>
          <w:spacing w:val="0"/>
          <w:kern w:val="21"/>
          <w:szCs w:val="21"/>
        </w:rPr>
        <w:fldChar w:fldCharType="end"/>
      </w:r>
      <w:r>
        <w:rPr>
          <w:rFonts w:hAnsi="宋体"/>
          <w:snapToGrid w:val="0"/>
          <w:color w:val="000000"/>
          <w:spacing w:val="0"/>
          <w:kern w:val="21"/>
          <w:szCs w:val="21"/>
        </w:rPr>
        <w:t>；</w:t>
      </w:r>
      <w:r>
        <w:rPr>
          <w:rFonts w:hAnsi="宋体"/>
          <w:snapToGrid w:val="0"/>
          <w:color w:val="000000"/>
          <w:spacing w:val="0"/>
          <w:kern w:val="21"/>
          <w:szCs w:val="21"/>
        </w:rPr>
        <w:fldChar w:fldCharType="begin"/>
      </w:r>
      <w:r>
        <w:rPr>
          <w:rFonts w:hAnsi="宋体"/>
          <w:snapToGrid w:val="0"/>
          <w:color w:val="000000"/>
          <w:spacing w:val="0"/>
          <w:kern w:val="21"/>
          <w:szCs w:val="21"/>
        </w:rPr>
        <w:instrText xml:space="preserve"> = 7 \* GB3 \* MERGEFORMAT </w:instrText>
      </w:r>
      <w:r>
        <w:rPr>
          <w:rFonts w:hAnsi="宋体"/>
          <w:snapToGrid w:val="0"/>
          <w:color w:val="000000"/>
          <w:spacing w:val="0"/>
          <w:kern w:val="21"/>
          <w:szCs w:val="21"/>
        </w:rPr>
        <w:fldChar w:fldCharType="separate"/>
      </w:r>
      <w:r>
        <w:rPr>
          <w:rFonts w:hint="eastAsia" w:hAnsi="宋体"/>
          <w:spacing w:val="0"/>
          <w:kern w:val="21"/>
          <w:szCs w:val="21"/>
        </w:rPr>
        <w:t>⑦</w:t>
      </w:r>
      <w:r>
        <w:rPr>
          <w:rFonts w:hAnsi="宋体"/>
          <w:snapToGrid w:val="0"/>
          <w:color w:val="000000"/>
          <w:spacing w:val="0"/>
          <w:kern w:val="21"/>
          <w:szCs w:val="21"/>
        </w:rPr>
        <w:fldChar w:fldCharType="end"/>
      </w:r>
      <w:r>
        <w:rPr>
          <w:rFonts w:hAnsi="宋体"/>
          <w:snapToGrid w:val="0"/>
          <w:color w:val="000000"/>
          <w:spacing w:val="0"/>
          <w:kern w:val="21"/>
          <w:szCs w:val="21"/>
        </w:rPr>
        <w:t>=</w:t>
      </w:r>
      <w:r>
        <w:rPr>
          <w:rFonts w:hAnsi="宋体"/>
          <w:snapToGrid w:val="0"/>
          <w:color w:val="000000"/>
          <w:spacing w:val="0"/>
          <w:kern w:val="21"/>
          <w:szCs w:val="21"/>
        </w:rPr>
        <w:fldChar w:fldCharType="begin"/>
      </w:r>
      <w:r>
        <w:rPr>
          <w:rFonts w:hAnsi="宋体"/>
          <w:snapToGrid w:val="0"/>
          <w:color w:val="000000"/>
          <w:spacing w:val="0"/>
          <w:kern w:val="21"/>
          <w:szCs w:val="21"/>
        </w:rPr>
        <w:instrText xml:space="preserve"> = 6 \* GB3 \* MERGEFORMAT </w:instrText>
      </w:r>
      <w:r>
        <w:rPr>
          <w:rFonts w:hAnsi="宋体"/>
          <w:snapToGrid w:val="0"/>
          <w:color w:val="000000"/>
          <w:spacing w:val="0"/>
          <w:kern w:val="21"/>
          <w:szCs w:val="21"/>
        </w:rPr>
        <w:fldChar w:fldCharType="separate"/>
      </w:r>
      <w:r>
        <w:rPr>
          <w:rFonts w:hint="eastAsia" w:hAnsi="宋体"/>
          <w:spacing w:val="0"/>
          <w:kern w:val="21"/>
          <w:szCs w:val="21"/>
        </w:rPr>
        <w:t>⑥</w:t>
      </w:r>
      <w:r>
        <w:rPr>
          <w:rFonts w:hAnsi="宋体"/>
          <w:snapToGrid w:val="0"/>
          <w:color w:val="000000"/>
          <w:spacing w:val="0"/>
          <w:kern w:val="21"/>
          <w:szCs w:val="21"/>
        </w:rPr>
        <w:fldChar w:fldCharType="end"/>
      </w:r>
      <w:r>
        <w:rPr>
          <w:rFonts w:hAnsi="宋体"/>
          <w:snapToGrid w:val="0"/>
          <w:color w:val="000000"/>
          <w:spacing w:val="0"/>
          <w:kern w:val="21"/>
          <w:szCs w:val="21"/>
        </w:rPr>
        <w:t>-</w:t>
      </w:r>
      <w:r>
        <w:rPr>
          <w:rFonts w:hAnsi="宋体"/>
          <w:snapToGrid w:val="0"/>
          <w:color w:val="000000"/>
          <w:spacing w:val="0"/>
          <w:kern w:val="21"/>
          <w:szCs w:val="21"/>
        </w:rPr>
        <w:fldChar w:fldCharType="begin"/>
      </w:r>
      <w:r>
        <w:rPr>
          <w:rFonts w:hAnsi="宋体"/>
          <w:snapToGrid w:val="0"/>
          <w:color w:val="000000"/>
          <w:spacing w:val="0"/>
          <w:kern w:val="21"/>
          <w:szCs w:val="21"/>
        </w:rPr>
        <w:instrText xml:space="preserve"> = 1 \* GB3 \* MERGEFORMAT </w:instrText>
      </w:r>
      <w:r>
        <w:rPr>
          <w:rFonts w:hAnsi="宋体"/>
          <w:snapToGrid w:val="0"/>
          <w:color w:val="000000"/>
          <w:spacing w:val="0"/>
          <w:kern w:val="21"/>
          <w:szCs w:val="21"/>
        </w:rPr>
        <w:fldChar w:fldCharType="separate"/>
      </w:r>
      <w:r>
        <w:rPr>
          <w:rFonts w:hint="eastAsia" w:hAnsi="宋体"/>
          <w:spacing w:val="0"/>
          <w:kern w:val="21"/>
          <w:szCs w:val="21"/>
        </w:rPr>
        <w:t>①</w:t>
      </w:r>
      <w:r>
        <w:rPr>
          <w:rFonts w:hAnsi="宋体"/>
          <w:snapToGrid w:val="0"/>
          <w:color w:val="000000"/>
          <w:spacing w:val="0"/>
          <w:kern w:val="21"/>
          <w:szCs w:val="21"/>
        </w:rPr>
        <w:fldChar w:fldCharType="end"/>
      </w:r>
    </w:p>
    <w:p w14:paraId="7E68C1F2"/>
    <w:sectPr>
      <w:pgSz w:w="16838" w:h="11905" w:orient="landscape"/>
      <w:pgMar w:top="1531" w:right="1701" w:bottom="1531" w:left="1701" w:header="851" w:footer="850"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 w:name="FangSong_GB2312">
    <w:altName w:val="仿宋"/>
    <w:panose1 w:val="0201060903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E79AB">
    <w:pPr>
      <w:pStyle w:val="17"/>
      <w:ind w:right="360" w:firstLine="360"/>
    </w:pPr>
    <w:r>
      <w:pict>
        <v:shape id="文本框 35"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76O1YrgEAAFAD&#10;AAAOAAAAAAAAAAEAIAAAAB4BAABkcnMvZTJvRG9jLnhtbFBLBQYAAAAABgAGAFkBAAA+BQAAAAA=&#10;">
          <v:path/>
          <v:fill on="f" focussize="0,0"/>
          <v:stroke on="f" joinstyle="miter"/>
          <v:imagedata o:title=""/>
          <o:lock v:ext="edit"/>
          <v:textbox inset="0mm,0mm,0mm,0mm" style="mso-fit-shape-to-text:t;">
            <w:txbxContent>
              <w:p w14:paraId="585122E6">
                <w:pPr>
                  <w:pStyle w:val="17"/>
                </w:pPr>
                <w:r>
                  <w:fldChar w:fldCharType="begin"/>
                </w:r>
                <w:r>
                  <w:instrText xml:space="preserve"> PAGE  \* MERGEFORMAT </w:instrText>
                </w:r>
                <w:r>
                  <w:fldChar w:fldCharType="separate"/>
                </w:r>
                <w:r>
                  <w:t>33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7A44E">
    <w:pPr>
      <w:pStyle w:val="17"/>
      <w:ind w:right="360" w:firstLine="360"/>
    </w:pPr>
    <w:r>
      <w:pict>
        <v:shape id="文本框 53" o:spid="_x0000_s3074"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UwJfaK8BAABQ&#10;AwAADgAAAAAAAAABACAAAAAeAQAAZHJzL2Uyb0RvYy54bWxQSwUGAAAAAAYABgBZAQAAPwUAAAAA&#10;">
          <v:path/>
          <v:fill on="f" focussize="0,0"/>
          <v:stroke on="f" joinstyle="miter"/>
          <v:imagedata o:title=""/>
          <o:lock v:ext="edit"/>
          <v:textbox inset="0mm,0mm,0mm,0mm" style="mso-fit-shape-to-text:t;">
            <w:txbxContent>
              <w:p w14:paraId="7571620C">
                <w:pPr>
                  <w:pStyle w:val="17"/>
                </w:pPr>
                <w:r>
                  <w:fldChar w:fldCharType="begin"/>
                </w:r>
                <w:r>
                  <w:instrText xml:space="preserve"> PAGE  \* MERGEFORMAT </w:instrText>
                </w:r>
                <w:r>
                  <w:fldChar w:fldCharType="separate"/>
                </w:r>
                <w:r>
                  <w:t>44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17B71B"/>
    <w:multiLevelType w:val="singleLevel"/>
    <w:tmpl w:val="1D17B71B"/>
    <w:lvl w:ilvl="0" w:tentative="0">
      <w:start w:val="1"/>
      <w:numFmt w:val="bullet"/>
      <w:pStyle w:val="14"/>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21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Y1MjczNzY5NTJlMjgxYzZlZTIwNWE3NDc3YWVhMjEifQ=="/>
  </w:docVars>
  <w:rsids>
    <w:rsidRoot w:val="00D0182E"/>
    <w:rsid w:val="000826C6"/>
    <w:rsid w:val="00103957"/>
    <w:rsid w:val="001B1C07"/>
    <w:rsid w:val="001C7FDF"/>
    <w:rsid w:val="00213268"/>
    <w:rsid w:val="002A0647"/>
    <w:rsid w:val="002D7009"/>
    <w:rsid w:val="002E28BC"/>
    <w:rsid w:val="00383DD6"/>
    <w:rsid w:val="00393F1F"/>
    <w:rsid w:val="003B0BFF"/>
    <w:rsid w:val="00422F5C"/>
    <w:rsid w:val="004644D1"/>
    <w:rsid w:val="005064A8"/>
    <w:rsid w:val="005404F7"/>
    <w:rsid w:val="0057740A"/>
    <w:rsid w:val="005F7B85"/>
    <w:rsid w:val="006216B7"/>
    <w:rsid w:val="006D46C1"/>
    <w:rsid w:val="006D77D4"/>
    <w:rsid w:val="00793B11"/>
    <w:rsid w:val="00867AA8"/>
    <w:rsid w:val="009B6CA4"/>
    <w:rsid w:val="009F0384"/>
    <w:rsid w:val="00A514CC"/>
    <w:rsid w:val="00B476DD"/>
    <w:rsid w:val="00C23AFF"/>
    <w:rsid w:val="00CF7F3F"/>
    <w:rsid w:val="00D0182E"/>
    <w:rsid w:val="00D62A36"/>
    <w:rsid w:val="00DC7852"/>
    <w:rsid w:val="00DE474E"/>
    <w:rsid w:val="00DE5772"/>
    <w:rsid w:val="00E56EA8"/>
    <w:rsid w:val="00E9033C"/>
    <w:rsid w:val="00E905A1"/>
    <w:rsid w:val="00EF5755"/>
    <w:rsid w:val="00EF5BA2"/>
    <w:rsid w:val="00FB1840"/>
    <w:rsid w:val="00FC6662"/>
    <w:rsid w:val="012372CC"/>
    <w:rsid w:val="01355EE2"/>
    <w:rsid w:val="013729BA"/>
    <w:rsid w:val="01540AEE"/>
    <w:rsid w:val="01C859CF"/>
    <w:rsid w:val="01D452B9"/>
    <w:rsid w:val="01E81523"/>
    <w:rsid w:val="01FD0168"/>
    <w:rsid w:val="020D6044"/>
    <w:rsid w:val="02312213"/>
    <w:rsid w:val="023D4F21"/>
    <w:rsid w:val="02823EAA"/>
    <w:rsid w:val="02A22166"/>
    <w:rsid w:val="02B06206"/>
    <w:rsid w:val="03111776"/>
    <w:rsid w:val="035B333D"/>
    <w:rsid w:val="037D0087"/>
    <w:rsid w:val="03B50477"/>
    <w:rsid w:val="04327E09"/>
    <w:rsid w:val="04513DB1"/>
    <w:rsid w:val="0453303C"/>
    <w:rsid w:val="0456104E"/>
    <w:rsid w:val="04825D81"/>
    <w:rsid w:val="04AF664E"/>
    <w:rsid w:val="04B3352E"/>
    <w:rsid w:val="04B72F71"/>
    <w:rsid w:val="04BB0F1C"/>
    <w:rsid w:val="04D71C7B"/>
    <w:rsid w:val="04DE15D3"/>
    <w:rsid w:val="04F85BD1"/>
    <w:rsid w:val="05036ECF"/>
    <w:rsid w:val="053F1F6F"/>
    <w:rsid w:val="056639D1"/>
    <w:rsid w:val="0577675F"/>
    <w:rsid w:val="057C401A"/>
    <w:rsid w:val="0581104E"/>
    <w:rsid w:val="059E6112"/>
    <w:rsid w:val="05CB7BDF"/>
    <w:rsid w:val="05DC25A7"/>
    <w:rsid w:val="05E268BA"/>
    <w:rsid w:val="05EC26B0"/>
    <w:rsid w:val="06104CED"/>
    <w:rsid w:val="064C3CA0"/>
    <w:rsid w:val="064F669D"/>
    <w:rsid w:val="066F6AC6"/>
    <w:rsid w:val="06837A3E"/>
    <w:rsid w:val="06AE39D1"/>
    <w:rsid w:val="06B53693"/>
    <w:rsid w:val="06B639B8"/>
    <w:rsid w:val="06C26A8B"/>
    <w:rsid w:val="06CD10AD"/>
    <w:rsid w:val="06D63974"/>
    <w:rsid w:val="06F219B0"/>
    <w:rsid w:val="071E3CF5"/>
    <w:rsid w:val="07246CAC"/>
    <w:rsid w:val="07250265"/>
    <w:rsid w:val="0735405E"/>
    <w:rsid w:val="074C35AA"/>
    <w:rsid w:val="07512869"/>
    <w:rsid w:val="079865E4"/>
    <w:rsid w:val="07AC6B33"/>
    <w:rsid w:val="07D23B28"/>
    <w:rsid w:val="07D51289"/>
    <w:rsid w:val="08274948"/>
    <w:rsid w:val="086A21D3"/>
    <w:rsid w:val="086B6A6E"/>
    <w:rsid w:val="087163E3"/>
    <w:rsid w:val="08825E55"/>
    <w:rsid w:val="088A7C9C"/>
    <w:rsid w:val="08AD39CC"/>
    <w:rsid w:val="08AD6E8D"/>
    <w:rsid w:val="08C403F8"/>
    <w:rsid w:val="08C9388F"/>
    <w:rsid w:val="08CF2374"/>
    <w:rsid w:val="08D431C9"/>
    <w:rsid w:val="08EF184F"/>
    <w:rsid w:val="090E0BB1"/>
    <w:rsid w:val="09112581"/>
    <w:rsid w:val="09151F1E"/>
    <w:rsid w:val="091F4E4F"/>
    <w:rsid w:val="0923486C"/>
    <w:rsid w:val="092A1922"/>
    <w:rsid w:val="097B7F85"/>
    <w:rsid w:val="09A34265"/>
    <w:rsid w:val="09A64ABA"/>
    <w:rsid w:val="09B50949"/>
    <w:rsid w:val="09F24D59"/>
    <w:rsid w:val="0A3707E0"/>
    <w:rsid w:val="0AC26F00"/>
    <w:rsid w:val="0AF43454"/>
    <w:rsid w:val="0B093B56"/>
    <w:rsid w:val="0B18649A"/>
    <w:rsid w:val="0B1B487D"/>
    <w:rsid w:val="0B3001AA"/>
    <w:rsid w:val="0B4C5BB7"/>
    <w:rsid w:val="0B6F4C61"/>
    <w:rsid w:val="0B7D5A6C"/>
    <w:rsid w:val="0B8E7D1B"/>
    <w:rsid w:val="0B9B7242"/>
    <w:rsid w:val="0BA3617A"/>
    <w:rsid w:val="0BC23995"/>
    <w:rsid w:val="0BCB3754"/>
    <w:rsid w:val="0BE133B6"/>
    <w:rsid w:val="0BF77463"/>
    <w:rsid w:val="0BFC68E4"/>
    <w:rsid w:val="0C031C05"/>
    <w:rsid w:val="0C4A56E9"/>
    <w:rsid w:val="0C5718F4"/>
    <w:rsid w:val="0C672FC7"/>
    <w:rsid w:val="0CD619C5"/>
    <w:rsid w:val="0CE2465F"/>
    <w:rsid w:val="0CF329BD"/>
    <w:rsid w:val="0D1F511A"/>
    <w:rsid w:val="0DD31AB4"/>
    <w:rsid w:val="0DDA1988"/>
    <w:rsid w:val="0DEB478A"/>
    <w:rsid w:val="0DF41563"/>
    <w:rsid w:val="0E245142"/>
    <w:rsid w:val="0E356C25"/>
    <w:rsid w:val="0E806842"/>
    <w:rsid w:val="0E8165A1"/>
    <w:rsid w:val="0EE0498A"/>
    <w:rsid w:val="0EE26D46"/>
    <w:rsid w:val="0F2F360E"/>
    <w:rsid w:val="0F34173C"/>
    <w:rsid w:val="0FA6687B"/>
    <w:rsid w:val="0FA861D4"/>
    <w:rsid w:val="0FB01B44"/>
    <w:rsid w:val="0FBF1923"/>
    <w:rsid w:val="0FFA2981"/>
    <w:rsid w:val="10410340"/>
    <w:rsid w:val="10A73DA4"/>
    <w:rsid w:val="10C92D99"/>
    <w:rsid w:val="10D26947"/>
    <w:rsid w:val="10D4346E"/>
    <w:rsid w:val="10F675D4"/>
    <w:rsid w:val="110A40D6"/>
    <w:rsid w:val="113064B6"/>
    <w:rsid w:val="11381376"/>
    <w:rsid w:val="11582D70"/>
    <w:rsid w:val="118B2608"/>
    <w:rsid w:val="11A3209F"/>
    <w:rsid w:val="11C639EE"/>
    <w:rsid w:val="11E431BC"/>
    <w:rsid w:val="121946A7"/>
    <w:rsid w:val="126607D7"/>
    <w:rsid w:val="128E0FB1"/>
    <w:rsid w:val="12C95DC9"/>
    <w:rsid w:val="12D52E6F"/>
    <w:rsid w:val="12D76DD5"/>
    <w:rsid w:val="12E453BC"/>
    <w:rsid w:val="130339FF"/>
    <w:rsid w:val="130A753B"/>
    <w:rsid w:val="13167ADA"/>
    <w:rsid w:val="13192BE7"/>
    <w:rsid w:val="13B65B50"/>
    <w:rsid w:val="13BB6183"/>
    <w:rsid w:val="13E1500D"/>
    <w:rsid w:val="1402288A"/>
    <w:rsid w:val="141259D8"/>
    <w:rsid w:val="14226904"/>
    <w:rsid w:val="14624138"/>
    <w:rsid w:val="14B90F47"/>
    <w:rsid w:val="14DB5CFE"/>
    <w:rsid w:val="14DF4FC1"/>
    <w:rsid w:val="14E153AA"/>
    <w:rsid w:val="14EA085D"/>
    <w:rsid w:val="156C2EC6"/>
    <w:rsid w:val="159C774A"/>
    <w:rsid w:val="15A2484C"/>
    <w:rsid w:val="15C54CCC"/>
    <w:rsid w:val="15D772AF"/>
    <w:rsid w:val="15D849FF"/>
    <w:rsid w:val="15EC7D41"/>
    <w:rsid w:val="15F25CFF"/>
    <w:rsid w:val="16052E41"/>
    <w:rsid w:val="16057500"/>
    <w:rsid w:val="16176F40"/>
    <w:rsid w:val="16197179"/>
    <w:rsid w:val="16544F77"/>
    <w:rsid w:val="16CB062F"/>
    <w:rsid w:val="16D071CF"/>
    <w:rsid w:val="17035AAC"/>
    <w:rsid w:val="17064A52"/>
    <w:rsid w:val="1720348F"/>
    <w:rsid w:val="17373805"/>
    <w:rsid w:val="17516817"/>
    <w:rsid w:val="177B7D38"/>
    <w:rsid w:val="17826ED5"/>
    <w:rsid w:val="17932AFF"/>
    <w:rsid w:val="17AD3515"/>
    <w:rsid w:val="17E97FC8"/>
    <w:rsid w:val="18057602"/>
    <w:rsid w:val="181F20D9"/>
    <w:rsid w:val="183576CD"/>
    <w:rsid w:val="18707735"/>
    <w:rsid w:val="1873738D"/>
    <w:rsid w:val="18792DF5"/>
    <w:rsid w:val="187D363C"/>
    <w:rsid w:val="1882253E"/>
    <w:rsid w:val="188350F6"/>
    <w:rsid w:val="18DC3512"/>
    <w:rsid w:val="18DE5583"/>
    <w:rsid w:val="19074616"/>
    <w:rsid w:val="190E21C1"/>
    <w:rsid w:val="191C0B8C"/>
    <w:rsid w:val="19467ED9"/>
    <w:rsid w:val="199A1063"/>
    <w:rsid w:val="1A0E09F0"/>
    <w:rsid w:val="1A322FCF"/>
    <w:rsid w:val="1A596B85"/>
    <w:rsid w:val="1A79149D"/>
    <w:rsid w:val="1AA52189"/>
    <w:rsid w:val="1AC21039"/>
    <w:rsid w:val="1AC269D5"/>
    <w:rsid w:val="1AC36030"/>
    <w:rsid w:val="1B1618EF"/>
    <w:rsid w:val="1B1A2DFD"/>
    <w:rsid w:val="1B317003"/>
    <w:rsid w:val="1B3F422C"/>
    <w:rsid w:val="1B5814CA"/>
    <w:rsid w:val="1B797A23"/>
    <w:rsid w:val="1B852F33"/>
    <w:rsid w:val="1B962F40"/>
    <w:rsid w:val="1BAF320A"/>
    <w:rsid w:val="1BC3615C"/>
    <w:rsid w:val="1BD10C6D"/>
    <w:rsid w:val="1BE249B5"/>
    <w:rsid w:val="1BEB0EAD"/>
    <w:rsid w:val="1C0C6F66"/>
    <w:rsid w:val="1C1039C1"/>
    <w:rsid w:val="1C1C2DDE"/>
    <w:rsid w:val="1C2557D6"/>
    <w:rsid w:val="1C360440"/>
    <w:rsid w:val="1C5929F8"/>
    <w:rsid w:val="1C7E6410"/>
    <w:rsid w:val="1CB84BEB"/>
    <w:rsid w:val="1CCF7FF2"/>
    <w:rsid w:val="1D29775E"/>
    <w:rsid w:val="1D341827"/>
    <w:rsid w:val="1D3E6D04"/>
    <w:rsid w:val="1D402161"/>
    <w:rsid w:val="1D727FEA"/>
    <w:rsid w:val="1D7C3EC2"/>
    <w:rsid w:val="1DC064A5"/>
    <w:rsid w:val="1DD91BA9"/>
    <w:rsid w:val="1DED63DB"/>
    <w:rsid w:val="1E1635FA"/>
    <w:rsid w:val="1E320AB7"/>
    <w:rsid w:val="1E33547A"/>
    <w:rsid w:val="1E773334"/>
    <w:rsid w:val="1E9C27E7"/>
    <w:rsid w:val="1EAE27A1"/>
    <w:rsid w:val="1ECC0109"/>
    <w:rsid w:val="1ED21966"/>
    <w:rsid w:val="1ED731B5"/>
    <w:rsid w:val="1EF048FD"/>
    <w:rsid w:val="1F0B3070"/>
    <w:rsid w:val="1F245F3D"/>
    <w:rsid w:val="1F3D7022"/>
    <w:rsid w:val="1F534654"/>
    <w:rsid w:val="1F571316"/>
    <w:rsid w:val="1FF278AB"/>
    <w:rsid w:val="1FF57001"/>
    <w:rsid w:val="1FFF4EF3"/>
    <w:rsid w:val="20110512"/>
    <w:rsid w:val="20846BF0"/>
    <w:rsid w:val="209845DF"/>
    <w:rsid w:val="20B536CD"/>
    <w:rsid w:val="20C53EE8"/>
    <w:rsid w:val="20E74D04"/>
    <w:rsid w:val="20F24FAC"/>
    <w:rsid w:val="20FE471F"/>
    <w:rsid w:val="210B6B1E"/>
    <w:rsid w:val="210D7EBC"/>
    <w:rsid w:val="21227792"/>
    <w:rsid w:val="21352B4B"/>
    <w:rsid w:val="2161625C"/>
    <w:rsid w:val="2191777F"/>
    <w:rsid w:val="21A413B0"/>
    <w:rsid w:val="21AD1466"/>
    <w:rsid w:val="21F800B4"/>
    <w:rsid w:val="224A4853"/>
    <w:rsid w:val="224C3BD5"/>
    <w:rsid w:val="226A4878"/>
    <w:rsid w:val="227100FE"/>
    <w:rsid w:val="2290560C"/>
    <w:rsid w:val="229B29AD"/>
    <w:rsid w:val="229D7D59"/>
    <w:rsid w:val="22B4084A"/>
    <w:rsid w:val="22C208C2"/>
    <w:rsid w:val="22D228DA"/>
    <w:rsid w:val="22D3225C"/>
    <w:rsid w:val="23160FF6"/>
    <w:rsid w:val="234B51A6"/>
    <w:rsid w:val="23652E12"/>
    <w:rsid w:val="236E46AB"/>
    <w:rsid w:val="237249B4"/>
    <w:rsid w:val="23822129"/>
    <w:rsid w:val="2383244E"/>
    <w:rsid w:val="23BB5F26"/>
    <w:rsid w:val="23E92F65"/>
    <w:rsid w:val="24235605"/>
    <w:rsid w:val="244F0F44"/>
    <w:rsid w:val="24571873"/>
    <w:rsid w:val="246B5497"/>
    <w:rsid w:val="24882C92"/>
    <w:rsid w:val="249D6AED"/>
    <w:rsid w:val="24B4474E"/>
    <w:rsid w:val="24BF1D8B"/>
    <w:rsid w:val="24C63BE2"/>
    <w:rsid w:val="24F31593"/>
    <w:rsid w:val="25087D5A"/>
    <w:rsid w:val="251F36D7"/>
    <w:rsid w:val="25265244"/>
    <w:rsid w:val="25352324"/>
    <w:rsid w:val="25484A36"/>
    <w:rsid w:val="25592FF8"/>
    <w:rsid w:val="256A1918"/>
    <w:rsid w:val="258F5632"/>
    <w:rsid w:val="25906245"/>
    <w:rsid w:val="25A9746F"/>
    <w:rsid w:val="25C9296E"/>
    <w:rsid w:val="25D427A5"/>
    <w:rsid w:val="260817DF"/>
    <w:rsid w:val="263537A8"/>
    <w:rsid w:val="264A5897"/>
    <w:rsid w:val="265922C7"/>
    <w:rsid w:val="2665579C"/>
    <w:rsid w:val="270F7B55"/>
    <w:rsid w:val="27287523"/>
    <w:rsid w:val="272E4170"/>
    <w:rsid w:val="273D2963"/>
    <w:rsid w:val="27675BE3"/>
    <w:rsid w:val="276E09FA"/>
    <w:rsid w:val="277C2C61"/>
    <w:rsid w:val="27BD092E"/>
    <w:rsid w:val="27C80D2D"/>
    <w:rsid w:val="27D321B2"/>
    <w:rsid w:val="27D76E45"/>
    <w:rsid w:val="2819205C"/>
    <w:rsid w:val="28411DCB"/>
    <w:rsid w:val="28447CD2"/>
    <w:rsid w:val="284D287C"/>
    <w:rsid w:val="286B2979"/>
    <w:rsid w:val="286F389C"/>
    <w:rsid w:val="28A40091"/>
    <w:rsid w:val="28B751A0"/>
    <w:rsid w:val="28CA6DAA"/>
    <w:rsid w:val="28D4741C"/>
    <w:rsid w:val="28F214DC"/>
    <w:rsid w:val="28F27BFF"/>
    <w:rsid w:val="29015EC8"/>
    <w:rsid w:val="292A4D91"/>
    <w:rsid w:val="2967468F"/>
    <w:rsid w:val="29791729"/>
    <w:rsid w:val="2985595F"/>
    <w:rsid w:val="298A269E"/>
    <w:rsid w:val="298E50C6"/>
    <w:rsid w:val="299739C6"/>
    <w:rsid w:val="29AE04CD"/>
    <w:rsid w:val="29C7716B"/>
    <w:rsid w:val="29C97769"/>
    <w:rsid w:val="29EC4178"/>
    <w:rsid w:val="29F85401"/>
    <w:rsid w:val="2A087FDF"/>
    <w:rsid w:val="2A1475B3"/>
    <w:rsid w:val="2A1B1AAB"/>
    <w:rsid w:val="2A3E0FCD"/>
    <w:rsid w:val="2A6D3486"/>
    <w:rsid w:val="2A8E340D"/>
    <w:rsid w:val="2AB74012"/>
    <w:rsid w:val="2ABD29BF"/>
    <w:rsid w:val="2ADE25C8"/>
    <w:rsid w:val="2AF27EBA"/>
    <w:rsid w:val="2B1000D5"/>
    <w:rsid w:val="2B291F73"/>
    <w:rsid w:val="2B3F5622"/>
    <w:rsid w:val="2B446947"/>
    <w:rsid w:val="2B68553E"/>
    <w:rsid w:val="2BC34F26"/>
    <w:rsid w:val="2BC64FA3"/>
    <w:rsid w:val="2BE52B60"/>
    <w:rsid w:val="2BFE4E9F"/>
    <w:rsid w:val="2C006E8B"/>
    <w:rsid w:val="2C340A5D"/>
    <w:rsid w:val="2C36106D"/>
    <w:rsid w:val="2C8F3FE8"/>
    <w:rsid w:val="2CAB1B4D"/>
    <w:rsid w:val="2CF37B63"/>
    <w:rsid w:val="2D0927FE"/>
    <w:rsid w:val="2D652A41"/>
    <w:rsid w:val="2D89113E"/>
    <w:rsid w:val="2DBE32D8"/>
    <w:rsid w:val="2DC80800"/>
    <w:rsid w:val="2DD60C13"/>
    <w:rsid w:val="2E190040"/>
    <w:rsid w:val="2E240FFB"/>
    <w:rsid w:val="2E32613E"/>
    <w:rsid w:val="2E6C54E9"/>
    <w:rsid w:val="2E740A57"/>
    <w:rsid w:val="2EB4396D"/>
    <w:rsid w:val="2EC15063"/>
    <w:rsid w:val="2F27398E"/>
    <w:rsid w:val="2F295E8E"/>
    <w:rsid w:val="2F8629A9"/>
    <w:rsid w:val="2FB057EB"/>
    <w:rsid w:val="3011447B"/>
    <w:rsid w:val="301D097A"/>
    <w:rsid w:val="30583A0F"/>
    <w:rsid w:val="305F13D4"/>
    <w:rsid w:val="30983C11"/>
    <w:rsid w:val="30A717A5"/>
    <w:rsid w:val="30C03099"/>
    <w:rsid w:val="30DB3C69"/>
    <w:rsid w:val="30EA1C1A"/>
    <w:rsid w:val="30F64557"/>
    <w:rsid w:val="310041C5"/>
    <w:rsid w:val="31084D43"/>
    <w:rsid w:val="310A043B"/>
    <w:rsid w:val="31132938"/>
    <w:rsid w:val="3144092E"/>
    <w:rsid w:val="314808AB"/>
    <w:rsid w:val="318D4498"/>
    <w:rsid w:val="318E74DC"/>
    <w:rsid w:val="31AF0792"/>
    <w:rsid w:val="31D320A3"/>
    <w:rsid w:val="3218413D"/>
    <w:rsid w:val="32633D84"/>
    <w:rsid w:val="3298261E"/>
    <w:rsid w:val="32BC4250"/>
    <w:rsid w:val="32E77034"/>
    <w:rsid w:val="32FB6AB9"/>
    <w:rsid w:val="336874E6"/>
    <w:rsid w:val="3397526B"/>
    <w:rsid w:val="33A24BCB"/>
    <w:rsid w:val="33E8225E"/>
    <w:rsid w:val="341923D7"/>
    <w:rsid w:val="342A0BAF"/>
    <w:rsid w:val="346032EB"/>
    <w:rsid w:val="346204D7"/>
    <w:rsid w:val="34761214"/>
    <w:rsid w:val="3498650A"/>
    <w:rsid w:val="34A345E5"/>
    <w:rsid w:val="34BE3AD2"/>
    <w:rsid w:val="34D846DE"/>
    <w:rsid w:val="34D85388"/>
    <w:rsid w:val="34EB5847"/>
    <w:rsid w:val="34F139CA"/>
    <w:rsid w:val="34F43176"/>
    <w:rsid w:val="35934B66"/>
    <w:rsid w:val="359F1289"/>
    <w:rsid w:val="35AB4BA3"/>
    <w:rsid w:val="35B726E1"/>
    <w:rsid w:val="35E71E6C"/>
    <w:rsid w:val="35ED1E88"/>
    <w:rsid w:val="35F742E2"/>
    <w:rsid w:val="35FE689C"/>
    <w:rsid w:val="35FF31EE"/>
    <w:rsid w:val="36007DF4"/>
    <w:rsid w:val="3602057A"/>
    <w:rsid w:val="360A7EBB"/>
    <w:rsid w:val="361149C6"/>
    <w:rsid w:val="36146118"/>
    <w:rsid w:val="36266E4C"/>
    <w:rsid w:val="362B5CEF"/>
    <w:rsid w:val="36446365"/>
    <w:rsid w:val="367518F4"/>
    <w:rsid w:val="3687199A"/>
    <w:rsid w:val="36B42B84"/>
    <w:rsid w:val="36C7529B"/>
    <w:rsid w:val="36D5139F"/>
    <w:rsid w:val="370D0474"/>
    <w:rsid w:val="373307F4"/>
    <w:rsid w:val="37366207"/>
    <w:rsid w:val="37437808"/>
    <w:rsid w:val="37487877"/>
    <w:rsid w:val="37496DDA"/>
    <w:rsid w:val="376B0DD8"/>
    <w:rsid w:val="37782438"/>
    <w:rsid w:val="377B0F00"/>
    <w:rsid w:val="37B545E4"/>
    <w:rsid w:val="37BE2F82"/>
    <w:rsid w:val="37CF475C"/>
    <w:rsid w:val="37D52961"/>
    <w:rsid w:val="37E97AD6"/>
    <w:rsid w:val="388B1F73"/>
    <w:rsid w:val="38931CAE"/>
    <w:rsid w:val="38AA27DB"/>
    <w:rsid w:val="38B2545E"/>
    <w:rsid w:val="38B860BA"/>
    <w:rsid w:val="38E2445C"/>
    <w:rsid w:val="38E4521E"/>
    <w:rsid w:val="38E474A0"/>
    <w:rsid w:val="390E5BA4"/>
    <w:rsid w:val="39120C85"/>
    <w:rsid w:val="392B6730"/>
    <w:rsid w:val="393217AF"/>
    <w:rsid w:val="393B6CDD"/>
    <w:rsid w:val="394F0285"/>
    <w:rsid w:val="395924CA"/>
    <w:rsid w:val="395D0C6C"/>
    <w:rsid w:val="39AD1107"/>
    <w:rsid w:val="39EB3438"/>
    <w:rsid w:val="39FA3DCE"/>
    <w:rsid w:val="3A0672C4"/>
    <w:rsid w:val="3A1E7660"/>
    <w:rsid w:val="3A211D84"/>
    <w:rsid w:val="3A3C12CD"/>
    <w:rsid w:val="3A6E245C"/>
    <w:rsid w:val="3A9F0C3F"/>
    <w:rsid w:val="3ABE1B66"/>
    <w:rsid w:val="3AD579C7"/>
    <w:rsid w:val="3B317C0A"/>
    <w:rsid w:val="3B737355"/>
    <w:rsid w:val="3B8F2395"/>
    <w:rsid w:val="3B9346CE"/>
    <w:rsid w:val="3BAC2FE2"/>
    <w:rsid w:val="3BB159A6"/>
    <w:rsid w:val="3BD85FE6"/>
    <w:rsid w:val="3BE03A17"/>
    <w:rsid w:val="3C0D5EFA"/>
    <w:rsid w:val="3C153994"/>
    <w:rsid w:val="3C2E4A5A"/>
    <w:rsid w:val="3C577B7C"/>
    <w:rsid w:val="3C5C7A6A"/>
    <w:rsid w:val="3C93118C"/>
    <w:rsid w:val="3CBB3036"/>
    <w:rsid w:val="3CE32A4C"/>
    <w:rsid w:val="3D037D04"/>
    <w:rsid w:val="3D3615E2"/>
    <w:rsid w:val="3D4225DB"/>
    <w:rsid w:val="3D4B1CA0"/>
    <w:rsid w:val="3D736C38"/>
    <w:rsid w:val="3DCA0919"/>
    <w:rsid w:val="3DD46F51"/>
    <w:rsid w:val="3E0979E9"/>
    <w:rsid w:val="3E2A0483"/>
    <w:rsid w:val="3E506EA2"/>
    <w:rsid w:val="3E871805"/>
    <w:rsid w:val="3EC0246A"/>
    <w:rsid w:val="3EDE7F29"/>
    <w:rsid w:val="3EF52FAA"/>
    <w:rsid w:val="3F0611A3"/>
    <w:rsid w:val="3F1E58B2"/>
    <w:rsid w:val="3F5115D0"/>
    <w:rsid w:val="3F624B7D"/>
    <w:rsid w:val="3F9D0D8F"/>
    <w:rsid w:val="3FBA23B0"/>
    <w:rsid w:val="3FE37DE3"/>
    <w:rsid w:val="3FFA5C88"/>
    <w:rsid w:val="400C0D83"/>
    <w:rsid w:val="400F2416"/>
    <w:rsid w:val="40223C6D"/>
    <w:rsid w:val="40316C6C"/>
    <w:rsid w:val="4042220C"/>
    <w:rsid w:val="404537CA"/>
    <w:rsid w:val="406A74DF"/>
    <w:rsid w:val="40740AA1"/>
    <w:rsid w:val="40A14FBC"/>
    <w:rsid w:val="40D4662C"/>
    <w:rsid w:val="40D739EB"/>
    <w:rsid w:val="40DC7A8B"/>
    <w:rsid w:val="40E3389D"/>
    <w:rsid w:val="41146A4F"/>
    <w:rsid w:val="41175145"/>
    <w:rsid w:val="411B46F1"/>
    <w:rsid w:val="412A6107"/>
    <w:rsid w:val="41506876"/>
    <w:rsid w:val="41791F07"/>
    <w:rsid w:val="41AC723B"/>
    <w:rsid w:val="41B73BD4"/>
    <w:rsid w:val="41BB016F"/>
    <w:rsid w:val="41C04E7E"/>
    <w:rsid w:val="41D40677"/>
    <w:rsid w:val="41D65994"/>
    <w:rsid w:val="41D96BD5"/>
    <w:rsid w:val="420E6F1D"/>
    <w:rsid w:val="42244303"/>
    <w:rsid w:val="422D5D1C"/>
    <w:rsid w:val="423304D4"/>
    <w:rsid w:val="424543A7"/>
    <w:rsid w:val="4274311B"/>
    <w:rsid w:val="429C1608"/>
    <w:rsid w:val="42A12D28"/>
    <w:rsid w:val="42A633F7"/>
    <w:rsid w:val="42A63664"/>
    <w:rsid w:val="42C44D9C"/>
    <w:rsid w:val="42D75573"/>
    <w:rsid w:val="42DA5BB6"/>
    <w:rsid w:val="42DF5DB3"/>
    <w:rsid w:val="43036AE4"/>
    <w:rsid w:val="431A7B98"/>
    <w:rsid w:val="43525C0E"/>
    <w:rsid w:val="43E4263E"/>
    <w:rsid w:val="442073BE"/>
    <w:rsid w:val="443E0B64"/>
    <w:rsid w:val="447A6AFE"/>
    <w:rsid w:val="44AD5093"/>
    <w:rsid w:val="44EB7942"/>
    <w:rsid w:val="451A074C"/>
    <w:rsid w:val="45810B13"/>
    <w:rsid w:val="45CB09A4"/>
    <w:rsid w:val="45CC48FB"/>
    <w:rsid w:val="45D01BA9"/>
    <w:rsid w:val="461124F0"/>
    <w:rsid w:val="462C5BD6"/>
    <w:rsid w:val="462E42B5"/>
    <w:rsid w:val="46316139"/>
    <w:rsid w:val="46515D8E"/>
    <w:rsid w:val="46791422"/>
    <w:rsid w:val="46DE4CF1"/>
    <w:rsid w:val="470A3998"/>
    <w:rsid w:val="471137BB"/>
    <w:rsid w:val="474029BD"/>
    <w:rsid w:val="47630954"/>
    <w:rsid w:val="4785771A"/>
    <w:rsid w:val="47942814"/>
    <w:rsid w:val="47C63D6B"/>
    <w:rsid w:val="47C72442"/>
    <w:rsid w:val="47E0597B"/>
    <w:rsid w:val="47F45F17"/>
    <w:rsid w:val="48494D36"/>
    <w:rsid w:val="485902E6"/>
    <w:rsid w:val="485B1B6A"/>
    <w:rsid w:val="488A1BAA"/>
    <w:rsid w:val="48971F15"/>
    <w:rsid w:val="48A2644C"/>
    <w:rsid w:val="48A9742B"/>
    <w:rsid w:val="48CB10C6"/>
    <w:rsid w:val="48D2246D"/>
    <w:rsid w:val="490B557A"/>
    <w:rsid w:val="49196A6F"/>
    <w:rsid w:val="491B7CD7"/>
    <w:rsid w:val="4920172B"/>
    <w:rsid w:val="4948293E"/>
    <w:rsid w:val="49503073"/>
    <w:rsid w:val="497616AC"/>
    <w:rsid w:val="498677ED"/>
    <w:rsid w:val="49EB7979"/>
    <w:rsid w:val="4A25337F"/>
    <w:rsid w:val="4A314103"/>
    <w:rsid w:val="4A341E0B"/>
    <w:rsid w:val="4A662573"/>
    <w:rsid w:val="4A667676"/>
    <w:rsid w:val="4A7C42D9"/>
    <w:rsid w:val="4A9079AA"/>
    <w:rsid w:val="4A9719C2"/>
    <w:rsid w:val="4AAD305D"/>
    <w:rsid w:val="4AE04EF1"/>
    <w:rsid w:val="4B201D7F"/>
    <w:rsid w:val="4B277793"/>
    <w:rsid w:val="4B2F5D2C"/>
    <w:rsid w:val="4B3814C1"/>
    <w:rsid w:val="4B4A6B4E"/>
    <w:rsid w:val="4B8B2D27"/>
    <w:rsid w:val="4BCF14D1"/>
    <w:rsid w:val="4BD85E90"/>
    <w:rsid w:val="4BE115CB"/>
    <w:rsid w:val="4BE62D58"/>
    <w:rsid w:val="4C213EEF"/>
    <w:rsid w:val="4C3645BE"/>
    <w:rsid w:val="4C3E46A3"/>
    <w:rsid w:val="4C4255E4"/>
    <w:rsid w:val="4C47597C"/>
    <w:rsid w:val="4C611093"/>
    <w:rsid w:val="4C7C21CF"/>
    <w:rsid w:val="4CCC20FC"/>
    <w:rsid w:val="4CF667AC"/>
    <w:rsid w:val="4CFD5BAE"/>
    <w:rsid w:val="4D0321BD"/>
    <w:rsid w:val="4D5B749B"/>
    <w:rsid w:val="4D650C2B"/>
    <w:rsid w:val="4D6972C0"/>
    <w:rsid w:val="4D741010"/>
    <w:rsid w:val="4D841808"/>
    <w:rsid w:val="4D871BFD"/>
    <w:rsid w:val="4DBB06BD"/>
    <w:rsid w:val="4DC069CF"/>
    <w:rsid w:val="4DC6301F"/>
    <w:rsid w:val="4DF81B34"/>
    <w:rsid w:val="4E0754D9"/>
    <w:rsid w:val="4EB57C40"/>
    <w:rsid w:val="4EC626A5"/>
    <w:rsid w:val="4EF23FDF"/>
    <w:rsid w:val="4F0A7018"/>
    <w:rsid w:val="4F323E23"/>
    <w:rsid w:val="4F3C3393"/>
    <w:rsid w:val="4F6A6E27"/>
    <w:rsid w:val="4F9D02B9"/>
    <w:rsid w:val="4FC07473"/>
    <w:rsid w:val="4FC3725E"/>
    <w:rsid w:val="4FD33065"/>
    <w:rsid w:val="4FDA7E8E"/>
    <w:rsid w:val="4FE14C38"/>
    <w:rsid w:val="50066298"/>
    <w:rsid w:val="505A2CFD"/>
    <w:rsid w:val="505F4DFA"/>
    <w:rsid w:val="50682F6D"/>
    <w:rsid w:val="50845FF0"/>
    <w:rsid w:val="50865324"/>
    <w:rsid w:val="509244D3"/>
    <w:rsid w:val="5094262A"/>
    <w:rsid w:val="509C15A2"/>
    <w:rsid w:val="50A61A17"/>
    <w:rsid w:val="50B365D5"/>
    <w:rsid w:val="50DB0924"/>
    <w:rsid w:val="50DE64E8"/>
    <w:rsid w:val="51107F34"/>
    <w:rsid w:val="5127099F"/>
    <w:rsid w:val="51405AB8"/>
    <w:rsid w:val="514151D0"/>
    <w:rsid w:val="514A212D"/>
    <w:rsid w:val="51811DBB"/>
    <w:rsid w:val="51857C1F"/>
    <w:rsid w:val="518D1218"/>
    <w:rsid w:val="523163C3"/>
    <w:rsid w:val="52707BD4"/>
    <w:rsid w:val="527249B5"/>
    <w:rsid w:val="52730B57"/>
    <w:rsid w:val="528252EE"/>
    <w:rsid w:val="528473EA"/>
    <w:rsid w:val="528627CC"/>
    <w:rsid w:val="52965D4E"/>
    <w:rsid w:val="52CA50F4"/>
    <w:rsid w:val="52FB4F10"/>
    <w:rsid w:val="5313585B"/>
    <w:rsid w:val="53226CDE"/>
    <w:rsid w:val="533508C1"/>
    <w:rsid w:val="535507E0"/>
    <w:rsid w:val="53755060"/>
    <w:rsid w:val="53B6539D"/>
    <w:rsid w:val="53BB4482"/>
    <w:rsid w:val="53EC44A3"/>
    <w:rsid w:val="54040F2E"/>
    <w:rsid w:val="542D2630"/>
    <w:rsid w:val="545006B9"/>
    <w:rsid w:val="54647026"/>
    <w:rsid w:val="5470329A"/>
    <w:rsid w:val="547043F6"/>
    <w:rsid w:val="54705828"/>
    <w:rsid w:val="5478103F"/>
    <w:rsid w:val="54C03353"/>
    <w:rsid w:val="54D342BF"/>
    <w:rsid w:val="552F12FC"/>
    <w:rsid w:val="55420956"/>
    <w:rsid w:val="55420A46"/>
    <w:rsid w:val="554E6750"/>
    <w:rsid w:val="555F0339"/>
    <w:rsid w:val="555F071A"/>
    <w:rsid w:val="55C42861"/>
    <w:rsid w:val="55DA20D3"/>
    <w:rsid w:val="561B621E"/>
    <w:rsid w:val="56681C78"/>
    <w:rsid w:val="5670528E"/>
    <w:rsid w:val="5689497F"/>
    <w:rsid w:val="570E4533"/>
    <w:rsid w:val="574D13BF"/>
    <w:rsid w:val="575248AF"/>
    <w:rsid w:val="575B19EA"/>
    <w:rsid w:val="57602BCA"/>
    <w:rsid w:val="577A11AB"/>
    <w:rsid w:val="578B2D1D"/>
    <w:rsid w:val="57915054"/>
    <w:rsid w:val="57CF2865"/>
    <w:rsid w:val="57E010AB"/>
    <w:rsid w:val="57E65C6F"/>
    <w:rsid w:val="57F57971"/>
    <w:rsid w:val="58142D89"/>
    <w:rsid w:val="5814471C"/>
    <w:rsid w:val="58186A35"/>
    <w:rsid w:val="58210BCC"/>
    <w:rsid w:val="582F63D2"/>
    <w:rsid w:val="589815D0"/>
    <w:rsid w:val="58AD0DF8"/>
    <w:rsid w:val="58CB5C22"/>
    <w:rsid w:val="59545D17"/>
    <w:rsid w:val="59B8148C"/>
    <w:rsid w:val="59B91AF9"/>
    <w:rsid w:val="59FB5B93"/>
    <w:rsid w:val="5A075AD0"/>
    <w:rsid w:val="5A092EA7"/>
    <w:rsid w:val="5A197E3D"/>
    <w:rsid w:val="5A1B48EC"/>
    <w:rsid w:val="5A35479F"/>
    <w:rsid w:val="5A5A7D45"/>
    <w:rsid w:val="5A5B455A"/>
    <w:rsid w:val="5A7E5E47"/>
    <w:rsid w:val="5A925F09"/>
    <w:rsid w:val="5AB22C81"/>
    <w:rsid w:val="5AD54D95"/>
    <w:rsid w:val="5B014DE9"/>
    <w:rsid w:val="5B1B11ED"/>
    <w:rsid w:val="5B2731EB"/>
    <w:rsid w:val="5B4D3C8B"/>
    <w:rsid w:val="5B647FE5"/>
    <w:rsid w:val="5B6B0F8C"/>
    <w:rsid w:val="5B960049"/>
    <w:rsid w:val="5B9814D2"/>
    <w:rsid w:val="5B9D5813"/>
    <w:rsid w:val="5BA64972"/>
    <w:rsid w:val="5BB31D5A"/>
    <w:rsid w:val="5BBB69F2"/>
    <w:rsid w:val="5BDB0493"/>
    <w:rsid w:val="5C0B48E9"/>
    <w:rsid w:val="5C1A79A7"/>
    <w:rsid w:val="5C5147F7"/>
    <w:rsid w:val="5C862C26"/>
    <w:rsid w:val="5CB42770"/>
    <w:rsid w:val="5CB740DA"/>
    <w:rsid w:val="5CCA6EFE"/>
    <w:rsid w:val="5CD4368C"/>
    <w:rsid w:val="5D0478A2"/>
    <w:rsid w:val="5D163F59"/>
    <w:rsid w:val="5D4B139E"/>
    <w:rsid w:val="5D6172E6"/>
    <w:rsid w:val="5D657C27"/>
    <w:rsid w:val="5D8C308A"/>
    <w:rsid w:val="5D9C0910"/>
    <w:rsid w:val="5DA5412A"/>
    <w:rsid w:val="5DE64CF0"/>
    <w:rsid w:val="5DE828D3"/>
    <w:rsid w:val="5E494761"/>
    <w:rsid w:val="5E7610F0"/>
    <w:rsid w:val="5E7C6CF3"/>
    <w:rsid w:val="5E856373"/>
    <w:rsid w:val="5EB934C2"/>
    <w:rsid w:val="5EC724E8"/>
    <w:rsid w:val="5F3137E9"/>
    <w:rsid w:val="5F3E765A"/>
    <w:rsid w:val="5F452233"/>
    <w:rsid w:val="5F8E6EF3"/>
    <w:rsid w:val="5F9057B7"/>
    <w:rsid w:val="5FA15680"/>
    <w:rsid w:val="5FA562D7"/>
    <w:rsid w:val="5FD34E4E"/>
    <w:rsid w:val="600E09EC"/>
    <w:rsid w:val="60186A36"/>
    <w:rsid w:val="60277003"/>
    <w:rsid w:val="607D4607"/>
    <w:rsid w:val="609253C4"/>
    <w:rsid w:val="60D06FC0"/>
    <w:rsid w:val="60F67119"/>
    <w:rsid w:val="612C1436"/>
    <w:rsid w:val="613C5532"/>
    <w:rsid w:val="616A5274"/>
    <w:rsid w:val="61735CF9"/>
    <w:rsid w:val="617B2468"/>
    <w:rsid w:val="618D1EAE"/>
    <w:rsid w:val="61C02350"/>
    <w:rsid w:val="61C473A7"/>
    <w:rsid w:val="61F96485"/>
    <w:rsid w:val="622815E1"/>
    <w:rsid w:val="624A6547"/>
    <w:rsid w:val="624C0B54"/>
    <w:rsid w:val="625F240A"/>
    <w:rsid w:val="62A24841"/>
    <w:rsid w:val="62AB7138"/>
    <w:rsid w:val="62C428D9"/>
    <w:rsid w:val="62DD28B5"/>
    <w:rsid w:val="63604CC7"/>
    <w:rsid w:val="637455D9"/>
    <w:rsid w:val="637C5C87"/>
    <w:rsid w:val="63977D46"/>
    <w:rsid w:val="63A16B94"/>
    <w:rsid w:val="63CA1065"/>
    <w:rsid w:val="63CF57C4"/>
    <w:rsid w:val="63DE0C40"/>
    <w:rsid w:val="64032F88"/>
    <w:rsid w:val="64763432"/>
    <w:rsid w:val="647706A1"/>
    <w:rsid w:val="647B65B1"/>
    <w:rsid w:val="64CE6704"/>
    <w:rsid w:val="64D33839"/>
    <w:rsid w:val="64D55C5B"/>
    <w:rsid w:val="64E76B86"/>
    <w:rsid w:val="65162F04"/>
    <w:rsid w:val="653856E5"/>
    <w:rsid w:val="655C37F6"/>
    <w:rsid w:val="655D57E8"/>
    <w:rsid w:val="65AD7D38"/>
    <w:rsid w:val="65C05BB1"/>
    <w:rsid w:val="65CE63C1"/>
    <w:rsid w:val="65FE3646"/>
    <w:rsid w:val="66052464"/>
    <w:rsid w:val="66120924"/>
    <w:rsid w:val="66363BB8"/>
    <w:rsid w:val="6637329A"/>
    <w:rsid w:val="665C5873"/>
    <w:rsid w:val="66644AC0"/>
    <w:rsid w:val="66682803"/>
    <w:rsid w:val="666871AF"/>
    <w:rsid w:val="666B6808"/>
    <w:rsid w:val="66A1481F"/>
    <w:rsid w:val="66B80FBC"/>
    <w:rsid w:val="66CE2A89"/>
    <w:rsid w:val="66D35CD6"/>
    <w:rsid w:val="66F21425"/>
    <w:rsid w:val="66FF579C"/>
    <w:rsid w:val="672E5BCD"/>
    <w:rsid w:val="673A2E7E"/>
    <w:rsid w:val="67484CA8"/>
    <w:rsid w:val="678D1FF3"/>
    <w:rsid w:val="67C47C2E"/>
    <w:rsid w:val="67CA005E"/>
    <w:rsid w:val="67F558A3"/>
    <w:rsid w:val="680622D3"/>
    <w:rsid w:val="684D4D70"/>
    <w:rsid w:val="68587514"/>
    <w:rsid w:val="68701910"/>
    <w:rsid w:val="68996B80"/>
    <w:rsid w:val="68FE4836"/>
    <w:rsid w:val="690935EB"/>
    <w:rsid w:val="696D2897"/>
    <w:rsid w:val="69A758FE"/>
    <w:rsid w:val="69DA5989"/>
    <w:rsid w:val="69E86C87"/>
    <w:rsid w:val="69ED1B3B"/>
    <w:rsid w:val="69FE7394"/>
    <w:rsid w:val="6A325D6D"/>
    <w:rsid w:val="6A3961EB"/>
    <w:rsid w:val="6AA1208B"/>
    <w:rsid w:val="6AA665A5"/>
    <w:rsid w:val="6AA965E5"/>
    <w:rsid w:val="6ADE227F"/>
    <w:rsid w:val="6B4B1417"/>
    <w:rsid w:val="6B733CAB"/>
    <w:rsid w:val="6B7B2A2F"/>
    <w:rsid w:val="6BC653AC"/>
    <w:rsid w:val="6BFF1ED5"/>
    <w:rsid w:val="6C10046C"/>
    <w:rsid w:val="6C166DBC"/>
    <w:rsid w:val="6C1714A0"/>
    <w:rsid w:val="6C180F4C"/>
    <w:rsid w:val="6C215EC8"/>
    <w:rsid w:val="6C305D2E"/>
    <w:rsid w:val="6C322A81"/>
    <w:rsid w:val="6C5642C9"/>
    <w:rsid w:val="6C6D06B7"/>
    <w:rsid w:val="6C700663"/>
    <w:rsid w:val="6C821745"/>
    <w:rsid w:val="6CA26AFE"/>
    <w:rsid w:val="6CD10C46"/>
    <w:rsid w:val="6CD63B6F"/>
    <w:rsid w:val="6CD7061A"/>
    <w:rsid w:val="6CE90A16"/>
    <w:rsid w:val="6CFE34E7"/>
    <w:rsid w:val="6CFE7D79"/>
    <w:rsid w:val="6D0D1248"/>
    <w:rsid w:val="6D3118D1"/>
    <w:rsid w:val="6D3F1FD7"/>
    <w:rsid w:val="6D4D3685"/>
    <w:rsid w:val="6D55000E"/>
    <w:rsid w:val="6D7B19F3"/>
    <w:rsid w:val="6DB71660"/>
    <w:rsid w:val="6DBD3284"/>
    <w:rsid w:val="6DCC4938"/>
    <w:rsid w:val="6DE066BB"/>
    <w:rsid w:val="6E2E76B4"/>
    <w:rsid w:val="6E64667F"/>
    <w:rsid w:val="6EAC67BB"/>
    <w:rsid w:val="6ECF0361"/>
    <w:rsid w:val="6EDB489E"/>
    <w:rsid w:val="6EDD3E07"/>
    <w:rsid w:val="6F0C0A5A"/>
    <w:rsid w:val="6F3E606C"/>
    <w:rsid w:val="6F5453A9"/>
    <w:rsid w:val="6F623C41"/>
    <w:rsid w:val="6FC62366"/>
    <w:rsid w:val="6FC97436"/>
    <w:rsid w:val="6FEA3114"/>
    <w:rsid w:val="700E43B1"/>
    <w:rsid w:val="70230A1E"/>
    <w:rsid w:val="70292F11"/>
    <w:rsid w:val="7057200B"/>
    <w:rsid w:val="70897C3B"/>
    <w:rsid w:val="70901FEB"/>
    <w:rsid w:val="70950031"/>
    <w:rsid w:val="70A134FE"/>
    <w:rsid w:val="70AB0818"/>
    <w:rsid w:val="70C230D5"/>
    <w:rsid w:val="70DF7448"/>
    <w:rsid w:val="70ED5F06"/>
    <w:rsid w:val="71396267"/>
    <w:rsid w:val="713E4B83"/>
    <w:rsid w:val="715D2F35"/>
    <w:rsid w:val="717C405A"/>
    <w:rsid w:val="71B15B9E"/>
    <w:rsid w:val="71F11AA2"/>
    <w:rsid w:val="7245763D"/>
    <w:rsid w:val="72892F1A"/>
    <w:rsid w:val="729F30FE"/>
    <w:rsid w:val="72E005CC"/>
    <w:rsid w:val="72E03EF0"/>
    <w:rsid w:val="72F17DE3"/>
    <w:rsid w:val="731A0EA9"/>
    <w:rsid w:val="73221D7D"/>
    <w:rsid w:val="734E78AF"/>
    <w:rsid w:val="739932D9"/>
    <w:rsid w:val="739C1D3D"/>
    <w:rsid w:val="73D5049D"/>
    <w:rsid w:val="73E569BF"/>
    <w:rsid w:val="74331697"/>
    <w:rsid w:val="74565958"/>
    <w:rsid w:val="74723149"/>
    <w:rsid w:val="74793E2D"/>
    <w:rsid w:val="749B4FCF"/>
    <w:rsid w:val="74FF3C0E"/>
    <w:rsid w:val="75024515"/>
    <w:rsid w:val="75286FC4"/>
    <w:rsid w:val="757635F2"/>
    <w:rsid w:val="758864A0"/>
    <w:rsid w:val="75A061F6"/>
    <w:rsid w:val="75D0525F"/>
    <w:rsid w:val="75E01484"/>
    <w:rsid w:val="75FD339A"/>
    <w:rsid w:val="7610271F"/>
    <w:rsid w:val="7625601A"/>
    <w:rsid w:val="76982494"/>
    <w:rsid w:val="76AC6DA4"/>
    <w:rsid w:val="77143EE2"/>
    <w:rsid w:val="77246D01"/>
    <w:rsid w:val="772C33D8"/>
    <w:rsid w:val="77302EC9"/>
    <w:rsid w:val="773930A3"/>
    <w:rsid w:val="779823D7"/>
    <w:rsid w:val="77B35DCE"/>
    <w:rsid w:val="77BC4453"/>
    <w:rsid w:val="77E03A82"/>
    <w:rsid w:val="77E722C8"/>
    <w:rsid w:val="78100CC6"/>
    <w:rsid w:val="781E05C8"/>
    <w:rsid w:val="78564BB1"/>
    <w:rsid w:val="786E00DE"/>
    <w:rsid w:val="78B15F6D"/>
    <w:rsid w:val="78BE030B"/>
    <w:rsid w:val="78D946F2"/>
    <w:rsid w:val="78E441DF"/>
    <w:rsid w:val="78E844D9"/>
    <w:rsid w:val="78F70901"/>
    <w:rsid w:val="78F94561"/>
    <w:rsid w:val="79246A5D"/>
    <w:rsid w:val="7928010E"/>
    <w:rsid w:val="79604148"/>
    <w:rsid w:val="79D66602"/>
    <w:rsid w:val="79E022E1"/>
    <w:rsid w:val="79EF0682"/>
    <w:rsid w:val="79FA4FF5"/>
    <w:rsid w:val="7A001FD1"/>
    <w:rsid w:val="7A0C1832"/>
    <w:rsid w:val="7A281159"/>
    <w:rsid w:val="7A7A3F12"/>
    <w:rsid w:val="7A8A0872"/>
    <w:rsid w:val="7AA76C31"/>
    <w:rsid w:val="7AAF1268"/>
    <w:rsid w:val="7B374208"/>
    <w:rsid w:val="7B5050C2"/>
    <w:rsid w:val="7B6B42A1"/>
    <w:rsid w:val="7B735C35"/>
    <w:rsid w:val="7B816B7B"/>
    <w:rsid w:val="7BA15F7B"/>
    <w:rsid w:val="7BB37C24"/>
    <w:rsid w:val="7BDF0117"/>
    <w:rsid w:val="7BEC63E5"/>
    <w:rsid w:val="7BEE6EAE"/>
    <w:rsid w:val="7C1B630D"/>
    <w:rsid w:val="7C3E0AFC"/>
    <w:rsid w:val="7C55629F"/>
    <w:rsid w:val="7C662BA1"/>
    <w:rsid w:val="7C921D23"/>
    <w:rsid w:val="7CA77E09"/>
    <w:rsid w:val="7CAB169C"/>
    <w:rsid w:val="7CC06A9D"/>
    <w:rsid w:val="7CCD1213"/>
    <w:rsid w:val="7CD93B51"/>
    <w:rsid w:val="7CE528EF"/>
    <w:rsid w:val="7CE72DCF"/>
    <w:rsid w:val="7CED6616"/>
    <w:rsid w:val="7CF304F7"/>
    <w:rsid w:val="7D09789E"/>
    <w:rsid w:val="7D193C9C"/>
    <w:rsid w:val="7D1F0B9E"/>
    <w:rsid w:val="7D2517BD"/>
    <w:rsid w:val="7D372CDB"/>
    <w:rsid w:val="7D673DB4"/>
    <w:rsid w:val="7D7730E0"/>
    <w:rsid w:val="7D7E60E8"/>
    <w:rsid w:val="7D885356"/>
    <w:rsid w:val="7DC75B95"/>
    <w:rsid w:val="7E4B683A"/>
    <w:rsid w:val="7E665078"/>
    <w:rsid w:val="7E9806BB"/>
    <w:rsid w:val="7EA57A0D"/>
    <w:rsid w:val="7EDB7BBE"/>
    <w:rsid w:val="7F0B0E30"/>
    <w:rsid w:val="7F1676F3"/>
    <w:rsid w:val="7F2B4FFE"/>
    <w:rsid w:val="7FAD1D4E"/>
    <w:rsid w:val="7FB64166"/>
    <w:rsid w:val="7FCC2465"/>
    <w:rsid w:val="7FCD0DF5"/>
    <w:rsid w:val="7FFA4129"/>
    <w:rsid w:val="7FFD60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4"/>
        <o:r id="V:Rule2" type="connector" idref="#直接箭头连接符 6"/>
        <o:r id="V:Rule3" type="connector" idref="#直接箭头连接符 8"/>
        <o:r id="V:Rule4" type="connector" idref="#直接箭头连接符 19"/>
        <o:r id="V:Rule5" type="connector" idref="#曲线连接符 25"/>
        <o:r id="V:Rule6" type="connector" idref="#直接箭头连接符 32"/>
        <o:r id="V:Rule7" type="connector" idref="#直接箭头连接符 3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autoRedefine/>
    <w:qFormat/>
    <w:uiPriority w:val="0"/>
    <w:pPr>
      <w:keepNext/>
      <w:keepLines/>
      <w:spacing w:line="360" w:lineRule="auto"/>
      <w:jc w:val="left"/>
      <w:outlineLvl w:val="0"/>
    </w:pPr>
    <w:rPr>
      <w:b/>
      <w:kern w:val="44"/>
    </w:rPr>
  </w:style>
  <w:style w:type="paragraph" w:styleId="5">
    <w:name w:val="heading 2"/>
    <w:basedOn w:val="1"/>
    <w:next w:val="1"/>
    <w:autoRedefine/>
    <w:unhideWhenUsed/>
    <w:qFormat/>
    <w:uiPriority w:val="0"/>
    <w:pPr>
      <w:keepNext/>
      <w:keepLines/>
      <w:spacing w:line="360" w:lineRule="auto"/>
      <w:ind w:firstLine="600" w:firstLineChars="200"/>
      <w:outlineLvl w:val="1"/>
    </w:pPr>
    <w:rPr>
      <w:b/>
    </w:rPr>
  </w:style>
  <w:style w:type="paragraph" w:styleId="6">
    <w:name w:val="heading 3"/>
    <w:basedOn w:val="1"/>
    <w:next w:val="1"/>
    <w:link w:val="45"/>
    <w:autoRedefine/>
    <w:unhideWhenUsed/>
    <w:qFormat/>
    <w:uiPriority w:val="0"/>
    <w:pPr>
      <w:keepNext/>
      <w:keepLines/>
      <w:spacing w:line="360" w:lineRule="auto"/>
      <w:ind w:firstLine="600" w:firstLineChars="200"/>
      <w:jc w:val="left"/>
      <w:outlineLvl w:val="2"/>
    </w:pPr>
    <w:rPr>
      <w:bCs/>
      <w:szCs w:val="32"/>
    </w:rPr>
  </w:style>
  <w:style w:type="paragraph" w:styleId="7">
    <w:name w:val="heading 4"/>
    <w:basedOn w:val="1"/>
    <w:next w:val="1"/>
    <w:autoRedefine/>
    <w:qFormat/>
    <w:uiPriority w:val="0"/>
    <w:pPr>
      <w:keepNext/>
      <w:keepLines/>
      <w:spacing w:line="360" w:lineRule="auto"/>
      <w:ind w:firstLine="900" w:firstLineChars="300"/>
      <w:outlineLvl w:val="3"/>
    </w:pPr>
    <w:rPr>
      <w:bCs/>
      <w:szCs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widowControl/>
      <w:snapToGrid w:val="0"/>
      <w:spacing w:before="60" w:after="160" w:line="259" w:lineRule="auto"/>
      <w:ind w:right="113"/>
    </w:pPr>
    <w:rPr>
      <w:kern w:val="0"/>
      <w:sz w:val="18"/>
      <w:szCs w:val="20"/>
    </w:rPr>
  </w:style>
  <w:style w:type="paragraph" w:styleId="3">
    <w:name w:val="Body Text 2"/>
    <w:basedOn w:val="1"/>
    <w:autoRedefine/>
    <w:qFormat/>
    <w:uiPriority w:val="0"/>
    <w:pPr>
      <w:spacing w:line="480" w:lineRule="auto"/>
    </w:pPr>
    <w:rPr>
      <w:rFonts w:eastAsia="仿宋_GB2312"/>
    </w:rPr>
  </w:style>
  <w:style w:type="paragraph" w:styleId="8">
    <w:name w:val="toc 7"/>
    <w:basedOn w:val="1"/>
    <w:next w:val="1"/>
    <w:autoRedefine/>
    <w:qFormat/>
    <w:uiPriority w:val="0"/>
    <w:pPr>
      <w:spacing w:line="240" w:lineRule="auto"/>
      <w:ind w:left="0" w:firstLine="0" w:firstLineChars="0"/>
      <w:jc w:val="center"/>
    </w:pPr>
    <w:rPr>
      <w:rFonts w:ascii="Times New Roman" w:hAnsi="Times New Roman"/>
      <w:sz w:val="21"/>
      <w:szCs w:val="21"/>
    </w:rPr>
  </w:style>
  <w:style w:type="paragraph" w:styleId="9">
    <w:name w:val="Normal Indent"/>
    <w:basedOn w:val="1"/>
    <w:autoRedefine/>
    <w:qFormat/>
    <w:uiPriority w:val="0"/>
    <w:pPr>
      <w:spacing w:line="600" w:lineRule="exact"/>
      <w:ind w:firstLine="420"/>
    </w:pPr>
    <w:rPr>
      <w:rFonts w:ascii="宋体"/>
      <w:sz w:val="32"/>
    </w:rPr>
  </w:style>
  <w:style w:type="paragraph" w:styleId="10">
    <w:name w:val="annotation text"/>
    <w:basedOn w:val="1"/>
    <w:autoRedefine/>
    <w:semiHidden/>
    <w:qFormat/>
    <w:uiPriority w:val="0"/>
    <w:pPr>
      <w:jc w:val="left"/>
    </w:pPr>
    <w:rPr>
      <w:kern w:val="0"/>
      <w:sz w:val="24"/>
      <w:szCs w:val="20"/>
    </w:rPr>
  </w:style>
  <w:style w:type="paragraph" w:styleId="11">
    <w:name w:val="Body Text Indent"/>
    <w:basedOn w:val="1"/>
    <w:autoRedefine/>
    <w:qFormat/>
    <w:uiPriority w:val="0"/>
    <w:pPr>
      <w:spacing w:after="120"/>
      <w:ind w:left="420" w:leftChars="200"/>
    </w:pPr>
    <w:rPr>
      <w:kern w:val="0"/>
      <w:sz w:val="24"/>
      <w:szCs w:val="20"/>
    </w:rPr>
  </w:style>
  <w:style w:type="paragraph" w:styleId="12">
    <w:name w:val="Block Text"/>
    <w:basedOn w:val="1"/>
    <w:next w:val="1"/>
    <w:autoRedefine/>
    <w:qFormat/>
    <w:uiPriority w:val="0"/>
    <w:pPr>
      <w:ind w:left="137" w:right="116" w:firstLine="317"/>
    </w:pPr>
    <w:rPr>
      <w:sz w:val="28"/>
    </w:rPr>
  </w:style>
  <w:style w:type="paragraph" w:styleId="13">
    <w:name w:val="Plain Text"/>
    <w:basedOn w:val="1"/>
    <w:autoRedefine/>
    <w:qFormat/>
    <w:uiPriority w:val="0"/>
    <w:rPr>
      <w:rFonts w:hint="eastAsia" w:ascii="宋体" w:hAnsi="Courier New" w:eastAsia="仿宋_GB2312"/>
      <w:sz w:val="28"/>
      <w:szCs w:val="28"/>
    </w:rPr>
  </w:style>
  <w:style w:type="paragraph" w:styleId="14">
    <w:name w:val="List Bullet 5"/>
    <w:basedOn w:val="1"/>
    <w:autoRedefine/>
    <w:qFormat/>
    <w:uiPriority w:val="0"/>
    <w:pPr>
      <w:numPr>
        <w:ilvl w:val="0"/>
        <w:numId w:val="1"/>
      </w:numPr>
    </w:pPr>
  </w:style>
  <w:style w:type="paragraph" w:styleId="15">
    <w:name w:val="Date"/>
    <w:basedOn w:val="1"/>
    <w:next w:val="1"/>
    <w:autoRedefine/>
    <w:qFormat/>
    <w:uiPriority w:val="0"/>
    <w:rPr>
      <w:sz w:val="28"/>
    </w:rPr>
  </w:style>
  <w:style w:type="paragraph" w:styleId="16">
    <w:name w:val="Balloon Text"/>
    <w:basedOn w:val="1"/>
    <w:link w:val="56"/>
    <w:autoRedefine/>
    <w:qFormat/>
    <w:uiPriority w:val="0"/>
    <w:rPr>
      <w:sz w:val="18"/>
      <w:szCs w:val="18"/>
    </w:rPr>
  </w:style>
  <w:style w:type="paragraph" w:styleId="17">
    <w:name w:val="footer"/>
    <w:basedOn w:val="1"/>
    <w:autoRedefine/>
    <w:qFormat/>
    <w:uiPriority w:val="99"/>
    <w:pPr>
      <w:tabs>
        <w:tab w:val="center" w:pos="4153"/>
        <w:tab w:val="right" w:pos="8306"/>
      </w:tabs>
      <w:snapToGrid w:val="0"/>
      <w:jc w:val="left"/>
    </w:pPr>
    <w:rPr>
      <w:kern w:val="0"/>
      <w:sz w:val="18"/>
      <w:szCs w:val="20"/>
    </w:rPr>
  </w:style>
  <w:style w:type="paragraph" w:styleId="18">
    <w:name w:val="header"/>
    <w:basedOn w:val="1"/>
    <w:next w:val="1"/>
    <w:autoRedefine/>
    <w:qFormat/>
    <w:uiPriority w:val="0"/>
    <w:pPr>
      <w:pBdr>
        <w:bottom w:val="single" w:color="auto" w:sz="6" w:space="1"/>
      </w:pBdr>
      <w:tabs>
        <w:tab w:val="center" w:pos="4153"/>
        <w:tab w:val="right" w:pos="8306"/>
      </w:tabs>
      <w:snapToGrid w:val="0"/>
      <w:jc w:val="center"/>
    </w:pPr>
    <w:rPr>
      <w:kern w:val="0"/>
      <w:sz w:val="18"/>
      <w:szCs w:val="20"/>
    </w:rPr>
  </w:style>
  <w:style w:type="paragraph" w:styleId="19">
    <w:name w:val="List"/>
    <w:basedOn w:val="1"/>
    <w:next w:val="1"/>
    <w:autoRedefine/>
    <w:qFormat/>
    <w:uiPriority w:val="0"/>
    <w:pPr>
      <w:spacing w:line="320" w:lineRule="exact"/>
      <w:jc w:val="center"/>
    </w:pPr>
    <w:rPr>
      <w:sz w:val="22"/>
      <w:szCs w:val="22"/>
    </w:rPr>
  </w:style>
  <w:style w:type="paragraph" w:styleId="20">
    <w:name w:val="toc 2"/>
    <w:basedOn w:val="1"/>
    <w:next w:val="1"/>
    <w:autoRedefine/>
    <w:unhideWhenUsed/>
    <w:qFormat/>
    <w:uiPriority w:val="39"/>
    <w:pPr>
      <w:spacing w:line="360" w:lineRule="auto"/>
      <w:ind w:left="240" w:firstLine="480" w:firstLineChars="200"/>
    </w:pPr>
    <w:rPr>
      <w:rFonts w:cs="Calibri"/>
      <w:smallCaps/>
      <w:sz w:val="20"/>
      <w:szCs w:val="20"/>
    </w:rPr>
  </w:style>
  <w:style w:type="paragraph" w:styleId="21">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paragraph" w:styleId="22">
    <w:name w:val="Body Text First Indent"/>
    <w:basedOn w:val="2"/>
    <w:autoRedefine/>
    <w:qFormat/>
    <w:uiPriority w:val="0"/>
    <w:pPr>
      <w:ind w:firstLine="420" w:firstLineChars="100"/>
    </w:pPr>
  </w:style>
  <w:style w:type="paragraph" w:styleId="23">
    <w:name w:val="Body Text First Indent 2"/>
    <w:basedOn w:val="11"/>
    <w:autoRedefine/>
    <w:qFormat/>
    <w:uiPriority w:val="0"/>
    <w:pPr>
      <w:spacing w:line="480" w:lineRule="exact"/>
      <w:ind w:left="-123" w:firstLine="420" w:firstLineChars="200"/>
    </w:pPr>
    <w:rPr>
      <w:kern w:val="2"/>
      <w:sz w:val="28"/>
      <w:szCs w:val="28"/>
    </w:rPr>
  </w:style>
  <w:style w:type="table" w:styleId="25">
    <w:name w:val="Table Grid"/>
    <w:basedOn w:val="2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rPr>
  </w:style>
  <w:style w:type="character" w:styleId="28">
    <w:name w:val="FollowedHyperlink"/>
    <w:basedOn w:val="26"/>
    <w:autoRedefine/>
    <w:qFormat/>
    <w:uiPriority w:val="0"/>
    <w:rPr>
      <w:color w:val="333333"/>
      <w:u w:val="none"/>
    </w:rPr>
  </w:style>
  <w:style w:type="character" w:styleId="29">
    <w:name w:val="Hyperlink"/>
    <w:basedOn w:val="26"/>
    <w:autoRedefine/>
    <w:qFormat/>
    <w:uiPriority w:val="0"/>
    <w:rPr>
      <w:color w:val="333333"/>
      <w:u w:val="none"/>
    </w:rPr>
  </w:style>
  <w:style w:type="character" w:styleId="30">
    <w:name w:val="annotation reference"/>
    <w:basedOn w:val="26"/>
    <w:autoRedefine/>
    <w:qFormat/>
    <w:uiPriority w:val="0"/>
    <w:rPr>
      <w:sz w:val="21"/>
      <w:szCs w:val="21"/>
    </w:rPr>
  </w:style>
  <w:style w:type="paragraph" w:customStyle="1" w:styleId="31">
    <w:name w:val="Default"/>
    <w:basedOn w:val="32"/>
    <w:next w:val="1"/>
    <w:autoRedefine/>
    <w:qFormat/>
    <w:uiPriority w:val="0"/>
    <w:pPr>
      <w:autoSpaceDE w:val="0"/>
      <w:autoSpaceDN w:val="0"/>
    </w:pPr>
    <w:rPr>
      <w:rFonts w:ascii="宋体" w:cs="宋体"/>
      <w:sz w:val="24"/>
      <w:szCs w:val="24"/>
    </w:rPr>
  </w:style>
  <w:style w:type="paragraph" w:customStyle="1" w:styleId="32">
    <w:name w:val="纯文本1"/>
    <w:basedOn w:val="1"/>
    <w:autoRedefine/>
    <w:qFormat/>
    <w:uiPriority w:val="0"/>
    <w:rPr>
      <w:rFonts w:ascii="宋体" w:hAnsi="Courier New"/>
    </w:rPr>
  </w:style>
  <w:style w:type="paragraph" w:customStyle="1" w:styleId="33">
    <w:name w:val="表格"/>
    <w:basedOn w:val="1"/>
    <w:next w:val="1"/>
    <w:autoRedefine/>
    <w:qFormat/>
    <w:uiPriority w:val="0"/>
    <w:pPr>
      <w:adjustRightInd w:val="0"/>
      <w:snapToGrid w:val="0"/>
      <w:spacing w:beforeLines="10" w:afterLines="10" w:line="259" w:lineRule="auto"/>
      <w:jc w:val="center"/>
    </w:pPr>
    <w:rPr>
      <w:rFonts w:ascii="宋体"/>
      <w:kern w:val="0"/>
      <w:szCs w:val="20"/>
    </w:rPr>
  </w:style>
  <w:style w:type="paragraph" w:customStyle="1" w:styleId="34">
    <w:name w:val="Body Text 21"/>
    <w:basedOn w:val="1"/>
    <w:autoRedefine/>
    <w:qFormat/>
    <w:uiPriority w:val="0"/>
    <w:pPr>
      <w:spacing w:after="120" w:line="480" w:lineRule="auto"/>
    </w:pPr>
  </w:style>
  <w:style w:type="paragraph" w:customStyle="1" w:styleId="35">
    <w:name w:val="样式 正文文本缩进 + 行距: 1.5 倍行距"/>
    <w:basedOn w:val="1"/>
    <w:autoRedefine/>
    <w:qFormat/>
    <w:uiPriority w:val="0"/>
    <w:pPr>
      <w:spacing w:after="120" w:line="360" w:lineRule="auto"/>
      <w:ind w:left="90" w:leftChars="32" w:firstLine="560" w:firstLineChars="200"/>
    </w:pPr>
    <w:rPr>
      <w:rFonts w:cs="宋体"/>
      <w:sz w:val="24"/>
    </w:rPr>
  </w:style>
  <w:style w:type="paragraph" w:customStyle="1" w:styleId="36">
    <w:name w:val="表格内"/>
    <w:basedOn w:val="1"/>
    <w:autoRedefine/>
    <w:qFormat/>
    <w:uiPriority w:val="0"/>
    <w:pPr>
      <w:widowControl/>
      <w:adjustRightInd w:val="0"/>
      <w:snapToGrid w:val="0"/>
      <w:spacing w:after="200" w:line="360" w:lineRule="exact"/>
      <w:jc w:val="center"/>
    </w:pPr>
    <w:rPr>
      <w:rFonts w:eastAsia="微软雅黑"/>
      <w:kern w:val="0"/>
      <w:sz w:val="22"/>
      <w:szCs w:val="22"/>
    </w:rPr>
  </w:style>
  <w:style w:type="paragraph" w:customStyle="1" w:styleId="37">
    <w:name w:val="1 表头"/>
    <w:basedOn w:val="1"/>
    <w:autoRedefine/>
    <w:qFormat/>
    <w:uiPriority w:val="0"/>
    <w:pPr>
      <w:adjustRightInd w:val="0"/>
      <w:snapToGrid w:val="0"/>
      <w:jc w:val="center"/>
    </w:pPr>
    <w:rPr>
      <w:b/>
      <w:color w:val="000000"/>
    </w:rPr>
  </w:style>
  <w:style w:type="paragraph" w:customStyle="1" w:styleId="38">
    <w:name w:val="样式4"/>
    <w:basedOn w:val="1"/>
    <w:autoRedefine/>
    <w:qFormat/>
    <w:uiPriority w:val="0"/>
    <w:pPr>
      <w:tabs>
        <w:tab w:val="left" w:pos="9128"/>
      </w:tabs>
      <w:jc w:val="center"/>
    </w:pPr>
  </w:style>
  <w:style w:type="character" w:customStyle="1" w:styleId="39">
    <w:name w:val="样式 四号"/>
    <w:autoRedefine/>
    <w:qFormat/>
    <w:uiPriority w:val="0"/>
    <w:rPr>
      <w:sz w:val="28"/>
    </w:rPr>
  </w:style>
  <w:style w:type="paragraph" w:customStyle="1" w:styleId="40">
    <w:name w:val="正文(首行缩进)"/>
    <w:basedOn w:val="1"/>
    <w:next w:val="1"/>
    <w:autoRedefine/>
    <w:qFormat/>
    <w:uiPriority w:val="0"/>
    <w:pPr>
      <w:widowControl/>
      <w:adjustRightInd w:val="0"/>
      <w:spacing w:line="360" w:lineRule="auto"/>
      <w:ind w:firstLine="540" w:firstLineChars="225"/>
      <w:jc w:val="left"/>
      <w:textAlignment w:val="baseline"/>
    </w:pPr>
    <w:rPr>
      <w:rFonts w:hint="eastAsia" w:ascii="宋体" w:hAnsi="宋体"/>
      <w:color w:val="000000"/>
      <w:kern w:val="0"/>
      <w:sz w:val="24"/>
      <w:szCs w:val="24"/>
    </w:rPr>
  </w:style>
  <w:style w:type="paragraph" w:customStyle="1" w:styleId="41">
    <w:name w:val="表前文字"/>
    <w:basedOn w:val="1"/>
    <w:autoRedefine/>
    <w:qFormat/>
    <w:uiPriority w:val="0"/>
    <w:pPr>
      <w:adjustRightInd w:val="0"/>
      <w:spacing w:beforeLines="50" w:line="360" w:lineRule="auto"/>
      <w:ind w:firstLine="480" w:firstLineChars="200"/>
      <w:textAlignment w:val="baseline"/>
    </w:pPr>
    <w:rPr>
      <w:sz w:val="24"/>
      <w:szCs w:val="24"/>
    </w:rPr>
  </w:style>
  <w:style w:type="paragraph" w:customStyle="1" w:styleId="42">
    <w:name w:val="正文邵"/>
    <w:basedOn w:val="1"/>
    <w:autoRedefine/>
    <w:qFormat/>
    <w:uiPriority w:val="0"/>
    <w:pPr>
      <w:spacing w:line="360" w:lineRule="auto"/>
      <w:ind w:firstLine="200" w:firstLineChars="200"/>
    </w:pPr>
    <w:rPr>
      <w:sz w:val="24"/>
      <w:szCs w:val="24"/>
    </w:rPr>
  </w:style>
  <w:style w:type="paragraph" w:customStyle="1" w:styleId="43">
    <w:name w:val="正文文本缩进1"/>
    <w:basedOn w:val="1"/>
    <w:autoRedefine/>
    <w:qFormat/>
    <w:uiPriority w:val="0"/>
    <w:pPr>
      <w:spacing w:after="120"/>
      <w:ind w:left="420" w:leftChars="200"/>
    </w:pPr>
  </w:style>
  <w:style w:type="paragraph" w:customStyle="1" w:styleId="44">
    <w:name w:val="首行缩进"/>
    <w:basedOn w:val="1"/>
    <w:autoRedefine/>
    <w:qFormat/>
    <w:uiPriority w:val="0"/>
    <w:pPr>
      <w:ind w:firstLine="480" w:firstLineChars="200"/>
    </w:pPr>
    <w:rPr>
      <w:lang w:val="zh-CN"/>
    </w:rPr>
  </w:style>
  <w:style w:type="character" w:customStyle="1" w:styleId="45">
    <w:name w:val="标题 3 Char"/>
    <w:link w:val="6"/>
    <w:autoRedefine/>
    <w:qFormat/>
    <w:uiPriority w:val="0"/>
    <w:rPr>
      <w:rFonts w:ascii="Times New Roman" w:hAnsi="Times New Roman" w:eastAsia="宋体"/>
      <w:bCs/>
      <w:szCs w:val="32"/>
    </w:rPr>
  </w:style>
  <w:style w:type="paragraph" w:customStyle="1" w:styleId="46">
    <w:name w:val="XQ表格文字"/>
    <w:basedOn w:val="1"/>
    <w:autoRedefine/>
    <w:qFormat/>
    <w:uiPriority w:val="0"/>
    <w:pPr>
      <w:tabs>
        <w:tab w:val="left" w:pos="420"/>
        <w:tab w:val="center" w:pos="623"/>
      </w:tabs>
      <w:adjustRightInd w:val="0"/>
      <w:snapToGrid w:val="0"/>
      <w:jc w:val="center"/>
    </w:pPr>
    <w:rPr>
      <w:color w:val="000000"/>
      <w:kern w:val="0"/>
    </w:rPr>
  </w:style>
  <w:style w:type="paragraph" w:customStyle="1" w:styleId="47">
    <w:name w:val="表格1"/>
    <w:basedOn w:val="1"/>
    <w:autoRedefine/>
    <w:qFormat/>
    <w:uiPriority w:val="0"/>
    <w:pPr>
      <w:adjustRightInd w:val="0"/>
      <w:snapToGrid w:val="0"/>
      <w:jc w:val="center"/>
    </w:pPr>
    <w:rPr>
      <w:rFonts w:eastAsia="方正仿宋_GBK"/>
      <w:color w:val="000000"/>
      <w:kern w:val="0"/>
      <w:szCs w:val="24"/>
    </w:rPr>
  </w:style>
  <w:style w:type="paragraph" w:styleId="48">
    <w:name w:val="List Paragraph"/>
    <w:basedOn w:val="1"/>
    <w:autoRedefine/>
    <w:qFormat/>
    <w:uiPriority w:val="99"/>
    <w:pPr>
      <w:ind w:firstLine="420" w:firstLineChars="200"/>
    </w:pPr>
  </w:style>
  <w:style w:type="paragraph" w:customStyle="1" w:styleId="49">
    <w:name w:val="Table Paragraph"/>
    <w:basedOn w:val="1"/>
    <w:autoRedefine/>
    <w:qFormat/>
    <w:uiPriority w:val="1"/>
    <w:pPr>
      <w:jc w:val="center"/>
    </w:pPr>
    <w:rPr>
      <w:rFonts w:ascii="宋体" w:hAnsi="宋体" w:cs="宋体"/>
      <w:lang w:val="zh-CN" w:bidi="zh-CN"/>
    </w:rPr>
  </w:style>
  <w:style w:type="character" w:customStyle="1" w:styleId="50">
    <w:name w:val="active"/>
    <w:basedOn w:val="26"/>
    <w:autoRedefine/>
    <w:qFormat/>
    <w:uiPriority w:val="0"/>
    <w:rPr>
      <w:color w:val="195369"/>
    </w:rPr>
  </w:style>
  <w:style w:type="paragraph" w:customStyle="1" w:styleId="51">
    <w:name w:val="无间隔1"/>
    <w:autoRedefine/>
    <w:qFormat/>
    <w:uiPriority w:val="0"/>
    <w:pPr>
      <w:widowControl w:val="0"/>
      <w:adjustRightInd w:val="0"/>
      <w:snapToGrid w:val="0"/>
      <w:jc w:val="center"/>
    </w:pPr>
    <w:rPr>
      <w:rFonts w:ascii="Times New Roman" w:hAnsi="Times New Roman" w:eastAsia="宋体" w:cs="Times New Roman"/>
      <w:kern w:val="2"/>
      <w:sz w:val="21"/>
      <w:szCs w:val="22"/>
      <w:lang w:val="en-US" w:eastAsia="zh-CN" w:bidi="ar-SA"/>
    </w:rPr>
  </w:style>
  <w:style w:type="paragraph" w:customStyle="1" w:styleId="52">
    <w:name w:val="文本"/>
    <w:basedOn w:val="1"/>
    <w:next w:val="1"/>
    <w:autoRedefine/>
    <w:qFormat/>
    <w:uiPriority w:val="0"/>
    <w:pPr>
      <w:spacing w:line="360" w:lineRule="auto"/>
      <w:ind w:firstLine="200" w:firstLineChars="200"/>
      <w:jc w:val="left"/>
    </w:pPr>
    <w:rPr>
      <w:spacing w:val="15"/>
      <w:sz w:val="28"/>
      <w:szCs w:val="24"/>
    </w:rPr>
  </w:style>
  <w:style w:type="paragraph" w:customStyle="1" w:styleId="53">
    <w:name w:val="样式 正文首行缩进 + 首行缩进:  2 字符1"/>
    <w:basedOn w:val="22"/>
    <w:autoRedefine/>
    <w:qFormat/>
    <w:uiPriority w:val="0"/>
    <w:pPr>
      <w:spacing w:line="360" w:lineRule="auto"/>
      <w:ind w:firstLine="480" w:firstLineChars="200"/>
    </w:pPr>
    <w:rPr>
      <w:sz w:val="24"/>
      <w:szCs w:val="24"/>
    </w:rPr>
  </w:style>
  <w:style w:type="paragraph" w:customStyle="1" w:styleId="54">
    <w:name w:val="Body text|211"/>
    <w:basedOn w:val="1"/>
    <w:autoRedefine/>
    <w:qFormat/>
    <w:uiPriority w:val="0"/>
    <w:pPr>
      <w:shd w:val="clear" w:color="auto" w:fill="FFFFFF"/>
      <w:spacing w:after="60" w:line="700" w:lineRule="exact"/>
      <w:ind w:hanging="720"/>
      <w:jc w:val="distribute"/>
    </w:pPr>
    <w:rPr>
      <w:rFonts w:ascii="PMingLiU" w:hAnsi="PMingLiU" w:eastAsia="PMingLiU" w:cs="PMingLiU"/>
      <w:spacing w:val="20"/>
      <w:sz w:val="32"/>
      <w:szCs w:val="32"/>
    </w:rPr>
  </w:style>
  <w:style w:type="paragraph" w:customStyle="1" w:styleId="55">
    <w:name w:val="xl25"/>
    <w:basedOn w:val="1"/>
    <w:autoRedefine/>
    <w:qFormat/>
    <w:uiPriority w:val="0"/>
    <w:pPr>
      <w:widowControl/>
      <w:pBdr>
        <w:left w:val="single" w:color="auto" w:sz="4" w:space="0"/>
        <w:bottom w:val="single" w:color="auto" w:sz="4" w:space="0"/>
        <w:right w:val="single" w:color="auto" w:sz="4" w:space="0"/>
      </w:pBdr>
      <w:spacing w:beforeAutospacing="1" w:afterAutospacing="1"/>
      <w:jc w:val="center"/>
    </w:pPr>
    <w:rPr>
      <w:rFonts w:eastAsia="Arial Unicode MS"/>
      <w:kern w:val="0"/>
      <w:sz w:val="28"/>
    </w:rPr>
  </w:style>
  <w:style w:type="character" w:customStyle="1" w:styleId="56">
    <w:name w:val="批注框文本 Char"/>
    <w:basedOn w:val="26"/>
    <w:link w:val="16"/>
    <w:autoRedefine/>
    <w:qFormat/>
    <w:uiPriority w:val="0"/>
    <w:rPr>
      <w:kern w:val="2"/>
      <w:sz w:val="18"/>
      <w:szCs w:val="18"/>
    </w:rPr>
  </w:style>
  <w:style w:type="paragraph" w:customStyle="1" w:styleId="57">
    <w:name w:val=" Char"/>
    <w:basedOn w:val="1"/>
    <w:autoRedefine/>
    <w:qFormat/>
    <w:uiPriority w:val="0"/>
    <w:rPr>
      <w:szCs w:val="24"/>
    </w:rPr>
  </w:style>
  <w:style w:type="paragraph" w:customStyle="1" w:styleId="58">
    <w:name w:val="【正文】"/>
    <w:basedOn w:val="1"/>
    <w:qFormat/>
    <w:uiPriority w:val="0"/>
    <w:pPr>
      <w:snapToGrid w:val="0"/>
      <w:spacing w:line="480" w:lineRule="exact"/>
      <w:ind w:firstLine="200" w:firstLineChars="200"/>
    </w:pPr>
    <w:rPr>
      <w:rFonts w:ascii="Calibri" w:hAnsi="Calibri"/>
      <w:color w:val="0070C0"/>
      <w:sz w:val="21"/>
    </w:rPr>
  </w:style>
  <w:style w:type="paragraph" w:customStyle="1" w:styleId="59">
    <w:name w:val="~~~正文"/>
    <w:basedOn w:val="1"/>
    <w:qFormat/>
    <w:uiPriority w:val="0"/>
    <w:pPr>
      <w:widowControl/>
      <w:spacing w:line="360" w:lineRule="auto"/>
      <w:ind w:firstLine="200" w:firstLineChars="200"/>
      <w:jc w:val="left"/>
    </w:pPr>
    <w:rPr>
      <w:rFonts w:ascii="Calibri" w:hAnsi="Calibri"/>
      <w:sz w:val="24"/>
    </w:rPr>
  </w:style>
  <w:style w:type="paragraph" w:customStyle="1" w:styleId="60">
    <w:name w:val="正文样式"/>
    <w:basedOn w:val="1"/>
    <w:qFormat/>
    <w:uiPriority w:val="0"/>
    <w:pPr>
      <w:tabs>
        <w:tab w:val="left" w:pos="1440"/>
        <w:tab w:val="left" w:pos="4368"/>
      </w:tabs>
      <w:spacing w:line="360" w:lineRule="auto"/>
      <w:ind w:firstLine="493"/>
    </w:pPr>
    <w:rPr>
      <w:color w:val="FF0000"/>
      <w:sz w:val="24"/>
    </w:rPr>
  </w:style>
  <w:style w:type="paragraph" w:customStyle="1" w:styleId="61">
    <w:name w:val="..表格内容"/>
    <w:qFormat/>
    <w:uiPriority w:val="0"/>
    <w:pPr>
      <w:widowControl w:val="0"/>
      <w:jc w:val="center"/>
    </w:pPr>
    <w:rPr>
      <w:rFonts w:ascii="Times New Roman" w:hAnsi="宋体" w:eastAsia="宋体" w:cs="Times New Roman"/>
      <w:sz w:val="21"/>
      <w:szCs w:val="24"/>
      <w:lang w:val="en-US" w:eastAsia="zh-CN" w:bidi="ar-SA"/>
    </w:rPr>
  </w:style>
  <w:style w:type="paragraph" w:customStyle="1" w:styleId="62">
    <w:name w:val="Z正文"/>
    <w:basedOn w:val="1"/>
    <w:next w:val="1"/>
    <w:semiHidden/>
    <w:qFormat/>
    <w:uiPriority w:val="0"/>
    <w:rPr>
      <w:rFonts w:ascii="Calibri" w:hAnsi="Calibri"/>
      <w:szCs w:val="22"/>
    </w:rPr>
  </w:style>
  <w:style w:type="paragraph" w:customStyle="1" w:styleId="63">
    <w:name w:val="表格内文字格式"/>
    <w:basedOn w:val="1"/>
    <w:next w:val="1"/>
    <w:qFormat/>
    <w:uiPriority w:val="0"/>
    <w:pPr>
      <w:widowControl/>
      <w:jc w:val="center"/>
    </w:pPr>
    <w:rPr>
      <w:rFonts w:ascii="宋体" w:hAnsi="宋体"/>
      <w:snapToGrid w:val="0"/>
      <w:kern w:val="0"/>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Info spid="_x0000_s3074"/>
    <customShpInfo spid="_x0000_s2772"/>
    <customShpInfo spid="_x0000_s2773"/>
    <customShpInfo spid="_x0000_s2774"/>
    <customShpInfo spid="_x0000_s2775"/>
    <customShpInfo spid="_x0000_s2776"/>
    <customShpInfo spid="_x0000_s2777"/>
    <customShpInfo spid="_x0000_s2778"/>
    <customShpInfo spid="_x0000_s2779"/>
    <customShpInfo spid="_x0000_s2780"/>
    <customShpInfo spid="_x0000_s2781"/>
    <customShpInfo spid="_x0000_s2782"/>
    <customShpInfo spid="_x0000_s2783"/>
    <customShpInfo spid="_x0000_s2784"/>
    <customShpInfo spid="_x0000_s2785"/>
    <customShpInfo spid="_x0000_s2786"/>
    <customShpInfo spid="_x0000_s2787"/>
    <customShpInfo spid="_x0000_s2788"/>
    <customShpInfo spid="_x0000_s2789"/>
    <customShpInfo spid="_x0000_s2790"/>
    <customShpInfo spid="_x0000_s2791"/>
    <customShpInfo spid="_x0000_s2792"/>
    <customShpInfo spid="_x0000_s2793"/>
    <customShpInfo spid="_x0000_s2794"/>
    <customShpInfo spid="_x0000_s2795"/>
    <customShpInfo spid="_x0000_s2796"/>
    <customShpInfo spid="_x0000_s2797"/>
    <customShpInfo spid="_x0000_s2798"/>
    <customShpInfo spid="_x0000_s2799"/>
    <customShpInfo spid="_x0000_s2800"/>
    <customShpInfo spid="_x0000_s2801"/>
    <customShpInfo spid="_x0000_s2802"/>
    <customShpInfo spid="_x0000_s2803"/>
    <customShpInfo spid="_x0000_s2804"/>
    <customShpInfo spid="_x0000_s2805"/>
    <customShpInfo spid="_x0000_s2806"/>
    <customShpInfo spid="_x0000_s2174"/>
    <customShpInfo spid="_x0000_s2175"/>
    <customShpInfo spid="_x0000_s2176"/>
    <customShpInfo spid="_x0000_s2177"/>
    <customShpInfo spid="_x0000_s2178"/>
    <customShpInfo spid="_x0000_s2179"/>
    <customShpInfo spid="_x0000_s2180"/>
    <customShpInfo spid="_x0000_s2181"/>
    <customShpInfo spid="_x0000_s2182"/>
    <customShpInfo spid="_x0000_s2183"/>
    <customShpInfo spid="_x0000_s2184"/>
    <customShpInfo spid="_x0000_s2185"/>
    <customShpInfo spid="_x0000_s2186"/>
    <customShpInfo spid="_x0000_s2187"/>
    <customShpInfo spid="_x0000_s2188"/>
    <customShpInfo spid="_x0000_s2189"/>
    <customShpInfo spid="_x0000_s2190"/>
    <customShpInfo spid="_x0000_s2191"/>
    <customShpInfo spid="_x0000_s2192"/>
    <customShpInfo spid="_x0000_s2193"/>
    <customShpInfo spid="_x0000_s2194"/>
    <customShpInfo spid="_x0000_s2195"/>
    <customShpInfo spid="_x0000_s2196"/>
    <customShpInfo spid="_x0000_s2197"/>
    <customShpInfo spid="_x0000_s2198"/>
    <customShpInfo spid="_x0000_s2199"/>
    <customShpInfo spid="_x0000_s2200"/>
    <customShpInfo spid="_x0000_s280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7FCBBF-6E84-4197-BFC7-153C180495F3}">
  <ds:schemaRefs/>
</ds:datastoreItem>
</file>

<file path=docProps/app.xml><?xml version="1.0" encoding="utf-8"?>
<Properties xmlns="http://schemas.openxmlformats.org/officeDocument/2006/extended-properties" xmlns:vt="http://schemas.openxmlformats.org/officeDocument/2006/docPropsVTypes">
  <Template>Normal</Template>
  <Pages>87</Pages>
  <Words>25683</Words>
  <Characters>27631</Characters>
  <Lines>233</Lines>
  <Paragraphs>65</Paragraphs>
  <TotalTime>5</TotalTime>
  <ScaleCrop>false</ScaleCrop>
  <LinksUpToDate>false</LinksUpToDate>
  <CharactersWithSpaces>27677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2022-02-17T16:04:00Z</dcterms:created>
  <dc:creator>Administrator</dc:creator>
  <cp:lastModifiedBy>傲骄小粉条</cp:lastModifiedBy>
  <dcterms:modified xsi:type="dcterms:W3CDTF">2025-06-30T05:08:30Z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EF65F002EB554E9CA488F52F85FC50DC</vt:lpwstr>
  </property>
  <property fmtid="{D5CDD505-2E9C-101B-9397-08002B2CF9AE}" pid="4" name="KSOTemplateDocerSaveRecord">
    <vt:lpwstr>eyJoZGlkIjoiZjAxZGQ5MDVmMzAwNDM3NTFhMzljZDA0ZmY0MDQ0NzMiLCJ1c2VySWQiOiIzMDc3NTcwNTYifQ==</vt:lpwstr>
  </property>
</Properties>
</file>