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BEE89">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347C7D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default" w:ascii="Times New Roman" w:hAnsi="Times New Roman" w:eastAsia="仿宋_GB2312" w:cs="Times New Roman"/>
          <w:snapToGrid w:val="0"/>
          <w:kern w:val="0"/>
          <w:sz w:val="32"/>
          <w:szCs w:val="32"/>
          <w:lang w:val="en-US" w:eastAsia="zh-CN"/>
        </w:rPr>
        <w:t>5</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32</w:t>
      </w:r>
      <w:bookmarkStart w:id="1" w:name="_GoBack"/>
      <w:bookmarkEnd w:id="1"/>
      <w:r>
        <w:rPr>
          <w:rFonts w:hint="default" w:ascii="Times New Roman" w:hAnsi="Times New Roman" w:eastAsia="仿宋_GB2312" w:cs="Times New Roman"/>
          <w:snapToGrid w:val="0"/>
          <w:kern w:val="0"/>
          <w:sz w:val="32"/>
          <w:szCs w:val="32"/>
        </w:rPr>
        <w:t>号</w:t>
      </w:r>
    </w:p>
    <w:p w14:paraId="15DFA43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30A681D6">
      <w:pPr>
        <w:spacing w:line="600" w:lineRule="exact"/>
        <w:jc w:val="center"/>
        <w:rPr>
          <w:rFonts w:hint="default" w:ascii="Times New Roman" w:hAnsi="Times New Roman" w:eastAsia="方正小标宋简体" w:cs="Times New Roman"/>
          <w:bCs/>
          <w:color w:val="auto"/>
          <w:sz w:val="44"/>
          <w:szCs w:val="44"/>
        </w:rPr>
      </w:pPr>
      <w:r>
        <w:rPr>
          <w:rFonts w:hint="eastAsia" w:ascii="方正小标宋简体" w:hAnsi="宋体" w:eastAsia="方正小标宋简体"/>
          <w:bCs/>
          <w:snapToGrid w:val="0"/>
          <w:kern w:val="0"/>
          <w:sz w:val="44"/>
          <w:szCs w:val="44"/>
        </w:rPr>
        <w:t>关于</w:t>
      </w:r>
      <w:r>
        <w:rPr>
          <w:rFonts w:hint="default" w:ascii="Times New Roman" w:hAnsi="Times New Roman" w:eastAsia="方正小标宋简体" w:cs="Times New Roman"/>
          <w:bCs/>
          <w:color w:val="auto"/>
          <w:sz w:val="44"/>
          <w:szCs w:val="44"/>
        </w:rPr>
        <w:t>安特利普环保科技废旧轮胎处理及综合</w:t>
      </w:r>
    </w:p>
    <w:p w14:paraId="22C71F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bCs/>
          <w:snapToGrid w:val="0"/>
          <w:kern w:val="0"/>
          <w:sz w:val="44"/>
          <w:szCs w:val="44"/>
        </w:rPr>
      </w:pPr>
      <w:r>
        <w:rPr>
          <w:rFonts w:hint="default" w:ascii="Times New Roman" w:hAnsi="Times New Roman" w:eastAsia="方正小标宋简体" w:cs="Times New Roman"/>
          <w:bCs/>
          <w:color w:val="auto"/>
          <w:sz w:val="44"/>
          <w:szCs w:val="44"/>
        </w:rPr>
        <w:t>再利用项目（一期）</w:t>
      </w:r>
      <w:r>
        <w:rPr>
          <w:rFonts w:hint="eastAsia" w:ascii="方正小标宋简体" w:hAnsi="宋体" w:eastAsia="方正小标宋简体"/>
          <w:bCs/>
          <w:snapToGrid w:val="0"/>
          <w:kern w:val="0"/>
          <w:sz w:val="44"/>
          <w:szCs w:val="44"/>
          <w:lang w:val="zh-CN"/>
        </w:rPr>
        <w:t>环境影响报告</w:t>
      </w:r>
      <w:r>
        <w:rPr>
          <w:rFonts w:hint="eastAsia" w:ascii="方正小标宋简体" w:hAnsi="宋体" w:eastAsia="方正小标宋简体"/>
          <w:bCs/>
          <w:snapToGrid w:val="0"/>
          <w:kern w:val="0"/>
          <w:sz w:val="44"/>
          <w:szCs w:val="44"/>
        </w:rPr>
        <w:t>表</w:t>
      </w:r>
    </w:p>
    <w:p w14:paraId="6EFD2E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eastAsia" w:ascii="方正小标宋简体" w:hAnsi="宋体" w:eastAsia="方正小标宋简体"/>
          <w:bCs/>
          <w:snapToGrid w:val="0"/>
          <w:kern w:val="0"/>
          <w:sz w:val="44"/>
          <w:szCs w:val="44"/>
          <w:lang w:val="en-US" w:eastAsia="zh-CN"/>
        </w:rPr>
        <w:t>的</w:t>
      </w:r>
      <w:r>
        <w:rPr>
          <w:rFonts w:hint="eastAsia" w:ascii="方正小标宋简体" w:hAnsi="宋体" w:eastAsia="方正小标宋简体"/>
          <w:bCs/>
          <w:snapToGrid w:val="0"/>
          <w:kern w:val="0"/>
          <w:sz w:val="44"/>
          <w:szCs w:val="44"/>
        </w:rPr>
        <w:t>批复</w:t>
      </w:r>
    </w:p>
    <w:p w14:paraId="5D472B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536FE17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安特利普环保科技</w:t>
      </w:r>
      <w:r>
        <w:rPr>
          <w:rFonts w:hint="eastAsia" w:eastAsia="仿宋_GB2312" w:cs="Times New Roman"/>
          <w:sz w:val="32"/>
          <w:szCs w:val="32"/>
          <w:lang w:val="en-US" w:eastAsia="zh-CN"/>
        </w:rPr>
        <w:t>有限公司</w:t>
      </w:r>
      <w:r>
        <w:rPr>
          <w:rFonts w:hint="default" w:ascii="Times New Roman" w:hAnsi="Times New Roman" w:eastAsia="仿宋_GB2312" w:cs="Times New Roman"/>
          <w:sz w:val="32"/>
          <w:szCs w:val="32"/>
        </w:rPr>
        <w:t>：</w:t>
      </w:r>
    </w:p>
    <w:p w14:paraId="03DC5FA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你公司《关于审批安特利普环保科技废旧轮胎处理及综合</w:t>
      </w:r>
    </w:p>
    <w:p w14:paraId="749B801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再利用项目（一期）的请示》收悉。经研究，批复如下：</w:t>
      </w:r>
    </w:p>
    <w:p w14:paraId="1B71675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位于第七师125团，项目区中心地理位置坐标为</w:t>
      </w:r>
      <w:bookmarkStart w:id="0" w:name="_Hlk180516248"/>
      <w:r>
        <w:rPr>
          <w:rFonts w:hint="default" w:ascii="Times New Roman" w:hAnsi="Times New Roman" w:eastAsia="仿宋_GB2312" w:cs="Times New Roman"/>
          <w:sz w:val="32"/>
          <w:szCs w:val="32"/>
          <w:lang w:val="en-US" w:eastAsia="zh-CN"/>
        </w:rPr>
        <w:t>东经84°30′43.191″，北纬44°48′18.232″。</w:t>
      </w:r>
      <w:bookmarkEnd w:id="0"/>
      <w:r>
        <w:rPr>
          <w:rFonts w:hint="default" w:ascii="Times New Roman" w:hAnsi="Times New Roman" w:eastAsia="仿宋_GB2312" w:cs="Times New Roman"/>
          <w:sz w:val="32"/>
          <w:szCs w:val="32"/>
          <w:lang w:val="en-US" w:eastAsia="zh-CN"/>
        </w:rPr>
        <w:t>项目新建4条废旧轮胎循环再利用生产线、地泵、堆场及相关附属配套设施。项目总投资3800万元，其中环保投资为61.7万元，占总投资1.62%。</w:t>
      </w:r>
    </w:p>
    <w:p w14:paraId="6935C0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34CCB6B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70F7666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rPr>
        <w:t>（一）严格落实大气污染防治措施。</w:t>
      </w:r>
      <w:r>
        <w:rPr>
          <w:rFonts w:hint="default" w:ascii="Times New Roman" w:hAnsi="Times New Roman" w:eastAsia="仿宋_GB2312" w:cs="Times New Roman"/>
          <w:b w:val="0"/>
          <w:bCs/>
          <w:sz w:val="32"/>
          <w:szCs w:val="32"/>
          <w:lang w:val="en-US" w:eastAsia="zh-CN"/>
        </w:rPr>
        <w:t>破胶、筛分粉尘（粗破筛分）及破碎、筛分粉尘（细破筛分）经“密闭集气罩收集+布袋除尘器”处理后，通过15米高的排气筒排放。颗粒物排放</w:t>
      </w:r>
      <w:r>
        <w:rPr>
          <w:rFonts w:hint="eastAsia" w:eastAsia="仿宋_GB2312" w:cs="Times New Roman"/>
          <w:b w:val="0"/>
          <w:bCs/>
          <w:sz w:val="32"/>
          <w:szCs w:val="32"/>
          <w:lang w:val="en-US" w:eastAsia="zh-CN"/>
        </w:rPr>
        <w:t>执行</w:t>
      </w:r>
      <w:r>
        <w:rPr>
          <w:rFonts w:hint="default" w:ascii="Times New Roman" w:hAnsi="Times New Roman" w:eastAsia="仿宋_GB2312" w:cs="Times New Roman"/>
          <w:b w:val="0"/>
          <w:bCs/>
          <w:sz w:val="32"/>
          <w:szCs w:val="32"/>
          <w:lang w:val="en-US" w:eastAsia="zh-CN"/>
        </w:rPr>
        <w:t>《大气污染物综合排放标准》（GB16297-1996）表2新污染源大气污染物排放限值二级标准限值要求。</w:t>
      </w:r>
    </w:p>
    <w:p w14:paraId="3E9FE9C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eastAsia="仿宋_GB2312" w:cs="Times New Roman"/>
          <w:b w:val="0"/>
          <w:bCs w:val="0"/>
          <w:w w:val="100"/>
          <w:kern w:val="2"/>
          <w:sz w:val="32"/>
          <w:szCs w:val="32"/>
          <w:lang w:val="en-US" w:eastAsia="zh-CN" w:bidi="ar-SA"/>
        </w:rPr>
      </w:pPr>
      <w:r>
        <w:rPr>
          <w:rFonts w:hint="eastAsia" w:eastAsia="仿宋_GB2312" w:cs="Times New Roman"/>
          <w:b w:val="0"/>
          <w:bCs w:val="0"/>
          <w:w w:val="100"/>
          <w:kern w:val="2"/>
          <w:sz w:val="32"/>
          <w:szCs w:val="32"/>
          <w:lang w:val="en-US" w:eastAsia="zh-CN" w:bidi="ar-SA"/>
        </w:rPr>
        <w:t>原料和产品均在密闭厂房中堆存，上料、输送等工序均采取封闭措施，产品袋装存放，且在装卸区设置洒水降尘设施，车间采取定期洒水降尘、加强通风等措施；运输道路硬化定期洒水抑尘。厂界颗粒物排放执行《大气污染物综合排放标准》（GB16297-1996）表2新污染源大气污染物排放限值无组织排放监控限值要求。</w:t>
      </w:r>
    </w:p>
    <w:p w14:paraId="1CE11EC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（二）严格落实水污染防治措施。</w:t>
      </w:r>
      <w:r>
        <w:rPr>
          <w:rFonts w:hint="default" w:ascii="Times New Roman" w:hAnsi="Times New Roman" w:eastAsia="仿宋_GB2312" w:cs="Times New Roman"/>
          <w:sz w:val="32"/>
          <w:szCs w:val="32"/>
          <w:lang w:val="en-US" w:eastAsia="zh-CN"/>
        </w:rPr>
        <w:t>地面清洗废水经沉淀后循环使用；生活污水排入市政管网，最终进入125团污水处理厂。</w:t>
      </w:r>
    </w:p>
    <w:p w14:paraId="277FADA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严格落实噪声防治措施。优化厂区平面布置，优先选用低噪声设备，采取消声、隔声、减振等措施有效控制噪声污染，加强厂区内固定设备、运输工具、货物装卸等噪声源管理，确保厂界噪声满足《工业企业厂界环境噪声排放标准》（GB 12348-2008）中</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类标准。</w:t>
      </w:r>
    </w:p>
    <w:p w14:paraId="53F0413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（四）严格落实固体废物分类处置和综合利用措施。</w:t>
      </w:r>
      <w:r>
        <w:rPr>
          <w:rFonts w:hint="default" w:ascii="Times New Roman" w:hAnsi="Times New Roman" w:eastAsia="仿宋_GB2312" w:cs="Times New Roman"/>
          <w:sz w:val="32"/>
          <w:szCs w:val="32"/>
          <w:lang w:val="en-US" w:eastAsia="zh-CN"/>
        </w:rPr>
        <w:t>废润滑油</w:t>
      </w:r>
      <w:r>
        <w:rPr>
          <w:rFonts w:hint="eastAsia" w:eastAsia="仿宋_GB2312" w:cs="Times New Roman"/>
          <w:sz w:val="32"/>
          <w:szCs w:val="32"/>
          <w:lang w:val="en-US" w:eastAsia="zh-CN"/>
        </w:rPr>
        <w:t>、废变压器油、</w:t>
      </w:r>
      <w:r>
        <w:rPr>
          <w:rFonts w:hint="eastAsia" w:ascii="Times New Roman" w:hAnsi="Times New Roman" w:eastAsia="仿宋_GB2312" w:cs="Times New Roman"/>
          <w:color w:val="auto"/>
          <w:sz w:val="32"/>
          <w:szCs w:val="32"/>
          <w:highlight w:val="none"/>
          <w:lang w:val="en-US" w:eastAsia="zh-CN"/>
        </w:rPr>
        <w:t>废油桶属于危险废物，</w:t>
      </w:r>
      <w:r>
        <w:rPr>
          <w:rFonts w:hint="eastAsia" w:eastAsia="仿宋_GB2312" w:cs="Times New Roman"/>
          <w:sz w:val="32"/>
          <w:szCs w:val="32"/>
          <w:lang w:val="en-US" w:eastAsia="zh-CN"/>
        </w:rPr>
        <w:t>暂存于厂区危险废物贮存点内，定期交由有危险废物处置资质的单位处置。一般固体废物中除尘灰、废包装等回收暂存，定期外售处置。沉淀池泥沙定期清掏。轮胎分解、粗破筛分、细破筛分过程中不合格品及边角料作为原料回用于生产，废钢丝定期外售。</w:t>
      </w:r>
      <w:r>
        <w:rPr>
          <w:rFonts w:hint="default" w:ascii="Times New Roman" w:hAnsi="Times New Roman" w:eastAsia="仿宋_GB2312" w:cs="Times New Roman"/>
          <w:sz w:val="32"/>
          <w:szCs w:val="32"/>
          <w:lang w:val="en-US" w:eastAsia="zh-CN"/>
        </w:rPr>
        <w:t>危险废物的收集、贮存、运输须符合《危险废物收集 贮存 运输技术规范》（HJ2025-2012）及《危险废物贮存污染控制标准》（GB18597-2023）的相关要求</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生活垃圾由环卫部门统一清运处理。</w:t>
      </w:r>
    </w:p>
    <w:p w14:paraId="6C59F76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五</w:t>
      </w:r>
      <w:r>
        <w:rPr>
          <w:rFonts w:hint="default" w:ascii="Times New Roman" w:hAnsi="Times New Roman" w:eastAsia="仿宋_GB2312" w:cs="Times New Roman"/>
          <w:bCs/>
          <w:sz w:val="32"/>
          <w:szCs w:val="32"/>
        </w:rPr>
        <w:t>）严格落实地下水及土壤污染防治措施。</w:t>
      </w:r>
      <w:r>
        <w:rPr>
          <w:rFonts w:hint="default" w:ascii="Times New Roman" w:hAnsi="Times New Roman" w:eastAsia="仿宋_GB2312" w:cs="Times New Roman"/>
          <w:bCs/>
          <w:sz w:val="32"/>
          <w:szCs w:val="32"/>
          <w:lang w:eastAsia="zh-CN"/>
        </w:rPr>
        <w:t>按照源头防控、分区防治、污染监控、应急响应的原则进行地下水污染防治。严格按照导则要求，落实分区防渗和监控措施，</w:t>
      </w:r>
      <w:r>
        <w:rPr>
          <w:rFonts w:hint="default" w:ascii="Times New Roman" w:hAnsi="Times New Roman" w:eastAsia="仿宋_GB2312" w:cs="Times New Roman"/>
          <w:bCs/>
          <w:sz w:val="32"/>
          <w:szCs w:val="32"/>
          <w:lang w:val="en-US" w:eastAsia="zh-CN"/>
        </w:rPr>
        <w:t>对危险废物贮存点</w:t>
      </w:r>
      <w:r>
        <w:rPr>
          <w:rFonts w:hint="default" w:ascii="Times New Roman" w:hAnsi="Times New Roman" w:eastAsia="仿宋_GB2312" w:cs="Times New Roman"/>
          <w:bCs/>
          <w:sz w:val="32"/>
          <w:szCs w:val="32"/>
          <w:lang w:eastAsia="zh-CN"/>
        </w:rPr>
        <w:t>进行重点防渗</w:t>
      </w:r>
      <w:r>
        <w:rPr>
          <w:rFonts w:hint="eastAsia" w:eastAsia="仿宋_GB2312" w:cs="Times New Roman"/>
          <w:bCs/>
          <w:sz w:val="32"/>
          <w:szCs w:val="32"/>
          <w:lang w:eastAsia="zh-CN"/>
        </w:rPr>
        <w:t>，</w:t>
      </w:r>
      <w:r>
        <w:rPr>
          <w:rFonts w:hint="eastAsia" w:eastAsia="仿宋_GB2312" w:cs="Times New Roman"/>
          <w:bCs/>
          <w:sz w:val="32"/>
          <w:szCs w:val="32"/>
          <w:lang w:val="en-US" w:eastAsia="zh-CN"/>
        </w:rPr>
        <w:t>对一般固废暂存间、生产车间、沉淀池、库房</w:t>
      </w:r>
      <w:r>
        <w:rPr>
          <w:rFonts w:hint="default" w:ascii="Times New Roman" w:hAnsi="Times New Roman" w:eastAsia="仿宋_GB2312" w:cs="Times New Roman"/>
          <w:bCs/>
          <w:sz w:val="32"/>
          <w:szCs w:val="32"/>
          <w:lang w:eastAsia="zh-CN"/>
        </w:rPr>
        <w:t>进行</w:t>
      </w:r>
      <w:r>
        <w:rPr>
          <w:rFonts w:hint="eastAsia" w:ascii="Times New Roman" w:hAnsi="Times New Roman" w:eastAsia="仿宋_GB2312" w:cs="Times New Roman"/>
          <w:bCs/>
          <w:sz w:val="32"/>
          <w:szCs w:val="32"/>
          <w:lang w:val="en-US" w:eastAsia="zh-CN"/>
        </w:rPr>
        <w:t>一般</w:t>
      </w:r>
      <w:r>
        <w:rPr>
          <w:rFonts w:hint="default" w:ascii="Times New Roman" w:hAnsi="Times New Roman" w:eastAsia="仿宋_GB2312" w:cs="Times New Roman"/>
          <w:bCs/>
          <w:sz w:val="32"/>
          <w:szCs w:val="32"/>
          <w:lang w:eastAsia="zh-CN"/>
        </w:rPr>
        <w:t>防渗。加强防渗设施的日常维护，对出现损坏的防渗设施应及时修复和加固，确保防渗设施牢固安全。</w:t>
      </w:r>
    </w:p>
    <w:p w14:paraId="535DD7E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）强化各项环境风险防范措施，有效防范环境风险。厂内定期开展环境风险应急培训和演练，落实各项应急环境管理措施以及各项风险防范措施，确保风险事故得到有效控制。</w:t>
      </w:r>
    </w:p>
    <w:p w14:paraId="013CB30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w:t>
      </w: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lang w:eastAsia="zh-CN"/>
        </w:rPr>
        <w:t>）加强施工期环境保护，落实防沙治沙措施，防止施工废水、扬尘、噪声污染、水土流失和生态破坏。</w:t>
      </w:r>
    </w:p>
    <w:p w14:paraId="45B94F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八</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232B774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690606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54F081F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六、在启动生产设施或者在实际排污之前，按照经批准的环境影响评价文件认真梳理并确认各项环境保护措施落实</w:t>
      </w:r>
      <w:r>
        <w:rPr>
          <w:rFonts w:hint="default" w:ascii="Times New Roman" w:hAnsi="Times New Roman" w:eastAsia="仿宋_GB2312" w:cs="Times New Roman"/>
          <w:bCs/>
          <w:color w:val="auto"/>
          <w:sz w:val="32"/>
          <w:szCs w:val="32"/>
        </w:rPr>
        <w:t>后，</w:t>
      </w:r>
      <w:r>
        <w:rPr>
          <w:rFonts w:hint="default" w:ascii="Times New Roman" w:hAnsi="Times New Roman" w:eastAsia="仿宋_GB2312" w:cs="Times New Roman"/>
          <w:bCs/>
          <w:color w:val="auto"/>
          <w:sz w:val="32"/>
          <w:szCs w:val="32"/>
          <w:highlight w:val="none"/>
        </w:rPr>
        <w:t>依法申领排污许可证。</w:t>
      </w:r>
    </w:p>
    <w:p w14:paraId="4981B03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七、</w:t>
      </w:r>
      <w:r>
        <w:rPr>
          <w:rFonts w:hint="default" w:ascii="Times New Roman" w:hAnsi="Times New Roman" w:eastAsia="仿宋_GB2312" w:cs="Times New Roman"/>
          <w:bCs/>
          <w:sz w:val="32"/>
          <w:szCs w:val="32"/>
          <w:lang w:val="en-US" w:eastAsia="zh-CN"/>
        </w:rPr>
        <w:t>12</w:t>
      </w:r>
      <w:r>
        <w:rPr>
          <w:rFonts w:hint="eastAsia" w:eastAsia="仿宋_GB2312" w:cs="Times New Roman"/>
          <w:bCs/>
          <w:sz w:val="32"/>
          <w:szCs w:val="32"/>
          <w:lang w:val="en-US" w:eastAsia="zh-CN"/>
        </w:rPr>
        <w:t>5</w:t>
      </w:r>
      <w:r>
        <w:rPr>
          <w:rFonts w:hint="default" w:ascii="Times New Roman" w:hAnsi="Times New Roman" w:eastAsia="仿宋_GB2312" w:cs="Times New Roman"/>
          <w:bCs/>
          <w:sz w:val="32"/>
          <w:szCs w:val="32"/>
          <w:lang w:val="en-US" w:eastAsia="zh-CN"/>
        </w:rPr>
        <w:t>团城镇和生态保护中心</w:t>
      </w:r>
      <w:r>
        <w:rPr>
          <w:rFonts w:hint="default" w:ascii="Times New Roman" w:hAnsi="Times New Roman" w:eastAsia="仿宋_GB2312" w:cs="Times New Roman"/>
          <w:bCs/>
          <w:sz w:val="32"/>
          <w:szCs w:val="32"/>
        </w:rPr>
        <w:t>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7A6E594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八、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default" w:ascii="Times New Roman" w:hAnsi="Times New Roman" w:eastAsia="仿宋_GB2312" w:cs="Times New Roman"/>
          <w:bCs/>
          <w:sz w:val="32"/>
          <w:szCs w:val="32"/>
          <w:lang w:val="en-US" w:eastAsia="zh-CN"/>
        </w:rPr>
        <w:t>125团城镇和生态保护中心</w:t>
      </w:r>
      <w:r>
        <w:rPr>
          <w:rFonts w:hint="default" w:ascii="Times New Roman" w:hAnsi="Times New Roman" w:eastAsia="仿宋_GB2312" w:cs="Times New Roman"/>
          <w:bCs/>
          <w:sz w:val="32"/>
          <w:szCs w:val="32"/>
        </w:rPr>
        <w:t>，并按规定接受各级生态环境主管部门的监督检查。</w:t>
      </w:r>
    </w:p>
    <w:p w14:paraId="62A4E6CE">
      <w:pPr>
        <w:keepNext w:val="0"/>
        <w:keepLines w:val="0"/>
        <w:pageBreakBefore w:val="0"/>
        <w:widowControl w:val="0"/>
        <w:kinsoku/>
        <w:wordWrap/>
        <w:overflowPunct/>
        <w:topLinePunct w:val="0"/>
        <w:autoSpaceDE/>
        <w:autoSpaceDN/>
        <w:bidi w:val="0"/>
        <w:adjustRightInd/>
        <w:snapToGrid/>
        <w:spacing w:line="740" w:lineRule="exact"/>
        <w:ind w:firstLine="4480" w:firstLineChars="1400"/>
        <w:textAlignment w:val="auto"/>
        <w:rPr>
          <w:rFonts w:hint="default" w:ascii="Times New Roman" w:hAnsi="Times New Roman" w:eastAsia="仿宋_GB2312" w:cs="Times New Roman"/>
          <w:bCs/>
          <w:sz w:val="32"/>
          <w:szCs w:val="32"/>
        </w:rPr>
      </w:pPr>
    </w:p>
    <w:p w14:paraId="7D0667D3">
      <w:pPr>
        <w:keepNext w:val="0"/>
        <w:keepLines w:val="0"/>
        <w:pageBreakBefore w:val="0"/>
        <w:widowControl w:val="0"/>
        <w:kinsoku/>
        <w:wordWrap/>
        <w:overflowPunct/>
        <w:topLinePunct w:val="0"/>
        <w:autoSpaceDE/>
        <w:autoSpaceDN/>
        <w:bidi w:val="0"/>
        <w:adjustRightInd/>
        <w:snapToGrid/>
        <w:spacing w:line="740" w:lineRule="exact"/>
        <w:ind w:firstLine="4480" w:firstLineChars="1400"/>
        <w:textAlignment w:val="auto"/>
        <w:rPr>
          <w:rFonts w:hint="default" w:ascii="Times New Roman" w:hAnsi="Times New Roman" w:eastAsia="仿宋_GB2312" w:cs="Times New Roman"/>
          <w:bCs/>
          <w:sz w:val="32"/>
          <w:szCs w:val="32"/>
        </w:rPr>
      </w:pPr>
    </w:p>
    <w:p w14:paraId="118AD137">
      <w:pPr>
        <w:spacing w:line="440" w:lineRule="exact"/>
        <w:ind w:firstLine="4800" w:firstLineChars="15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26A42D58">
      <w:pPr>
        <w:spacing w:line="440" w:lineRule="exact"/>
        <w:ind w:firstLine="5440" w:firstLineChars="17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5</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7</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1</w:t>
      </w:r>
      <w:r>
        <w:rPr>
          <w:rFonts w:hint="default" w:ascii="Times New Roman" w:hAnsi="Times New Roman" w:eastAsia="仿宋_GB2312" w:cs="Times New Roman"/>
          <w:bCs/>
          <w:sz w:val="32"/>
          <w:szCs w:val="32"/>
        </w:rPr>
        <w:t>日</w:t>
      </w:r>
    </w:p>
    <w:p w14:paraId="23916B1F">
      <w:pPr>
        <w:rPr>
          <w:rFonts w:hint="eastAsia"/>
        </w:rPr>
      </w:pPr>
    </w:p>
    <w:p w14:paraId="4CE251CA">
      <w:pPr>
        <w:keepNext w:val="0"/>
        <w:keepLines w:val="0"/>
        <w:pageBreakBefore w:val="0"/>
        <w:widowControl w:val="0"/>
        <w:kinsoku/>
        <w:wordWrap/>
        <w:overflowPunct/>
        <w:topLinePunct w:val="0"/>
        <w:autoSpaceDE/>
        <w:autoSpaceDN/>
        <w:bidi w:val="0"/>
        <w:adjustRightInd/>
        <w:snapToGrid/>
        <w:spacing w:line="440" w:lineRule="exact"/>
        <w:ind w:left="0" w:right="210" w:rightChars="100" w:hanging="840" w:hangingChars="300"/>
        <w:textAlignment w:val="auto"/>
        <w:rPr>
          <w:rFonts w:hint="default" w:ascii="Times New Roman" w:hAnsi="Times New Roman" w:eastAsia="仿宋_GB2312" w:cs="Times New Roman"/>
          <w:sz w:val="28"/>
          <w:szCs w:val="28"/>
        </w:rPr>
      </w:pPr>
    </w:p>
    <w:p w14:paraId="6CFF59C4">
      <w:pPr>
        <w:keepNext w:val="0"/>
        <w:keepLines w:val="0"/>
        <w:pageBreakBefore w:val="0"/>
        <w:widowControl w:val="0"/>
        <w:kinsoku/>
        <w:wordWrap/>
        <w:overflowPunct/>
        <w:topLinePunct w:val="0"/>
        <w:autoSpaceDE/>
        <w:autoSpaceDN/>
        <w:bidi w:val="0"/>
        <w:adjustRightInd/>
        <w:snapToGrid/>
        <w:spacing w:line="440" w:lineRule="exact"/>
        <w:ind w:left="0" w:right="210" w:rightChars="100" w:hanging="840" w:hangingChars="300"/>
        <w:textAlignment w:val="auto"/>
        <w:rPr>
          <w:rFonts w:hint="default" w:ascii="Times New Roman" w:hAnsi="Times New Roman" w:eastAsia="仿宋_GB2312" w:cs="Times New Roman"/>
          <w:sz w:val="28"/>
          <w:szCs w:val="28"/>
        </w:rPr>
      </w:pPr>
    </w:p>
    <w:p w14:paraId="2C57FEE9">
      <w:pPr>
        <w:keepNext w:val="0"/>
        <w:keepLines w:val="0"/>
        <w:pageBreakBefore w:val="0"/>
        <w:widowControl w:val="0"/>
        <w:kinsoku/>
        <w:wordWrap/>
        <w:overflowPunct/>
        <w:topLinePunct w:val="0"/>
        <w:autoSpaceDE/>
        <w:autoSpaceDN/>
        <w:bidi w:val="0"/>
        <w:adjustRightInd/>
        <w:snapToGrid/>
        <w:spacing w:line="440" w:lineRule="exact"/>
        <w:ind w:left="0" w:right="210" w:rightChars="100" w:hanging="840" w:hangingChars="300"/>
        <w:textAlignment w:val="auto"/>
        <w:rPr>
          <w:rFonts w:hint="default" w:ascii="Times New Roman" w:hAnsi="Times New Roman" w:eastAsia="仿宋_GB2312" w:cs="Times New Roman"/>
          <w:sz w:val="28"/>
          <w:szCs w:val="28"/>
        </w:rPr>
      </w:pPr>
    </w:p>
    <w:p w14:paraId="75D48475">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：师市生态环境保护综合行政执法支队、生态环境监测站、</w:t>
      </w:r>
      <w:r>
        <w:rPr>
          <w:rFonts w:hint="eastAsia" w:ascii="仿宋_GB2312" w:hAnsi="仿宋_GB2312" w:eastAsia="仿宋_GB2312" w:cs="仿宋_GB2312"/>
          <w:sz w:val="28"/>
          <w:szCs w:val="28"/>
          <w:lang w:val="en-US" w:eastAsia="zh-CN"/>
        </w:rPr>
        <w:t>125团城镇和生态保护中心</w:t>
      </w:r>
      <w:r>
        <w:rPr>
          <w:rFonts w:hint="eastAsia" w:ascii="仿宋_GB2312" w:hAnsi="仿宋_GB2312" w:eastAsia="仿宋_GB2312" w:cs="仿宋_GB2312"/>
          <w:sz w:val="28"/>
          <w:szCs w:val="28"/>
          <w:lang w:eastAsia="zh-CN"/>
        </w:rPr>
        <w:t>。</w:t>
      </w:r>
    </w:p>
    <w:p w14:paraId="5FEFE8C5">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decorative"/>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C0FB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08528">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5B108528">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1CF7648"/>
    <w:rsid w:val="025F2F6C"/>
    <w:rsid w:val="03E07A24"/>
    <w:rsid w:val="0402172C"/>
    <w:rsid w:val="06103791"/>
    <w:rsid w:val="064F49ED"/>
    <w:rsid w:val="07EF0236"/>
    <w:rsid w:val="0A0D21E1"/>
    <w:rsid w:val="0A6D7B38"/>
    <w:rsid w:val="0A717628"/>
    <w:rsid w:val="0BD55735"/>
    <w:rsid w:val="0CD67C16"/>
    <w:rsid w:val="0CEB02C3"/>
    <w:rsid w:val="0DEC6201"/>
    <w:rsid w:val="0E927B6D"/>
    <w:rsid w:val="0F3A0A84"/>
    <w:rsid w:val="0F8E2A2A"/>
    <w:rsid w:val="0F9811B3"/>
    <w:rsid w:val="10415B91"/>
    <w:rsid w:val="13222B5F"/>
    <w:rsid w:val="1367781A"/>
    <w:rsid w:val="13B33653"/>
    <w:rsid w:val="14863CD0"/>
    <w:rsid w:val="15E46F00"/>
    <w:rsid w:val="19A61553"/>
    <w:rsid w:val="1ABC044C"/>
    <w:rsid w:val="1C406E5A"/>
    <w:rsid w:val="1CB3762C"/>
    <w:rsid w:val="1D4B3D09"/>
    <w:rsid w:val="1E1F706C"/>
    <w:rsid w:val="1E222CBC"/>
    <w:rsid w:val="1E2F2A87"/>
    <w:rsid w:val="1ED16D1D"/>
    <w:rsid w:val="1F0C482E"/>
    <w:rsid w:val="1F6410B2"/>
    <w:rsid w:val="2177331E"/>
    <w:rsid w:val="21A1039B"/>
    <w:rsid w:val="24C7636B"/>
    <w:rsid w:val="24F3437F"/>
    <w:rsid w:val="274A3283"/>
    <w:rsid w:val="27E6038A"/>
    <w:rsid w:val="293E30BA"/>
    <w:rsid w:val="29ED02E2"/>
    <w:rsid w:val="2A0C4820"/>
    <w:rsid w:val="2BE9171D"/>
    <w:rsid w:val="2DB71358"/>
    <w:rsid w:val="2E6647A7"/>
    <w:rsid w:val="2FE778C1"/>
    <w:rsid w:val="305B3E0B"/>
    <w:rsid w:val="30766E97"/>
    <w:rsid w:val="308621F1"/>
    <w:rsid w:val="319A0963"/>
    <w:rsid w:val="31DB1B10"/>
    <w:rsid w:val="31DE6AA2"/>
    <w:rsid w:val="325A00D3"/>
    <w:rsid w:val="32EA1B39"/>
    <w:rsid w:val="333E0836"/>
    <w:rsid w:val="334B0167"/>
    <w:rsid w:val="3390201E"/>
    <w:rsid w:val="34552334"/>
    <w:rsid w:val="345D63A4"/>
    <w:rsid w:val="34DB0164"/>
    <w:rsid w:val="34DB0F65"/>
    <w:rsid w:val="35222615"/>
    <w:rsid w:val="35335B87"/>
    <w:rsid w:val="3763266A"/>
    <w:rsid w:val="37C91FA2"/>
    <w:rsid w:val="382471D8"/>
    <w:rsid w:val="389B146D"/>
    <w:rsid w:val="390336C5"/>
    <w:rsid w:val="39586DFD"/>
    <w:rsid w:val="3B5A356F"/>
    <w:rsid w:val="3B901665"/>
    <w:rsid w:val="3E3F2FBE"/>
    <w:rsid w:val="3E5263F1"/>
    <w:rsid w:val="3E8F41EC"/>
    <w:rsid w:val="3ED656D0"/>
    <w:rsid w:val="40B3461C"/>
    <w:rsid w:val="41E12475"/>
    <w:rsid w:val="41F36599"/>
    <w:rsid w:val="425C5EED"/>
    <w:rsid w:val="4345037B"/>
    <w:rsid w:val="4475215D"/>
    <w:rsid w:val="44AC37CB"/>
    <w:rsid w:val="465316EE"/>
    <w:rsid w:val="46C2653A"/>
    <w:rsid w:val="46CD5F17"/>
    <w:rsid w:val="46F76C15"/>
    <w:rsid w:val="47623535"/>
    <w:rsid w:val="483D056E"/>
    <w:rsid w:val="4B4732F2"/>
    <w:rsid w:val="4B9E0BAE"/>
    <w:rsid w:val="4BE111CF"/>
    <w:rsid w:val="4D3248D1"/>
    <w:rsid w:val="4DF46F02"/>
    <w:rsid w:val="4DF61B85"/>
    <w:rsid w:val="4E1C7BCA"/>
    <w:rsid w:val="4E23273D"/>
    <w:rsid w:val="4E2A19FE"/>
    <w:rsid w:val="4E8B592A"/>
    <w:rsid w:val="5144471C"/>
    <w:rsid w:val="51CA44D0"/>
    <w:rsid w:val="52016A0C"/>
    <w:rsid w:val="521E31BF"/>
    <w:rsid w:val="53732803"/>
    <w:rsid w:val="53DF24DA"/>
    <w:rsid w:val="5445681C"/>
    <w:rsid w:val="54E21B59"/>
    <w:rsid w:val="55F63B99"/>
    <w:rsid w:val="57542923"/>
    <w:rsid w:val="576461D9"/>
    <w:rsid w:val="58D34BF9"/>
    <w:rsid w:val="593C3F2A"/>
    <w:rsid w:val="598D4786"/>
    <w:rsid w:val="59BB12F3"/>
    <w:rsid w:val="5A0B54BA"/>
    <w:rsid w:val="5A132EDD"/>
    <w:rsid w:val="5A2854B0"/>
    <w:rsid w:val="5AD563E4"/>
    <w:rsid w:val="5ADB6D32"/>
    <w:rsid w:val="5BBE331C"/>
    <w:rsid w:val="5E116A2B"/>
    <w:rsid w:val="5EAF46C2"/>
    <w:rsid w:val="5EE50BC0"/>
    <w:rsid w:val="5F304919"/>
    <w:rsid w:val="5FCF6BF0"/>
    <w:rsid w:val="609D79A4"/>
    <w:rsid w:val="60BB7E2A"/>
    <w:rsid w:val="6109328C"/>
    <w:rsid w:val="612B239E"/>
    <w:rsid w:val="623C143F"/>
    <w:rsid w:val="62A019CE"/>
    <w:rsid w:val="62BB6808"/>
    <w:rsid w:val="62E3579C"/>
    <w:rsid w:val="644952F5"/>
    <w:rsid w:val="651D40D0"/>
    <w:rsid w:val="6703077D"/>
    <w:rsid w:val="679C6136"/>
    <w:rsid w:val="68152516"/>
    <w:rsid w:val="698B1E19"/>
    <w:rsid w:val="6BC8789F"/>
    <w:rsid w:val="6CC3509F"/>
    <w:rsid w:val="6F2512C7"/>
    <w:rsid w:val="6F4158DC"/>
    <w:rsid w:val="6F6F4C02"/>
    <w:rsid w:val="708446DD"/>
    <w:rsid w:val="7375588F"/>
    <w:rsid w:val="73E5637C"/>
    <w:rsid w:val="75006CB2"/>
    <w:rsid w:val="7516167C"/>
    <w:rsid w:val="75F30136"/>
    <w:rsid w:val="75FC2F67"/>
    <w:rsid w:val="76017E90"/>
    <w:rsid w:val="79AC0800"/>
    <w:rsid w:val="7BE007E5"/>
    <w:rsid w:val="7C611D76"/>
    <w:rsid w:val="7F4A4BC8"/>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eastAsia="华文中宋"/>
      <w:b/>
      <w:bCs/>
      <w:w w:val="90"/>
      <w:sz w:val="44"/>
    </w:rPr>
  </w:style>
  <w:style w:type="paragraph" w:styleId="3">
    <w:name w:val="index 5"/>
    <w:basedOn w:val="1"/>
    <w:next w:val="1"/>
    <w:qFormat/>
    <w:uiPriority w:val="0"/>
    <w:pPr>
      <w:ind w:left="800" w:leftChars="800"/>
    </w:pPr>
  </w:style>
  <w:style w:type="paragraph" w:styleId="4">
    <w:name w:val="Body Text Indent"/>
    <w:basedOn w:val="1"/>
    <w:next w:val="2"/>
    <w:unhideWhenUsed/>
    <w:qFormat/>
    <w:uiPriority w:val="99"/>
    <w:pPr>
      <w:spacing w:after="120"/>
      <w:ind w:left="420" w:leftChars="200"/>
    </w:pPr>
  </w:style>
  <w:style w:type="paragraph" w:styleId="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List"/>
    <w:basedOn w:val="1"/>
    <w:qFormat/>
    <w:uiPriority w:val="0"/>
    <w:pPr>
      <w:ind w:left="200" w:hanging="200" w:hangingChars="200"/>
    </w:pPr>
  </w:style>
  <w:style w:type="paragraph" w:styleId="7">
    <w:name w:val="footnote text"/>
    <w:basedOn w:val="1"/>
    <w:next w:val="3"/>
    <w:unhideWhenUsed/>
    <w:qFormat/>
    <w:uiPriority w:val="99"/>
    <w:pPr>
      <w:snapToGrid w:val="0"/>
      <w:jc w:val="left"/>
    </w:pPr>
    <w:rPr>
      <w:rFonts w:ascii="Calibri" w:hAnsi="Calibri" w:eastAsia="仿宋" w:cs="Times New Roman"/>
      <w:sz w:val="18"/>
      <w:szCs w:val="18"/>
    </w:rPr>
  </w:style>
  <w:style w:type="paragraph" w:styleId="8">
    <w:name w:val="Body Text 2"/>
    <w:basedOn w:val="1"/>
    <w:unhideWhenUsed/>
    <w:qFormat/>
    <w:uiPriority w:val="99"/>
    <w:pPr>
      <w:spacing w:after="120" w:line="480" w:lineRule="auto"/>
    </w:pPr>
  </w:style>
  <w:style w:type="paragraph" w:styleId="9">
    <w:name w:val="Body Text First Indent"/>
    <w:basedOn w:val="2"/>
    <w:next w:val="10"/>
    <w:unhideWhenUsed/>
    <w:qFormat/>
    <w:uiPriority w:val="0"/>
    <w:pPr>
      <w:widowControl w:val="0"/>
      <w:kinsoku/>
      <w:autoSpaceDE/>
      <w:autoSpaceDN/>
      <w:spacing w:after="120" w:line="360" w:lineRule="auto"/>
      <w:ind w:firstLine="420" w:firstLineChars="100"/>
      <w:jc w:val="both"/>
      <w:textAlignment w:val="auto"/>
    </w:pPr>
    <w:rPr>
      <w:rFonts w:ascii="Times New Roman" w:hAnsi="Times New Roman" w:cs="Times New Roman"/>
      <w:color w:val="auto"/>
      <w:kern w:val="2"/>
      <w:sz w:val="24"/>
      <w:szCs w:val="24"/>
    </w:rPr>
  </w:style>
  <w:style w:type="paragraph" w:styleId="10">
    <w:name w:val="Body Text First Indent 2"/>
    <w:basedOn w:val="4"/>
    <w:next w:val="1"/>
    <w:qFormat/>
    <w:uiPriority w:val="0"/>
    <w:pPr>
      <w:widowControl/>
      <w:ind w:firstLine="420" w:firstLineChars="200"/>
      <w:jc w:val="left"/>
    </w:pPr>
    <w:rPr>
      <w:rFonts w:ascii="宋体" w:hAnsi="宋体" w:cs="宋体"/>
      <w:sz w:val="24"/>
      <w:szCs w:val="24"/>
    </w:rPr>
  </w:style>
  <w:style w:type="paragraph" w:customStyle="1" w:styleId="13">
    <w:name w:val="表头"/>
    <w:basedOn w:val="9"/>
    <w:next w:val="1"/>
    <w:qFormat/>
    <w:uiPriority w:val="0"/>
    <w:pPr>
      <w:jc w:val="center"/>
    </w:pPr>
    <w:rPr>
      <w:rFonts w:ascii="黑体" w:eastAsia="黑体"/>
      <w:kern w:val="0"/>
    </w:rPr>
  </w:style>
  <w:style w:type="paragraph" w:customStyle="1" w:styleId="14">
    <w:name w:val="Default"/>
    <w:basedOn w:val="15"/>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6">
    <w:name w:val="纯文本1"/>
    <w:basedOn w:val="1"/>
    <w:qFormat/>
    <w:uiPriority w:val="0"/>
    <w:pPr>
      <w:adjustRightInd w:val="0"/>
      <w:textAlignment w:val="baseline"/>
    </w:pPr>
    <w:rPr>
      <w:rFonts w:ascii="宋体" w:hAnsi="Courier New"/>
      <w:szCs w:val="20"/>
    </w:rPr>
  </w:style>
  <w:style w:type="paragraph" w:customStyle="1" w:styleId="17">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1985</Words>
  <Characters>2098</Characters>
  <Lines>0</Lines>
  <Paragraphs>0</Paragraphs>
  <TotalTime>29</TotalTime>
  <ScaleCrop>false</ScaleCrop>
  <LinksUpToDate>false</LinksUpToDate>
  <CharactersWithSpaces>2147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风的自由</cp:lastModifiedBy>
  <cp:lastPrinted>2025-07-01T01:53:01Z</cp:lastPrinted>
  <dcterms:modified xsi:type="dcterms:W3CDTF">2025-07-01T02:45:52Z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3EE3CAF3004343DD9BA9E027F620634F_13</vt:lpwstr>
  </property>
  <property fmtid="{D5CDD505-2E9C-101B-9397-08002B2CF9AE}" pid="4" name="KSOTemplateDocerSaveRecord">
    <vt:lpwstr>eyJoZGlkIjoiOTM4ZGE5MjAwOTRjNzE3YmI3NzllODlkMzQzMmYzMzgiLCJ1c2VySWQiOiI1NTE5NjI2NTYifQ==</vt:lpwstr>
  </property>
</Properties>
</file>