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BEE89">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347C7D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eastAsia="仿宋_GB2312" w:cs="Times New Roman"/>
          <w:snapToGrid w:val="0"/>
          <w:kern w:val="0"/>
          <w:sz w:val="32"/>
          <w:szCs w:val="32"/>
          <w:lang w:val="en-US" w:eastAsia="zh-CN"/>
        </w:rPr>
        <w:t>29</w:t>
      </w:r>
      <w:r>
        <w:rPr>
          <w:rFonts w:hint="default" w:ascii="Times New Roman" w:hAnsi="Times New Roman" w:eastAsia="仿宋_GB2312" w:cs="Times New Roman"/>
          <w:snapToGrid w:val="0"/>
          <w:kern w:val="0"/>
          <w:sz w:val="32"/>
          <w:szCs w:val="32"/>
        </w:rPr>
        <w:t>号</w:t>
      </w:r>
    </w:p>
    <w:p w14:paraId="15DFA4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22C71F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关于胡杨河安德能源科技有限公司10万吨/年油田伴生资源综合利用项目</w:t>
      </w:r>
      <w:r>
        <w:rPr>
          <w:rFonts w:hint="eastAsia" w:ascii="方正小标宋简体" w:hAnsi="宋体" w:eastAsia="方正小标宋简体"/>
          <w:bCs/>
          <w:snapToGrid w:val="0"/>
          <w:kern w:val="0"/>
          <w:sz w:val="44"/>
          <w:szCs w:val="44"/>
          <w:lang w:val="zh-CN"/>
        </w:rPr>
        <w:t>环境影响报告</w:t>
      </w:r>
      <w:r>
        <w:rPr>
          <w:rFonts w:hint="eastAsia" w:ascii="方正小标宋简体" w:hAnsi="宋体" w:eastAsia="方正小标宋简体"/>
          <w:bCs/>
          <w:snapToGrid w:val="0"/>
          <w:kern w:val="0"/>
          <w:sz w:val="44"/>
          <w:szCs w:val="44"/>
        </w:rPr>
        <w:t>表</w:t>
      </w:r>
    </w:p>
    <w:p w14:paraId="6EFD2E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5D472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536FE1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胡杨河安德能源科技有限公司：</w:t>
      </w:r>
    </w:p>
    <w:p w14:paraId="749B8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你公司《关于审批胡杨河安德能源科技有限公司10万吨/年油田伴生资源综合利用项目的请示》收悉。经</w:t>
      </w:r>
      <w:bookmarkStart w:id="1" w:name="_GoBack"/>
      <w:bookmarkEnd w:id="1"/>
      <w:r>
        <w:rPr>
          <w:rFonts w:hint="default" w:ascii="Times New Roman" w:hAnsi="Times New Roman" w:eastAsia="仿宋_GB2312" w:cs="Times New Roman"/>
          <w:sz w:val="32"/>
          <w:szCs w:val="32"/>
        </w:rPr>
        <w:t>研究，批复如下：</w:t>
      </w:r>
    </w:p>
    <w:p w14:paraId="3975F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位于第七师胡杨河经济技术开发区南园区，项目区中心地理位置坐标为</w:t>
      </w:r>
      <w:bookmarkStart w:id="0" w:name="_Hlk180516248"/>
      <w:r>
        <w:rPr>
          <w:rFonts w:hint="default" w:ascii="Times New Roman" w:hAnsi="Times New Roman" w:eastAsia="仿宋_GB2312" w:cs="Times New Roman"/>
          <w:sz w:val="32"/>
          <w:szCs w:val="32"/>
          <w:lang w:val="en-US" w:eastAsia="zh-CN"/>
        </w:rPr>
        <w:t>东经84°53′2.965″，北纬44°46′33.920″。</w:t>
      </w:r>
      <w:bookmarkEnd w:id="0"/>
      <w:r>
        <w:rPr>
          <w:rFonts w:hint="default" w:ascii="Times New Roman" w:hAnsi="Times New Roman" w:eastAsia="仿宋_GB2312" w:cs="Times New Roman"/>
          <w:sz w:val="32"/>
          <w:szCs w:val="32"/>
          <w:lang w:val="en-US" w:eastAsia="zh-CN"/>
        </w:rPr>
        <w:t>项目新建10万吨/年轻烃、混合烃分离精馏装置，30万吨/年汽油物理调和装置及相关配套公辅设施。项目总投资为30000万元，其中环保投资364.7万元，占总投资的1.22%。</w:t>
      </w:r>
    </w:p>
    <w:p w14:paraId="6935C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34CCB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245B25BD">
      <w:pPr>
        <w:pStyle w:val="5"/>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val="0"/>
          <w:bCs/>
          <w:sz w:val="32"/>
          <w:szCs w:val="32"/>
        </w:rPr>
        <w:t>（一）严格落实大气污染防治措施。</w:t>
      </w:r>
      <w:r>
        <w:rPr>
          <w:rFonts w:hint="eastAsia" w:ascii="Times New Roman" w:hAnsi="Times New Roman" w:eastAsia="仿宋_GB2312" w:cs="Times New Roman"/>
          <w:color w:val="000000"/>
          <w:kern w:val="2"/>
          <w:sz w:val="32"/>
          <w:szCs w:val="32"/>
          <w:highlight w:val="none"/>
          <w:lang w:val="en-US" w:eastAsia="zh-CN" w:bidi="ar-SA"/>
        </w:rPr>
        <w:t>导热油炉废气经“低氮燃烧器+烟气再循环技术”处理后，由15米高的排气筒排放。颗粒物、二氧化硫、烟气黑度排放执行《锅炉大气污染物排放标准》（GB13271-2014）表3燃气锅炉特别排放限值要求，氮氧化物排放执行《关于开展自治区2022年度夏秋季大气污染防治“冬病夏治”工作的通知》（新环大气函〔2022〕483号）50毫克/立方米限值要求。物料装卸采用底部装卸系统，收集废气与物料储存和调和废气一同经油气回收系统处理后，由15米高的排气筒排放。非甲烷总烃去除效率执行《石油化学工业污染物排放标准（含2024年修改单）》（GB31571-2015）表5大气污染物特别排放限值要求，苯、甲苯、二甲苯排放执行《石油化学工业污染物排放标准（含2024年修改单）》（GB31571-2015）表6废气中有机特征污染物及排放限值要求。食堂安装一套净化效率不低于60%的油烟净化器，食堂油烟经处理满足《饮食业油烟排放标准》（GB18483-2001）中表2排放标准浓度限值要求后，由专用烟道引至屋顶排放。</w:t>
      </w:r>
    </w:p>
    <w:p w14:paraId="1676A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w w:val="100"/>
          <w:kern w:val="2"/>
          <w:sz w:val="32"/>
          <w:szCs w:val="32"/>
          <w:lang w:val="en-US" w:eastAsia="zh-CN" w:bidi="ar-SA"/>
        </w:rPr>
      </w:pPr>
      <w:r>
        <w:rPr>
          <w:rFonts w:hint="eastAsia" w:eastAsia="仿宋_GB2312" w:cs="Times New Roman"/>
          <w:b w:val="0"/>
          <w:bCs w:val="0"/>
          <w:w w:val="100"/>
          <w:kern w:val="2"/>
          <w:sz w:val="32"/>
          <w:szCs w:val="32"/>
          <w:lang w:val="en-US" w:eastAsia="zh-CN" w:bidi="ar-SA"/>
        </w:rPr>
        <w:t>项目采用密闭集输流程，定期检测对易发生泄漏的设备与管线组件，及时修复，防止跑、冒、滴、漏现象；油气收集总管采用地上敷设，并坡向油气回收装置和油气处理装置；含油废水收集采用密闭管道，收集后暂存于埋地的密闭污水池。厂界非甲烷总烃、苯、甲苯、二甲苯排放执行《石油化学工业污染物排放标准（含2024年修改单）》（GB31571-2015）表7企业边界标准限值要求，厂内非甲烷总烃排放执行《挥发性有机物无组织排放控制标准》（GB37822-2019）中表A.1厂区内VOCs无组织排放限值中特别排放限值的要求。</w:t>
      </w:r>
    </w:p>
    <w:p w14:paraId="407ED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w w:val="100"/>
          <w:kern w:val="2"/>
          <w:sz w:val="32"/>
          <w:szCs w:val="32"/>
          <w:lang w:val="en-US" w:eastAsia="zh-CN" w:bidi="ar-SA"/>
        </w:rPr>
      </w:pPr>
      <w:r>
        <w:rPr>
          <w:rFonts w:hint="eastAsia" w:eastAsia="仿宋_GB2312" w:cs="Times New Roman"/>
          <w:b w:val="0"/>
          <w:bCs w:val="0"/>
          <w:w w:val="100"/>
          <w:kern w:val="2"/>
          <w:sz w:val="32"/>
          <w:szCs w:val="32"/>
          <w:lang w:val="en-US" w:eastAsia="zh-CN" w:bidi="ar-SA"/>
        </w:rPr>
        <w:t>该项目VOCs</w:t>
      </w:r>
      <w:r>
        <w:rPr>
          <w:rFonts w:hint="eastAsia" w:ascii="Times New Roman" w:hAnsi="Times New Roman" w:eastAsia="仿宋_GB2312" w:cs="Times New Roman"/>
          <w:b w:val="0"/>
          <w:bCs w:val="0"/>
          <w:w w:val="100"/>
          <w:kern w:val="2"/>
          <w:sz w:val="32"/>
          <w:szCs w:val="32"/>
          <w:lang w:val="en-US" w:eastAsia="zh-CN" w:bidi="ar-SA"/>
        </w:rPr>
        <w:t>排放总量不超过</w:t>
      </w:r>
      <w:r>
        <w:rPr>
          <w:rFonts w:hint="eastAsia" w:eastAsia="仿宋_GB2312" w:cs="Times New Roman"/>
          <w:b w:val="0"/>
          <w:bCs w:val="0"/>
          <w:w w:val="100"/>
          <w:kern w:val="2"/>
          <w:sz w:val="32"/>
          <w:szCs w:val="32"/>
          <w:lang w:val="en-US" w:eastAsia="zh-CN" w:bidi="ar-SA"/>
        </w:rPr>
        <w:t>5.078</w:t>
      </w:r>
      <w:r>
        <w:rPr>
          <w:rFonts w:hint="eastAsia" w:ascii="Times New Roman" w:hAnsi="Times New Roman" w:eastAsia="仿宋_GB2312" w:cs="Times New Roman"/>
          <w:b w:val="0"/>
          <w:bCs w:val="0"/>
          <w:w w:val="100"/>
          <w:kern w:val="2"/>
          <w:sz w:val="32"/>
          <w:szCs w:val="32"/>
          <w:lang w:val="en-US" w:eastAsia="zh-CN" w:bidi="ar-SA"/>
        </w:rPr>
        <w:t>吨/年</w:t>
      </w:r>
      <w:r>
        <w:rPr>
          <w:rFonts w:hint="eastAsia" w:eastAsia="仿宋_GB2312" w:cs="Times New Roman"/>
          <w:b w:val="0"/>
          <w:bCs w:val="0"/>
          <w:w w:val="100"/>
          <w:kern w:val="2"/>
          <w:sz w:val="32"/>
          <w:szCs w:val="32"/>
          <w:lang w:val="en-US" w:eastAsia="zh-CN" w:bidi="ar-SA"/>
        </w:rPr>
        <w:t>，氮氧化物</w:t>
      </w:r>
      <w:r>
        <w:rPr>
          <w:rFonts w:hint="eastAsia" w:ascii="Times New Roman" w:hAnsi="Times New Roman" w:eastAsia="仿宋_GB2312" w:cs="Times New Roman"/>
          <w:b w:val="0"/>
          <w:bCs w:val="0"/>
          <w:w w:val="100"/>
          <w:kern w:val="2"/>
          <w:sz w:val="32"/>
          <w:szCs w:val="32"/>
          <w:lang w:val="en-US" w:eastAsia="zh-CN" w:bidi="ar-SA"/>
        </w:rPr>
        <w:t>排放总量不超过3.146吨/年</w:t>
      </w:r>
      <w:r>
        <w:rPr>
          <w:rFonts w:hint="eastAsia" w:eastAsia="仿宋_GB2312" w:cs="Times New Roman"/>
          <w:b w:val="0"/>
          <w:bCs w:val="0"/>
          <w:w w:val="100"/>
          <w:kern w:val="2"/>
          <w:sz w:val="32"/>
          <w:szCs w:val="32"/>
          <w:lang w:val="en-US" w:eastAsia="zh-CN" w:bidi="ar-SA"/>
        </w:rPr>
        <w:t>。</w:t>
      </w:r>
    </w:p>
    <w:p w14:paraId="08F0C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en-US" w:eastAsia="zh-CN"/>
        </w:rPr>
        <w:t>厂区建设1座处理规模为50立方米/日的地埋式污水处理站，处理工艺为：隔油+气浮+生化+絮凝沉淀，原料球罐和液化石油气球罐切水排水、地面和装置冲洗水、实验室日常化验废水、循环水系统定期排水、软水制备系统排水及初期雨水池废水与经化粪池预处理后的生活污水一同排至厂内地埋式污水处理站处理，石油类、苯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《石油化学工业污染物排放标准（含2024年修改单）》（GB31571-2015）表1间接排放标准限值要求，化学需氧量、五日生化需氧量、悬浮物排放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《污水综合排放标准》（GB8978-1996）三级标准限值要求，氨氮排放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《城市污水再生利用 绿地灌溉水质》（GB/T25449-2010）限值要求后，经园区排水管网最终进入胡杨河经济技术开发区化工园区南园区污水处理厂处理。</w:t>
      </w:r>
    </w:p>
    <w:p w14:paraId="277FA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严格落实噪声防治措施。优化厂区平面布置，优先选用低噪声设备，采取消声、隔声、减振等措施有效控制噪声污染，加强厂区内固定设备、运输工具、货物装卸等噪声源管理，确保厂界噪声满足《工业企业厂界环境噪声排放标准》（GB 12348-2008）中3类标准。</w:t>
      </w:r>
    </w:p>
    <w:p w14:paraId="53F04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eastAsia" w:eastAsia="仿宋_GB2312" w:cs="Times New Roman"/>
          <w:sz w:val="32"/>
          <w:szCs w:val="32"/>
          <w:lang w:val="en-US" w:eastAsia="zh-CN"/>
        </w:rPr>
        <w:t>危险废物中废活性炭、实验室废试剂及包装、废润滑油、废油桶、含油浮渣及污泥暂存于厂区危险废物贮存库内，定期交由有危险废物处置资质的单位处置；废导热油由厂家定期更换并回收处置。一般固体废物中废离子交换树脂、废分子筛定期更换，并交由环卫部门统一清运至一般固废填埋场填埋处置。生活垃圾经厂区垃圾桶收集后定期交由环卫部门统一清运处理。</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生活垃圾由环卫部门统一清运处理。</w:t>
      </w:r>
    </w:p>
    <w:p w14:paraId="6C59F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w:t>
      </w:r>
      <w:r>
        <w:rPr>
          <w:rFonts w:hint="default" w:ascii="Times New Roman" w:hAnsi="Times New Roman" w:eastAsia="仿宋_GB2312" w:cs="Times New Roman"/>
          <w:bCs/>
          <w:sz w:val="32"/>
          <w:szCs w:val="32"/>
          <w:lang w:val="en-US" w:eastAsia="zh-CN"/>
        </w:rPr>
        <w:t>对装置区、储罐区、装卸区、污水处理站和危险废物贮存库</w:t>
      </w:r>
      <w:r>
        <w:rPr>
          <w:rFonts w:hint="eastAsia" w:eastAsia="仿宋_GB2312" w:cs="Times New Roman"/>
          <w:bCs/>
          <w:sz w:val="32"/>
          <w:szCs w:val="32"/>
          <w:lang w:val="en-US" w:eastAsia="zh-CN"/>
        </w:rPr>
        <w:t>等区域</w:t>
      </w:r>
      <w:r>
        <w:rPr>
          <w:rFonts w:hint="default" w:ascii="Times New Roman" w:hAnsi="Times New Roman" w:eastAsia="仿宋_GB2312" w:cs="Times New Roman"/>
          <w:bCs/>
          <w:sz w:val="32"/>
          <w:szCs w:val="32"/>
          <w:lang w:eastAsia="zh-CN"/>
        </w:rPr>
        <w:t>进行重点防渗</w:t>
      </w:r>
      <w:r>
        <w:rPr>
          <w:rFonts w:hint="eastAsia" w:eastAsia="仿宋_GB2312" w:cs="Times New Roman"/>
          <w:bCs/>
          <w:sz w:val="32"/>
          <w:szCs w:val="32"/>
          <w:lang w:eastAsia="zh-CN"/>
        </w:rPr>
        <w:t>，</w:t>
      </w:r>
      <w:r>
        <w:rPr>
          <w:rFonts w:hint="eastAsia" w:eastAsia="仿宋_GB2312" w:cs="Times New Roman"/>
          <w:bCs/>
          <w:sz w:val="32"/>
          <w:szCs w:val="32"/>
          <w:lang w:val="en-US" w:eastAsia="zh-CN"/>
        </w:rPr>
        <w:t>对导热油炉房、火炬系统、事故水池、车库、初期雨水池、化粪池</w:t>
      </w:r>
      <w:r>
        <w:rPr>
          <w:rFonts w:hint="default" w:ascii="Times New Roman" w:hAnsi="Times New Roman" w:eastAsia="仿宋_GB2312" w:cs="Times New Roman"/>
          <w:bCs/>
          <w:sz w:val="32"/>
          <w:szCs w:val="32"/>
          <w:lang w:eastAsia="zh-CN"/>
        </w:rPr>
        <w:t>进行</w:t>
      </w:r>
      <w:r>
        <w:rPr>
          <w:rFonts w:hint="eastAsia" w:ascii="Times New Roman" w:hAnsi="Times New Roman" w:eastAsia="仿宋_GB2312" w:cs="Times New Roman"/>
          <w:bCs/>
          <w:sz w:val="32"/>
          <w:szCs w:val="32"/>
          <w:lang w:val="en-US" w:eastAsia="zh-CN"/>
        </w:rPr>
        <w:t>一般</w:t>
      </w:r>
      <w:r>
        <w:rPr>
          <w:rFonts w:hint="default" w:ascii="Times New Roman" w:hAnsi="Times New Roman" w:eastAsia="仿宋_GB2312" w:cs="Times New Roman"/>
          <w:bCs/>
          <w:sz w:val="32"/>
          <w:szCs w:val="32"/>
          <w:lang w:eastAsia="zh-CN"/>
        </w:rPr>
        <w:t>防渗。加强防渗设施的日常维护，对出现损坏的防渗设施应及时修复和加固，确保防渗设施牢固安全。</w:t>
      </w:r>
    </w:p>
    <w:p w14:paraId="535DD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013CB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）加强施工期环境保护，落实防沙治沙措施，防止施工废水、扬尘、噪声污染、水土流失和生态破坏。</w:t>
      </w:r>
    </w:p>
    <w:p w14:paraId="45B94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232B7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69060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54F08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依法申领排污许可证。</w:t>
      </w:r>
    </w:p>
    <w:p w14:paraId="4981B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7A6E5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62A4E6CE">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7D0667D3">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118AD137">
      <w:pPr>
        <w:spacing w:line="440" w:lineRule="exact"/>
        <w:ind w:firstLine="480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26A42D58">
      <w:pPr>
        <w:spacing w:line="440" w:lineRule="exact"/>
        <w:ind w:firstLine="5440" w:firstLineChars="17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6</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11</w:t>
      </w:r>
      <w:r>
        <w:rPr>
          <w:rFonts w:hint="default" w:ascii="Times New Roman" w:hAnsi="Times New Roman" w:eastAsia="仿宋_GB2312" w:cs="Times New Roman"/>
          <w:bCs/>
          <w:sz w:val="32"/>
          <w:szCs w:val="32"/>
        </w:rPr>
        <w:t>日</w:t>
      </w:r>
    </w:p>
    <w:p w14:paraId="23916B1F">
      <w:pPr>
        <w:rPr>
          <w:rFonts w:hint="eastAsia"/>
        </w:rPr>
      </w:pPr>
    </w:p>
    <w:p w14:paraId="4CE251CA">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6CFF59C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2C57FEE9">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6221EBFA">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0E127A9B">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5DBCEB76">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42668D31">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47FA8E02">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23798617">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7E889716">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34E0DAC5">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55631919">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2804DECD">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hint="default" w:ascii="Times New Roman" w:hAnsi="Times New Roman" w:eastAsia="仿宋_GB2312" w:cs="Times New Roman"/>
          <w:sz w:val="28"/>
          <w:szCs w:val="28"/>
        </w:rPr>
      </w:pPr>
    </w:p>
    <w:p w14:paraId="75D48475">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：师市生态环境保护综合行政执法支队、生态环境监测站、胡杨河经济技术开发区应急管理和环境保护局</w:t>
      </w:r>
      <w:r>
        <w:rPr>
          <w:rFonts w:hint="eastAsia" w:ascii="仿宋_GB2312" w:hAnsi="仿宋_GB2312" w:eastAsia="仿宋_GB2312" w:cs="仿宋_GB2312"/>
          <w:sz w:val="28"/>
          <w:szCs w:val="28"/>
          <w:lang w:eastAsia="zh-CN"/>
        </w:rPr>
        <w:t>。</w:t>
      </w:r>
    </w:p>
    <w:p w14:paraId="5FEFE8C5">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0FB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08528">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B108528">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1CF7648"/>
    <w:rsid w:val="025F2F6C"/>
    <w:rsid w:val="03E07A24"/>
    <w:rsid w:val="0402172C"/>
    <w:rsid w:val="06103791"/>
    <w:rsid w:val="064F49ED"/>
    <w:rsid w:val="07EF0236"/>
    <w:rsid w:val="0A0D21E1"/>
    <w:rsid w:val="0A6D7B38"/>
    <w:rsid w:val="0A717628"/>
    <w:rsid w:val="0BD55735"/>
    <w:rsid w:val="0CD67C16"/>
    <w:rsid w:val="0CEB02C3"/>
    <w:rsid w:val="0DEC6201"/>
    <w:rsid w:val="0E927B6D"/>
    <w:rsid w:val="0F3A0A84"/>
    <w:rsid w:val="0F8E2A2A"/>
    <w:rsid w:val="0F9811B3"/>
    <w:rsid w:val="10415B91"/>
    <w:rsid w:val="13222B5F"/>
    <w:rsid w:val="1367781A"/>
    <w:rsid w:val="13B33653"/>
    <w:rsid w:val="15E46F00"/>
    <w:rsid w:val="19A61553"/>
    <w:rsid w:val="1ABC044C"/>
    <w:rsid w:val="1CB3762C"/>
    <w:rsid w:val="1D4B3D09"/>
    <w:rsid w:val="1E1F706C"/>
    <w:rsid w:val="1E222CBC"/>
    <w:rsid w:val="1E2F2A87"/>
    <w:rsid w:val="1ED16D1D"/>
    <w:rsid w:val="1F0C482E"/>
    <w:rsid w:val="1F6410B2"/>
    <w:rsid w:val="2177331E"/>
    <w:rsid w:val="21A1039B"/>
    <w:rsid w:val="24C7636B"/>
    <w:rsid w:val="24F3437F"/>
    <w:rsid w:val="274A3283"/>
    <w:rsid w:val="27E6038A"/>
    <w:rsid w:val="293E30BA"/>
    <w:rsid w:val="29ED02E2"/>
    <w:rsid w:val="2A0C4820"/>
    <w:rsid w:val="2BE9171D"/>
    <w:rsid w:val="2DB71358"/>
    <w:rsid w:val="2E6647A7"/>
    <w:rsid w:val="2FE778C1"/>
    <w:rsid w:val="30766E97"/>
    <w:rsid w:val="308621F1"/>
    <w:rsid w:val="319A0963"/>
    <w:rsid w:val="31DB1B10"/>
    <w:rsid w:val="31DE6AA2"/>
    <w:rsid w:val="325A00D3"/>
    <w:rsid w:val="32EA1B39"/>
    <w:rsid w:val="333E0836"/>
    <w:rsid w:val="334B0167"/>
    <w:rsid w:val="3390201E"/>
    <w:rsid w:val="34552334"/>
    <w:rsid w:val="345D63A4"/>
    <w:rsid w:val="34DB0164"/>
    <w:rsid w:val="34DB0F65"/>
    <w:rsid w:val="35222615"/>
    <w:rsid w:val="35335B87"/>
    <w:rsid w:val="3763266A"/>
    <w:rsid w:val="37C91FA2"/>
    <w:rsid w:val="389B146D"/>
    <w:rsid w:val="390336C5"/>
    <w:rsid w:val="39586DFD"/>
    <w:rsid w:val="3B901665"/>
    <w:rsid w:val="3E3F2FBE"/>
    <w:rsid w:val="3E5263F1"/>
    <w:rsid w:val="3E8F41EC"/>
    <w:rsid w:val="3ED656D0"/>
    <w:rsid w:val="40B3461C"/>
    <w:rsid w:val="41E12475"/>
    <w:rsid w:val="41F36599"/>
    <w:rsid w:val="425C5EED"/>
    <w:rsid w:val="4475215D"/>
    <w:rsid w:val="44AC37CB"/>
    <w:rsid w:val="465316EE"/>
    <w:rsid w:val="46C2653A"/>
    <w:rsid w:val="46CD5F17"/>
    <w:rsid w:val="46F76C15"/>
    <w:rsid w:val="47623535"/>
    <w:rsid w:val="483D056E"/>
    <w:rsid w:val="4B4732F2"/>
    <w:rsid w:val="4B9E0BAE"/>
    <w:rsid w:val="4BE111CF"/>
    <w:rsid w:val="4D3248D1"/>
    <w:rsid w:val="4DF46F02"/>
    <w:rsid w:val="4E1C7BCA"/>
    <w:rsid w:val="4E23273D"/>
    <w:rsid w:val="4E2A19FE"/>
    <w:rsid w:val="4E8B592A"/>
    <w:rsid w:val="5144471C"/>
    <w:rsid w:val="51CA44D0"/>
    <w:rsid w:val="52016A0C"/>
    <w:rsid w:val="521E31BF"/>
    <w:rsid w:val="53732803"/>
    <w:rsid w:val="5445681C"/>
    <w:rsid w:val="54E21B59"/>
    <w:rsid w:val="55F63B99"/>
    <w:rsid w:val="576461D9"/>
    <w:rsid w:val="58D34BF9"/>
    <w:rsid w:val="593C3F2A"/>
    <w:rsid w:val="598D4786"/>
    <w:rsid w:val="59BB12F3"/>
    <w:rsid w:val="5A0B54BA"/>
    <w:rsid w:val="5A132EDD"/>
    <w:rsid w:val="5A2854B0"/>
    <w:rsid w:val="5AD563E4"/>
    <w:rsid w:val="5ADB6D32"/>
    <w:rsid w:val="5BBE331C"/>
    <w:rsid w:val="5E116A2B"/>
    <w:rsid w:val="5EAF46C2"/>
    <w:rsid w:val="5EE50BC0"/>
    <w:rsid w:val="5F304919"/>
    <w:rsid w:val="5FCF6BF0"/>
    <w:rsid w:val="609D79A4"/>
    <w:rsid w:val="60BB7E2A"/>
    <w:rsid w:val="6109328C"/>
    <w:rsid w:val="612B239E"/>
    <w:rsid w:val="623C143F"/>
    <w:rsid w:val="62A019CE"/>
    <w:rsid w:val="62E3579C"/>
    <w:rsid w:val="644952F5"/>
    <w:rsid w:val="651D40D0"/>
    <w:rsid w:val="6703077D"/>
    <w:rsid w:val="679C6136"/>
    <w:rsid w:val="68152516"/>
    <w:rsid w:val="698B1E19"/>
    <w:rsid w:val="6CC3509F"/>
    <w:rsid w:val="6F2512C7"/>
    <w:rsid w:val="6F4158DC"/>
    <w:rsid w:val="6F6F4C02"/>
    <w:rsid w:val="708446DD"/>
    <w:rsid w:val="7375588F"/>
    <w:rsid w:val="73E5637C"/>
    <w:rsid w:val="75006CB2"/>
    <w:rsid w:val="7516167C"/>
    <w:rsid w:val="75F30136"/>
    <w:rsid w:val="76017E90"/>
    <w:rsid w:val="79AC0800"/>
    <w:rsid w:val="7BE007E5"/>
    <w:rsid w:val="7F4A4BC8"/>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头"/>
    <w:basedOn w:val="3"/>
    <w:next w:val="1"/>
    <w:qFormat/>
    <w:uiPriority w:val="0"/>
    <w:pPr>
      <w:jc w:val="center"/>
    </w:pPr>
    <w:rPr>
      <w:rFonts w:ascii="黑体" w:eastAsia="黑体"/>
      <w:kern w:val="0"/>
    </w:rPr>
  </w:style>
  <w:style w:type="paragraph" w:styleId="3">
    <w:name w:val="Body Text First Indent"/>
    <w:basedOn w:val="4"/>
    <w:next w:val="5"/>
    <w:unhideWhenUsed/>
    <w:qFormat/>
    <w:uiPriority w:val="0"/>
    <w:pPr>
      <w:widowControl w:val="0"/>
      <w:kinsoku/>
      <w:autoSpaceDE/>
      <w:autoSpaceDN/>
      <w:spacing w:after="120" w:line="360" w:lineRule="auto"/>
      <w:ind w:firstLine="420" w:firstLineChars="100"/>
      <w:jc w:val="both"/>
      <w:textAlignment w:val="auto"/>
    </w:pPr>
    <w:rPr>
      <w:rFonts w:ascii="Times New Roman" w:hAnsi="Times New Roman" w:cs="Times New Roman"/>
      <w:color w:val="auto"/>
      <w:kern w:val="2"/>
      <w:sz w:val="24"/>
      <w:szCs w:val="24"/>
    </w:rPr>
  </w:style>
  <w:style w:type="paragraph" w:styleId="4">
    <w:name w:val="Body Text"/>
    <w:basedOn w:val="1"/>
    <w:qFormat/>
    <w:uiPriority w:val="0"/>
    <w:rPr>
      <w:rFonts w:eastAsia="华文中宋"/>
      <w:b/>
      <w:bCs/>
      <w:w w:val="90"/>
      <w:sz w:val="44"/>
    </w:rPr>
  </w:style>
  <w:style w:type="paragraph" w:styleId="5">
    <w:name w:val="Body Text First Indent 2"/>
    <w:basedOn w:val="6"/>
    <w:next w:val="1"/>
    <w:qFormat/>
    <w:uiPriority w:val="0"/>
    <w:pPr>
      <w:widowControl/>
      <w:ind w:firstLine="420" w:firstLineChars="200"/>
      <w:jc w:val="left"/>
    </w:pPr>
    <w:rPr>
      <w:rFonts w:ascii="宋体" w:hAnsi="宋体" w:cs="宋体"/>
      <w:sz w:val="24"/>
      <w:szCs w:val="24"/>
    </w:rPr>
  </w:style>
  <w:style w:type="paragraph" w:styleId="6">
    <w:name w:val="Body Text Indent"/>
    <w:basedOn w:val="1"/>
    <w:next w:val="4"/>
    <w:unhideWhenUsed/>
    <w:qFormat/>
    <w:uiPriority w:val="99"/>
    <w:pPr>
      <w:spacing w:after="120"/>
      <w:ind w:left="420" w:leftChars="200"/>
    </w:pPr>
  </w:style>
  <w:style w:type="paragraph" w:styleId="7">
    <w:name w:val="index 5"/>
    <w:basedOn w:val="1"/>
    <w:next w:val="1"/>
    <w:qFormat/>
    <w:uiPriority w:val="0"/>
    <w:pPr>
      <w:ind w:left="800" w:leftChars="800"/>
    </w:p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List"/>
    <w:basedOn w:val="1"/>
    <w:qFormat/>
    <w:uiPriority w:val="0"/>
    <w:pPr>
      <w:ind w:left="200" w:hanging="200" w:hangingChars="200"/>
    </w:pPr>
  </w:style>
  <w:style w:type="paragraph" w:styleId="10">
    <w:name w:val="footnote text"/>
    <w:basedOn w:val="1"/>
    <w:next w:val="7"/>
    <w:unhideWhenUsed/>
    <w:qFormat/>
    <w:uiPriority w:val="99"/>
    <w:pPr>
      <w:snapToGrid w:val="0"/>
      <w:jc w:val="left"/>
    </w:pPr>
    <w:rPr>
      <w:rFonts w:ascii="Calibri" w:hAnsi="Calibri" w:eastAsia="仿宋" w:cs="Times New Roman"/>
      <w:sz w:val="18"/>
      <w:szCs w:val="18"/>
    </w:rPr>
  </w:style>
  <w:style w:type="paragraph" w:styleId="11">
    <w:name w:val="Body Text 2"/>
    <w:basedOn w:val="1"/>
    <w:unhideWhenUsed/>
    <w:qFormat/>
    <w:uiPriority w:val="99"/>
    <w:pPr>
      <w:spacing w:after="120" w:line="480" w:lineRule="auto"/>
    </w:pPr>
  </w:style>
  <w:style w:type="paragraph" w:customStyle="1" w:styleId="14">
    <w:name w:val="Default"/>
    <w:basedOn w:val="1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6">
    <w:name w:val="纯文本1"/>
    <w:basedOn w:val="1"/>
    <w:qFormat/>
    <w:uiPriority w:val="0"/>
    <w:pPr>
      <w:adjustRightInd w:val="0"/>
      <w:textAlignment w:val="baseline"/>
    </w:pPr>
    <w:rPr>
      <w:rFonts w:ascii="宋体" w:hAnsi="Courier New"/>
      <w:szCs w:val="20"/>
    </w:rPr>
  </w:style>
  <w:style w:type="paragraph" w:customStyle="1" w:styleId="17">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2754</Words>
  <Characters>2983</Characters>
  <Lines>0</Lines>
  <Paragraphs>0</Paragraphs>
  <TotalTime>12</TotalTime>
  <ScaleCrop>false</ScaleCrop>
  <LinksUpToDate>false</LinksUpToDate>
  <CharactersWithSpaces>3033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2025-06-11T04:31:15Z</cp:lastPrinted>
  <dcterms:modified xsi:type="dcterms:W3CDTF">2025-06-11T04:41:45Z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066EE89A21044518B222838600324891_13</vt:lpwstr>
  </property>
  <property fmtid="{D5CDD505-2E9C-101B-9397-08002B2CF9AE}" pid="4" name="KSOTemplateDocerSaveRecord">
    <vt:lpwstr>eyJoZGlkIjoiODBjNzYxYmIzOWJkMDlmNzJmZjdjMmNkNDkzMGYxZDkiLCJ1c2VySWQiOiI1NTE5NjI2NTYifQ==</vt:lpwstr>
  </property>
</Properties>
</file>