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E394B">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60852BAE">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28</w:t>
      </w:r>
      <w:r>
        <w:rPr>
          <w:rFonts w:hint="default" w:ascii="Times New Roman" w:hAnsi="Times New Roman" w:eastAsia="仿宋_GB2312" w:cs="Times New Roman"/>
          <w:snapToGrid w:val="0"/>
          <w:color w:val="auto"/>
          <w:kern w:val="0"/>
          <w:szCs w:val="32"/>
          <w:highlight w:val="none"/>
        </w:rPr>
        <w:t>号</w:t>
      </w:r>
    </w:p>
    <w:p w14:paraId="7E66B2A4">
      <w:pPr>
        <w:spacing w:line="600" w:lineRule="exact"/>
        <w:rPr>
          <w:rFonts w:hint="default" w:ascii="Times New Roman" w:hAnsi="Times New Roman" w:eastAsia="仿宋_GB2312" w:cs="Times New Roman"/>
          <w:snapToGrid w:val="0"/>
          <w:color w:val="auto"/>
          <w:kern w:val="0"/>
          <w:sz w:val="30"/>
          <w:highlight w:val="none"/>
        </w:rPr>
      </w:pPr>
    </w:p>
    <w:p w14:paraId="1783F7EB">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于克拉玛依苏通精细化工有限公司酸碱回收</w:t>
      </w:r>
    </w:p>
    <w:p w14:paraId="6A46747D">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利用项目</w:t>
      </w:r>
      <w:r>
        <w:rPr>
          <w:rFonts w:hint="eastAsia" w:ascii="方正小标宋简体" w:hAnsi="方正小标宋简体" w:eastAsia="方正小标宋简体" w:cs="方正小标宋简体"/>
          <w:color w:val="auto"/>
          <w:sz w:val="44"/>
          <w:szCs w:val="44"/>
          <w:highlight w:val="none"/>
          <w:lang w:val="zh-CN" w:eastAsia="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019C59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6A9256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zh-CN"/>
        </w:rPr>
        <w:t>克拉玛依苏通精细化工有限公司</w:t>
      </w:r>
      <w:r>
        <w:rPr>
          <w:rFonts w:hint="default" w:ascii="Times New Roman" w:hAnsi="Times New Roman" w:eastAsia="仿宋_GB2312" w:cs="Times New Roman"/>
          <w:bCs/>
          <w:color w:val="auto"/>
          <w:szCs w:val="32"/>
          <w:highlight w:val="none"/>
        </w:rPr>
        <w:t>：</w:t>
      </w:r>
    </w:p>
    <w:p w14:paraId="15084E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克拉玛依苏通精细化工有限公司酸碱回收利用项目</w:t>
      </w:r>
      <w:r>
        <w:rPr>
          <w:rFonts w:hint="default" w:ascii="Times New Roman" w:hAnsi="Times New Roman" w:eastAsia="仿宋_GB2312" w:cs="Times New Roman"/>
          <w:bCs/>
          <w:color w:val="auto"/>
          <w:szCs w:val="32"/>
          <w:highlight w:val="none"/>
          <w:lang w:val="zh-CN" w:eastAsia="zh-CN"/>
        </w:rPr>
        <w:t>环境影响报告书</w:t>
      </w:r>
      <w:r>
        <w:rPr>
          <w:rFonts w:hint="default" w:ascii="Times New Roman" w:hAnsi="Times New Roman" w:eastAsia="仿宋_GB2312" w:cs="Times New Roman"/>
          <w:bCs/>
          <w:color w:val="auto"/>
          <w:szCs w:val="32"/>
          <w:highlight w:val="none"/>
        </w:rPr>
        <w:t>的请示》收悉。经研究，批复如下：</w:t>
      </w:r>
    </w:p>
    <w:p w14:paraId="576607A7">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lang w:val="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胡杨河经济技术开发区南园区</w:t>
      </w:r>
      <w:r>
        <w:rPr>
          <w:rFonts w:hint="default" w:ascii="Times New Roman" w:hAnsi="Times New Roman" w:eastAsia="仿宋_GB2312" w:cs="Times New Roman"/>
          <w:color w:val="auto"/>
          <w:szCs w:val="32"/>
          <w:highlight w:val="none"/>
        </w:rPr>
        <w:t>，项目中心地理位置坐标为</w:t>
      </w:r>
      <w:r>
        <w:rPr>
          <w:rFonts w:hint="default" w:ascii="Times New Roman" w:hAnsi="Times New Roman" w:eastAsia="仿宋_GB2312" w:cs="Times New Roman"/>
          <w:color w:val="auto"/>
          <w:szCs w:val="32"/>
          <w:highlight w:val="none"/>
          <w:lang w:eastAsia="zh-CN"/>
        </w:rPr>
        <w:t>北纬44°</w:t>
      </w:r>
      <w:r>
        <w:rPr>
          <w:rFonts w:hint="default" w:ascii="Times New Roman" w:hAnsi="Times New Roman" w:eastAsia="仿宋_GB2312" w:cs="Times New Roman"/>
          <w:color w:val="auto"/>
          <w:szCs w:val="32"/>
          <w:highlight w:val="none"/>
          <w:lang w:val="en-US" w:eastAsia="zh-CN"/>
        </w:rPr>
        <w:t>50</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47.500</w:t>
      </w:r>
      <w:r>
        <w:rPr>
          <w:rFonts w:hint="default" w:ascii="Times New Roman" w:hAnsi="Times New Roman" w:eastAsia="仿宋_GB2312" w:cs="Times New Roman"/>
          <w:color w:val="auto"/>
          <w:szCs w:val="32"/>
          <w:highlight w:val="none"/>
          <w:lang w:eastAsia="zh-CN"/>
        </w:rPr>
        <w:t>"，东经8</w:t>
      </w:r>
      <w:r>
        <w:rPr>
          <w:rFonts w:hint="default" w:ascii="Times New Roman" w:hAnsi="Times New Roman" w:eastAsia="仿宋_GB2312" w:cs="Times New Roman"/>
          <w:color w:val="auto"/>
          <w:szCs w:val="32"/>
          <w:highlight w:val="none"/>
          <w:lang w:val="en-US" w:eastAsia="zh-CN"/>
        </w:rPr>
        <w:t>4</w:t>
      </w:r>
      <w:r>
        <w:rPr>
          <w:rFonts w:hint="default" w:ascii="Times New Roman" w:hAnsi="Times New Roman" w:eastAsia="仿宋_GB2312" w:cs="Times New Roman"/>
          <w:color w:val="auto"/>
          <w:szCs w:val="32"/>
          <w:highlight w:val="none"/>
          <w:lang w:eastAsia="zh-CN"/>
        </w:rPr>
        <w:t>°51'</w:t>
      </w:r>
      <w:r>
        <w:rPr>
          <w:rFonts w:hint="default" w:ascii="Times New Roman" w:hAnsi="Times New Roman" w:eastAsia="仿宋_GB2312" w:cs="Times New Roman"/>
          <w:color w:val="auto"/>
          <w:szCs w:val="32"/>
          <w:highlight w:val="none"/>
          <w:lang w:val="en-US" w:eastAsia="zh-CN"/>
        </w:rPr>
        <w:t>59</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030</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。项目新建</w:t>
      </w:r>
      <w:r>
        <w:rPr>
          <w:rFonts w:hint="default" w:ascii="Times New Roman" w:hAnsi="Times New Roman" w:eastAsia="仿宋_GB2312" w:cs="Times New Roman"/>
          <w:color w:val="auto"/>
          <w:szCs w:val="32"/>
          <w:highlight w:val="none"/>
          <w:lang w:val="en-US" w:eastAsia="zh-CN"/>
        </w:rPr>
        <w:t>1条废碱液处理生产线和1条废酸液处理生产线。项目总投资3500万元，其中环保投资为255万元，占总投资的比例为7.29%。</w:t>
      </w:r>
    </w:p>
    <w:p w14:paraId="0E9A18AB">
      <w:pPr>
        <w:keepNext w:val="0"/>
        <w:keepLines w:val="0"/>
        <w:pageBreakBefore w:val="0"/>
        <w:widowControl w:val="0"/>
        <w:numPr>
          <w:ilvl w:val="0"/>
          <w:numId w:val="0"/>
        </w:numPr>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138113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0957C5C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0"/>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w:t>
      </w:r>
      <w:r>
        <w:rPr>
          <w:rFonts w:hint="default" w:ascii="Times New Roman" w:hAnsi="Times New Roman" w:eastAsia="仿宋_GB2312" w:cs="Times New Roman"/>
          <w:bCs/>
          <w:color w:val="auto"/>
          <w:szCs w:val="32"/>
          <w:highlight w:val="none"/>
          <w:lang w:val="en-US" w:eastAsia="zh-CN"/>
        </w:rPr>
        <w:t>废碱工序产生的</w:t>
      </w:r>
      <w:r>
        <w:rPr>
          <w:rFonts w:hint="default" w:ascii="Times New Roman" w:hAnsi="Times New Roman" w:eastAsia="仿宋_GB2312" w:cs="Times New Roman"/>
          <w:bCs/>
          <w:color w:val="auto"/>
          <w:szCs w:val="32"/>
          <w:highlight w:val="none"/>
        </w:rPr>
        <w:t>搅拌釜废气、配置釜废气、沉淀槽废气、离心机废气、切片废气</w:t>
      </w:r>
      <w:r>
        <w:rPr>
          <w:rFonts w:hint="default" w:ascii="Times New Roman" w:hAnsi="Times New Roman" w:eastAsia="仿宋_GB2312" w:cs="Times New Roman"/>
          <w:bCs/>
          <w:color w:val="auto"/>
          <w:szCs w:val="32"/>
          <w:highlight w:val="none"/>
          <w:lang w:val="en-US" w:eastAsia="zh-CN"/>
        </w:rPr>
        <w:t>经收集通过</w:t>
      </w:r>
      <w:r>
        <w:rPr>
          <w:rFonts w:hint="default" w:ascii="Times New Roman" w:hAnsi="Times New Roman" w:eastAsia="仿宋_GB2312" w:cs="Times New Roman"/>
          <w:bCs/>
          <w:color w:val="auto"/>
          <w:szCs w:val="32"/>
          <w:highlight w:val="none"/>
        </w:rPr>
        <w:t>五级碱洗塔处理后</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通过</w:t>
      </w:r>
      <w:r>
        <w:rPr>
          <w:rFonts w:hint="default" w:ascii="Times New Roman" w:hAnsi="Times New Roman" w:eastAsia="仿宋_GB2312" w:cs="Times New Roman"/>
          <w:bCs/>
          <w:color w:val="auto"/>
          <w:szCs w:val="32"/>
          <w:highlight w:val="none"/>
        </w:rPr>
        <w:t>18.5</w:t>
      </w:r>
      <w:r>
        <w:rPr>
          <w:rFonts w:hint="default" w:ascii="Times New Roman" w:hAnsi="Times New Roman" w:eastAsia="仿宋_GB2312" w:cs="Times New Roman"/>
          <w:bCs/>
          <w:color w:val="auto"/>
          <w:szCs w:val="32"/>
          <w:highlight w:val="none"/>
          <w:lang w:val="en-US" w:eastAsia="zh-CN"/>
        </w:rPr>
        <w:t>米高排气筒排放，硫化氢排放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《无机化学工业污染物排放标准》（GB31573-2015）及修改单表4大气污染物特别排放限值要求</w:t>
      </w:r>
      <w:r>
        <w:rPr>
          <w:rFonts w:hint="default" w:ascii="Times New Roman" w:hAnsi="Times New Roman" w:eastAsia="仿宋_GB2312" w:cs="Times New Roman"/>
          <w:bCs/>
          <w:color w:val="auto"/>
          <w:szCs w:val="32"/>
          <w:highlight w:val="none"/>
          <w:lang w:val="en-US" w:eastAsia="zh-CN"/>
        </w:rPr>
        <w:t>；废酸工序产生的</w:t>
      </w:r>
      <w:r>
        <w:rPr>
          <w:rFonts w:hint="default" w:ascii="Times New Roman" w:hAnsi="Times New Roman" w:eastAsia="仿宋_GB2312" w:cs="Times New Roman"/>
          <w:bCs/>
          <w:color w:val="auto"/>
          <w:szCs w:val="32"/>
          <w:highlight w:val="none"/>
        </w:rPr>
        <w:t>搅拌釜废气、压滤废气、中和罐废气</w:t>
      </w:r>
      <w:r>
        <w:rPr>
          <w:rFonts w:hint="default" w:ascii="Times New Roman" w:hAnsi="Times New Roman" w:eastAsia="仿宋_GB2312" w:cs="Times New Roman"/>
          <w:bCs/>
          <w:color w:val="auto"/>
          <w:szCs w:val="32"/>
          <w:highlight w:val="none"/>
          <w:lang w:val="en-US" w:eastAsia="zh-CN"/>
        </w:rPr>
        <w:t>经“</w:t>
      </w:r>
      <w:r>
        <w:rPr>
          <w:rFonts w:hint="default" w:ascii="Times New Roman" w:hAnsi="Times New Roman" w:eastAsia="仿宋_GB2312" w:cs="Times New Roman"/>
          <w:bCs/>
          <w:color w:val="auto"/>
          <w:szCs w:val="32"/>
          <w:highlight w:val="none"/>
        </w:rPr>
        <w:t>一级水洗塔+二级碱洗塔</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处理后</w:t>
      </w:r>
      <w:r>
        <w:rPr>
          <w:rFonts w:hint="default" w:ascii="Times New Roman" w:hAnsi="Times New Roman" w:eastAsia="仿宋_GB2312" w:cs="Times New Roman"/>
          <w:bCs/>
          <w:color w:val="auto"/>
          <w:szCs w:val="32"/>
          <w:highlight w:val="none"/>
          <w:lang w:val="en-US" w:eastAsia="zh-CN"/>
        </w:rPr>
        <w:t>通过</w:t>
      </w:r>
      <w:r>
        <w:rPr>
          <w:rFonts w:hint="default" w:ascii="Times New Roman" w:hAnsi="Times New Roman" w:eastAsia="仿宋_GB2312" w:cs="Times New Roman"/>
          <w:bCs/>
          <w:color w:val="auto"/>
          <w:szCs w:val="32"/>
          <w:highlight w:val="none"/>
        </w:rPr>
        <w:t>15</w:t>
      </w:r>
      <w:r>
        <w:rPr>
          <w:rFonts w:hint="default" w:ascii="Times New Roman" w:hAnsi="Times New Roman" w:eastAsia="仿宋_GB2312" w:cs="Times New Roman"/>
          <w:bCs/>
          <w:color w:val="auto"/>
          <w:szCs w:val="32"/>
          <w:highlight w:val="none"/>
          <w:lang w:val="en-US" w:eastAsia="zh-CN"/>
        </w:rPr>
        <w:t>米</w:t>
      </w:r>
      <w:r>
        <w:rPr>
          <w:rFonts w:hint="default" w:ascii="Times New Roman" w:hAnsi="Times New Roman" w:eastAsia="仿宋_GB2312" w:cs="Times New Roman"/>
          <w:bCs/>
          <w:color w:val="auto"/>
          <w:szCs w:val="32"/>
          <w:highlight w:val="none"/>
        </w:rPr>
        <w:t>高排气筒</w:t>
      </w:r>
      <w:r>
        <w:rPr>
          <w:rFonts w:hint="default" w:ascii="Times New Roman" w:hAnsi="Times New Roman" w:eastAsia="仿宋_GB2312" w:cs="Times New Roman"/>
          <w:bCs/>
          <w:color w:val="auto"/>
          <w:szCs w:val="32"/>
          <w:highlight w:val="none"/>
          <w:lang w:val="en-US" w:eastAsia="zh-CN"/>
        </w:rPr>
        <w:t>排放</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硫酸雾排放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《无机化学工业污染物排放标准》（GB31573-2015）及修改单表4大气污染物特别排放限值要求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污水处理站废气</w:t>
      </w:r>
      <w:r>
        <w:rPr>
          <w:rFonts w:hint="default" w:ascii="Times New Roman" w:hAnsi="Times New Roman" w:eastAsia="仿宋_GB2312" w:cs="Times New Roman"/>
          <w:bCs/>
          <w:color w:val="auto"/>
          <w:szCs w:val="32"/>
          <w:highlight w:val="none"/>
          <w:lang w:val="en-US" w:eastAsia="zh-CN"/>
        </w:rPr>
        <w:t>经“</w:t>
      </w:r>
      <w:r>
        <w:rPr>
          <w:rFonts w:hint="default" w:ascii="Times New Roman" w:hAnsi="Times New Roman" w:eastAsia="仿宋_GB2312" w:cs="Times New Roman"/>
          <w:bCs/>
          <w:color w:val="auto"/>
          <w:szCs w:val="32"/>
          <w:highlight w:val="none"/>
        </w:rPr>
        <w:t>一级水洗+一级碱洗</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处理后</w:t>
      </w:r>
      <w:r>
        <w:rPr>
          <w:rFonts w:hint="default" w:ascii="Times New Roman" w:hAnsi="Times New Roman" w:eastAsia="仿宋_GB2312" w:cs="Times New Roman"/>
          <w:bCs/>
          <w:color w:val="auto"/>
          <w:szCs w:val="32"/>
          <w:highlight w:val="none"/>
          <w:lang w:val="en-US" w:eastAsia="zh-CN"/>
        </w:rPr>
        <w:t>通过</w:t>
      </w:r>
      <w:r>
        <w:rPr>
          <w:rFonts w:hint="default" w:ascii="Times New Roman" w:hAnsi="Times New Roman" w:eastAsia="仿宋_GB2312" w:cs="Times New Roman"/>
          <w:bCs/>
          <w:color w:val="auto"/>
          <w:szCs w:val="32"/>
          <w:highlight w:val="none"/>
        </w:rPr>
        <w:t>1</w:t>
      </w:r>
      <w:r>
        <w:rPr>
          <w:rFonts w:hint="default" w:ascii="Times New Roman" w:hAnsi="Times New Roman" w:eastAsia="仿宋_GB2312" w:cs="Times New Roman"/>
          <w:bCs/>
          <w:color w:val="auto"/>
          <w:szCs w:val="32"/>
          <w:highlight w:val="none"/>
          <w:lang w:val="en-US" w:eastAsia="zh-CN"/>
        </w:rPr>
        <w:t>6米</w:t>
      </w:r>
      <w:r>
        <w:rPr>
          <w:rFonts w:hint="default" w:ascii="Times New Roman" w:hAnsi="Times New Roman" w:eastAsia="仿宋_GB2312" w:cs="Times New Roman"/>
          <w:bCs/>
          <w:color w:val="auto"/>
          <w:szCs w:val="32"/>
          <w:highlight w:val="none"/>
        </w:rPr>
        <w:t>高排气筒</w:t>
      </w:r>
      <w:r>
        <w:rPr>
          <w:rFonts w:hint="default" w:ascii="Times New Roman" w:hAnsi="Times New Roman" w:eastAsia="仿宋_GB2312" w:cs="Times New Roman"/>
          <w:bCs/>
          <w:color w:val="auto"/>
          <w:szCs w:val="32"/>
          <w:highlight w:val="none"/>
          <w:lang w:val="en-US" w:eastAsia="zh-CN"/>
        </w:rPr>
        <w:t>排放，氨、硫化氢排放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《无机化学工业污染物排放标准》（GB31573-2015）及修改单表4大气污染物特别排放限值要求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臭气浓度排放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《恶臭污染物排放标准》（GB 14554-93）表2</w:t>
      </w:r>
      <w:r>
        <w:rPr>
          <w:rFonts w:hint="default" w:ascii="Times New Roman" w:hAnsi="Times New Roman" w:eastAsia="仿宋_GB2312" w:cs="Times New Roman"/>
          <w:bCs/>
          <w:color w:val="auto"/>
          <w:szCs w:val="32"/>
          <w:highlight w:val="none"/>
          <w:lang w:val="en-US" w:eastAsia="zh-CN"/>
        </w:rPr>
        <w:t>要求。</w:t>
      </w:r>
    </w:p>
    <w:p w14:paraId="15C37F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textAlignment w:val="auto"/>
        <w:outlineLvl w:val="0"/>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液体物料采用耐腐蚀密闭管道进行输送和投料；反应设备为密闭设备，投加液体物料过程、物料分散搅拌过程均密闭；液体物料储存于储罐区。氨、硫化氢、硫酸雾排放</w:t>
      </w:r>
      <w:r>
        <w:rPr>
          <w:rFonts w:hint="eastAsia" w:eastAsia="仿宋_GB2312" w:cs="Times New Roman"/>
          <w:bCs/>
          <w:color w:val="auto"/>
          <w:kern w:val="2"/>
          <w:sz w:val="32"/>
          <w:szCs w:val="32"/>
          <w:lang w:val="en-US" w:eastAsia="zh-CN" w:bidi="ar-SA"/>
        </w:rPr>
        <w:t>执行</w:t>
      </w:r>
      <w:r>
        <w:rPr>
          <w:rFonts w:hint="eastAsia" w:ascii="Times New Roman" w:hAnsi="Times New Roman" w:eastAsia="仿宋_GB2312" w:cs="Times New Roman"/>
          <w:bCs/>
          <w:color w:val="auto"/>
          <w:kern w:val="2"/>
          <w:sz w:val="32"/>
          <w:szCs w:val="32"/>
          <w:lang w:val="en-US" w:eastAsia="zh-CN" w:bidi="ar-SA"/>
        </w:rPr>
        <w:t>《无机化学工业污染物排放标准》（GB31573-2015）及修改单表5企业边界大气污染物排放限值要求。</w:t>
      </w:r>
    </w:p>
    <w:p w14:paraId="24B8AA12">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（二）</w:t>
      </w:r>
      <w:r>
        <w:rPr>
          <w:rFonts w:hint="eastAsia" w:eastAsia="仿宋_GB2312" w:cs="Times New Roman"/>
          <w:bCs/>
          <w:color w:val="auto"/>
          <w:szCs w:val="32"/>
          <w:highlight w:val="none"/>
          <w:lang w:val="en-US" w:eastAsia="zh-CN"/>
        </w:rPr>
        <w:t>严格</w:t>
      </w:r>
      <w:r>
        <w:rPr>
          <w:rFonts w:hint="default" w:ascii="Times New Roman" w:hAnsi="Times New Roman" w:eastAsia="仿宋_GB2312" w:cs="Times New Roman"/>
          <w:bCs/>
          <w:color w:val="auto"/>
          <w:szCs w:val="32"/>
          <w:highlight w:val="none"/>
        </w:rPr>
        <w:t>落实水污染防治措施。</w:t>
      </w:r>
      <w:r>
        <w:rPr>
          <w:rFonts w:hint="default" w:ascii="Times New Roman" w:hAnsi="Times New Roman" w:eastAsia="仿宋_GB2312" w:cs="Times New Roman"/>
          <w:bCs/>
          <w:color w:val="auto"/>
          <w:szCs w:val="32"/>
          <w:highlight w:val="none"/>
          <w:lang w:val="en-US" w:eastAsia="zh-CN"/>
        </w:rPr>
        <w:t>压滤机滤液、水洗废水、碱洗废水、地面冲洗废水和设备冲洗废水依托现有污水处理站处理满足《无机化学工业污染物排放标准》（GB31573-2015）及修改单表1中“间接排放”限值要求后，排入胡杨河经济技术开发区南园区污水处理厂处理。</w:t>
      </w:r>
    </w:p>
    <w:p w14:paraId="424F95ED">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lang w:val="en-US" w:eastAsia="zh-CN"/>
        </w:rPr>
        <w:t>严格落实噪声防治措施。优化厂区平面布置，优先选用低噪声设备，采取消声、隔声、减振等措施有效控制噪声污染，加强厂区内固定设备、运输工具、货物装卸等噪声源管理，确保厂界噪声满足《工业企业厂界环境噪声排放标准》（GB 12348-2008）中3类标准。</w:t>
      </w:r>
    </w:p>
    <w:p w14:paraId="66DB5720">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（四）</w:t>
      </w:r>
      <w:r>
        <w:rPr>
          <w:rFonts w:hint="default" w:ascii="Times New Roman" w:hAnsi="Times New Roman" w:eastAsia="仿宋_GB2312" w:cs="Times New Roman"/>
          <w:bCs/>
          <w:color w:val="auto"/>
          <w:szCs w:val="32"/>
          <w:highlight w:val="none"/>
        </w:rPr>
        <w:t>固体废物实施分类管理和妥善处理处置。废酸渣</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废碱渣</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污水处理站污泥</w:t>
      </w:r>
      <w:r>
        <w:rPr>
          <w:rFonts w:hint="default" w:ascii="Times New Roman" w:hAnsi="Times New Roman" w:eastAsia="仿宋_GB2312" w:cs="Times New Roman"/>
          <w:bCs/>
          <w:color w:val="auto"/>
          <w:szCs w:val="32"/>
          <w:highlight w:val="none"/>
          <w:lang w:val="en-US" w:eastAsia="zh-CN"/>
        </w:rPr>
        <w:t>、</w:t>
      </w:r>
      <w:r>
        <w:rPr>
          <w:rFonts w:hint="default" w:ascii="Times New Roman" w:hAnsi="Times New Roman" w:eastAsia="仿宋_GB2312" w:cs="Times New Roman"/>
          <w:bCs/>
          <w:color w:val="auto"/>
          <w:szCs w:val="32"/>
          <w:highlight w:val="none"/>
        </w:rPr>
        <w:t>废活性炭</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废润滑油、分析化验废液、化验室试验用品及包装物</w:t>
      </w:r>
      <w:r>
        <w:rPr>
          <w:rFonts w:hint="eastAsia" w:eastAsia="仿宋_GB2312" w:cs="Times New Roman"/>
          <w:bCs/>
          <w:color w:val="auto"/>
          <w:szCs w:val="32"/>
          <w:highlight w:val="none"/>
          <w:lang w:val="en-US" w:eastAsia="zh-CN"/>
        </w:rPr>
        <w:t>暂存于厂区危险废物贮存库内，定期交由有危险废物处置资质的单位进</w:t>
      </w:r>
      <w:bookmarkStart w:id="0" w:name="_GoBack"/>
      <w:bookmarkEnd w:id="0"/>
      <w:r>
        <w:rPr>
          <w:rFonts w:hint="eastAsia" w:eastAsia="仿宋_GB2312" w:cs="Times New Roman"/>
          <w:bCs/>
          <w:color w:val="auto"/>
          <w:szCs w:val="32"/>
          <w:highlight w:val="none"/>
          <w:lang w:val="en-US" w:eastAsia="zh-CN"/>
        </w:rPr>
        <w:t>行处置。</w:t>
      </w:r>
      <w:r>
        <w:rPr>
          <w:rFonts w:hint="eastAsia" w:ascii="Times New Roman" w:hAnsi="Times New Roman" w:eastAsia="仿宋_GB2312" w:cs="Times New Roman"/>
          <w:color w:val="auto"/>
          <w:kern w:val="2"/>
          <w:szCs w:val="32"/>
          <w:lang w:val="en-US" w:eastAsia="zh-CN"/>
        </w:rPr>
        <w:t>一般固体废物中化验室废弃物、废包装袋暂存一般固废暂存间，交由园区环卫部门处理</w:t>
      </w:r>
      <w:r>
        <w:rPr>
          <w:rFonts w:hint="eastAsia" w:eastAsia="仿宋_GB2312" w:cs="Times New Roman"/>
          <w:color w:val="auto"/>
          <w:kern w:val="2"/>
          <w:szCs w:val="32"/>
          <w:lang w:val="en-US" w:eastAsia="zh-CN"/>
        </w:rPr>
        <w:t>。</w:t>
      </w:r>
      <w:r>
        <w:rPr>
          <w:rFonts w:hint="default" w:ascii="Times New Roman" w:hAnsi="Times New Roman" w:eastAsia="仿宋_GB2312" w:cs="Times New Roman"/>
          <w:bCs/>
          <w:color w:val="auto"/>
          <w:szCs w:val="32"/>
          <w:highlight w:val="none"/>
          <w:lang w:val="en-US" w:eastAsia="zh-CN"/>
        </w:rPr>
        <w:t>危险废物的收集、贮存、运输须符合《危险废物收集 贮存 运输技术规范》（HJ2025-2012）及《危险废物贮存污染控制标准》（GB18597-2023）的相关要求。</w:t>
      </w:r>
      <w:r>
        <w:rPr>
          <w:rFonts w:hint="eastAsia" w:eastAsia="仿宋_GB2312" w:cs="Times New Roman"/>
          <w:color w:val="auto"/>
          <w:kern w:val="2"/>
          <w:szCs w:val="32"/>
          <w:lang w:val="en-US" w:eastAsia="zh-CN"/>
        </w:rPr>
        <w:t>生活垃圾由环卫部门统一清运。</w:t>
      </w:r>
    </w:p>
    <w:p w14:paraId="06209AD6">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五</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对生产车间、罐区、污水处理站、事故池、危险废物贮存库等区域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对仓库、化验室、一般固体废物暂存间</w:t>
      </w:r>
      <w:r>
        <w:rPr>
          <w:rFonts w:hint="default" w:ascii="Times New Roman" w:hAnsi="Times New Roman" w:eastAsia="仿宋_GB2312" w:cs="Times New Roman"/>
          <w:color w:val="auto"/>
          <w:kern w:val="2"/>
          <w:szCs w:val="32"/>
          <w:highlight w:val="none"/>
          <w:lang w:eastAsia="zh-CN"/>
        </w:rPr>
        <w:t>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1172D56E">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加强施工期环境保护，落实防沙治沙措施，防止施工废水、扬尘、噪声污染。</w:t>
      </w:r>
    </w:p>
    <w:p w14:paraId="21C8611F">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24F231E2">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367ABA6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36983DF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36131E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w:t>
      </w:r>
      <w:r>
        <w:rPr>
          <w:rFonts w:hint="eastAsia" w:eastAsia="仿宋_GB2312" w:cs="Times New Roman"/>
          <w:bCs/>
          <w:color w:val="auto"/>
          <w:szCs w:val="32"/>
          <w:highlight w:val="none"/>
          <w:lang w:val="en-US" w:eastAsia="zh-CN"/>
        </w:rPr>
        <w:t>重新</w:t>
      </w:r>
      <w:r>
        <w:rPr>
          <w:rFonts w:hint="default" w:ascii="Times New Roman" w:hAnsi="Times New Roman" w:eastAsia="仿宋_GB2312" w:cs="Times New Roman"/>
          <w:bCs/>
          <w:color w:val="auto"/>
          <w:szCs w:val="32"/>
          <w:highlight w:val="none"/>
        </w:rPr>
        <w:t>申领排污许可证。</w:t>
      </w:r>
    </w:p>
    <w:p w14:paraId="0212C1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6A63F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14:paraId="3F8719BC">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6E2FBCCF">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5167903C">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64D7B946">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11</w:t>
      </w:r>
      <w:r>
        <w:rPr>
          <w:rFonts w:hint="default" w:ascii="Times New Roman" w:hAnsi="Times New Roman" w:eastAsia="仿宋_GB2312" w:cs="Times New Roman"/>
          <w:bCs/>
          <w:color w:val="auto"/>
          <w:szCs w:val="32"/>
          <w:highlight w:val="none"/>
        </w:rPr>
        <w:t>日</w:t>
      </w:r>
    </w:p>
    <w:p w14:paraId="4D4B736C">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A76EB5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082DCA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1530F2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1C36A80C">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111FC2A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44ECE08D">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96F6C1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EA61C44">
      <w:pPr>
        <w:spacing w:line="400" w:lineRule="exact"/>
        <w:ind w:right="316" w:rightChars="100"/>
        <w:rPr>
          <w:rFonts w:hint="default" w:ascii="Times New Roman" w:hAnsi="Times New Roman" w:eastAsia="仿宋_GB2312" w:cs="Times New Roman"/>
          <w:color w:val="auto"/>
          <w:sz w:val="28"/>
          <w:szCs w:val="28"/>
        </w:rPr>
      </w:pPr>
    </w:p>
    <w:p w14:paraId="44FD2A8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EF8F76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B49FE91">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B7B687F">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A127A9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5973FB45">
      <w:pPr>
        <w:spacing w:line="400" w:lineRule="exact"/>
        <w:ind w:right="316" w:rightChars="100"/>
        <w:rPr>
          <w:rFonts w:hint="default" w:ascii="Times New Roman" w:hAnsi="Times New Roman" w:eastAsia="仿宋_GB2312" w:cs="Times New Roman"/>
          <w:color w:val="auto"/>
          <w:sz w:val="28"/>
          <w:szCs w:val="28"/>
        </w:rPr>
      </w:pPr>
    </w:p>
    <w:p w14:paraId="5D0E4C27">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058710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791719D">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46F75D0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15E7107F">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D10CA7B">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559BE00E">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5856206F">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DA0E8C1">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F979217">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99F598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2EEF3B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2040F7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1FDDEF85">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324015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FEC0A03">
      <w:pPr>
        <w:spacing w:line="400" w:lineRule="exact"/>
        <w:ind w:right="316" w:rightChars="100"/>
        <w:rPr>
          <w:rFonts w:hint="default" w:ascii="Times New Roman" w:hAnsi="Times New Roman" w:eastAsia="仿宋_GB2312" w:cs="Times New Roman"/>
          <w:color w:val="auto"/>
          <w:sz w:val="28"/>
          <w:szCs w:val="28"/>
        </w:rPr>
      </w:pPr>
    </w:p>
    <w:p w14:paraId="21B6A41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450D2567">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285100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05CFF2C">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805211E">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007E498">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819C8E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5E4DF3DE">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741697A">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19C7A31E">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E780987">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5B321C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42330C30">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57789CED">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4308018F">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78E62357">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5C2C75D">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568315"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85pt;height:0.85pt;width:438.45pt;z-index:251660288;mso-width-relative:page;mso-height-relative:page;" filled="f" stroked="t" coordsize="21600,21600" o:gfxdata="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hbN/TAAAABAEAAA8AAAAAAAAAAQAgAAAAIgAAAGRycy9kb3du&#10;cmV2LnhtbFBLAQIUABQAAAAIAIdO4kCJn9VuBAIAAAEEAAAOAAAAAAAAAAEAIAAAACIBAABkcnMv&#10;ZTJvRG9jLnhtbFBLBQYAAAAABgAGAFkBAACY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14:paraId="66A4461E">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6150">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3E986">
                          <w:pPr>
                            <w:pStyle w:val="13"/>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3EF3E986">
                    <w:pPr>
                      <w:pStyle w:val="13"/>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F3F2">
    <w:pPr>
      <w:pStyle w:val="13"/>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14:paraId="0475D362">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AC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7"/>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26b9c51-6e15-4a45-9ce6-093b6e674425"/>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3752488"/>
    <w:rsid w:val="046775AC"/>
    <w:rsid w:val="04B77D73"/>
    <w:rsid w:val="05207129"/>
    <w:rsid w:val="05737345"/>
    <w:rsid w:val="06281A38"/>
    <w:rsid w:val="06C71389"/>
    <w:rsid w:val="06CC7B06"/>
    <w:rsid w:val="07061550"/>
    <w:rsid w:val="07E14CFA"/>
    <w:rsid w:val="08EC6D80"/>
    <w:rsid w:val="0994708F"/>
    <w:rsid w:val="09E77F18"/>
    <w:rsid w:val="0BBC2B25"/>
    <w:rsid w:val="0C7E602C"/>
    <w:rsid w:val="0CE57E5A"/>
    <w:rsid w:val="0E130163"/>
    <w:rsid w:val="0E7B0A75"/>
    <w:rsid w:val="0F0F11BE"/>
    <w:rsid w:val="0FE304CE"/>
    <w:rsid w:val="128F6BA3"/>
    <w:rsid w:val="12C7072D"/>
    <w:rsid w:val="141E2CF7"/>
    <w:rsid w:val="15437E13"/>
    <w:rsid w:val="16B800EE"/>
    <w:rsid w:val="16F05D79"/>
    <w:rsid w:val="177121A0"/>
    <w:rsid w:val="17D3547E"/>
    <w:rsid w:val="18A773D4"/>
    <w:rsid w:val="18C9062F"/>
    <w:rsid w:val="19A10D50"/>
    <w:rsid w:val="1D8B05A9"/>
    <w:rsid w:val="1E460B4D"/>
    <w:rsid w:val="1E7948A6"/>
    <w:rsid w:val="1F7532BF"/>
    <w:rsid w:val="203531CA"/>
    <w:rsid w:val="205C4B20"/>
    <w:rsid w:val="20783D41"/>
    <w:rsid w:val="21162F81"/>
    <w:rsid w:val="21DD6837"/>
    <w:rsid w:val="232E3EB1"/>
    <w:rsid w:val="233D7B4C"/>
    <w:rsid w:val="23D22A8E"/>
    <w:rsid w:val="23DC56BB"/>
    <w:rsid w:val="23E10AC4"/>
    <w:rsid w:val="24057B5F"/>
    <w:rsid w:val="24696853"/>
    <w:rsid w:val="24765B0F"/>
    <w:rsid w:val="247C78BD"/>
    <w:rsid w:val="250B5DC7"/>
    <w:rsid w:val="256C6F12"/>
    <w:rsid w:val="25B11864"/>
    <w:rsid w:val="260C6FC7"/>
    <w:rsid w:val="266546C4"/>
    <w:rsid w:val="291034DE"/>
    <w:rsid w:val="2B066B68"/>
    <w:rsid w:val="2B665A9B"/>
    <w:rsid w:val="2BA03F96"/>
    <w:rsid w:val="2DFB7085"/>
    <w:rsid w:val="2F130EE6"/>
    <w:rsid w:val="2F1F6DA3"/>
    <w:rsid w:val="2F234AE5"/>
    <w:rsid w:val="2F2B3664"/>
    <w:rsid w:val="2F57653D"/>
    <w:rsid w:val="2FEE4162"/>
    <w:rsid w:val="301A5EE8"/>
    <w:rsid w:val="32C5491C"/>
    <w:rsid w:val="331F7372"/>
    <w:rsid w:val="358F67ED"/>
    <w:rsid w:val="371F1D45"/>
    <w:rsid w:val="37A75B88"/>
    <w:rsid w:val="38207142"/>
    <w:rsid w:val="38453BBB"/>
    <w:rsid w:val="396C7089"/>
    <w:rsid w:val="3A783EEF"/>
    <w:rsid w:val="3BAC6099"/>
    <w:rsid w:val="3C25479F"/>
    <w:rsid w:val="3D7076AF"/>
    <w:rsid w:val="3DD64512"/>
    <w:rsid w:val="3E322D18"/>
    <w:rsid w:val="3E900D0A"/>
    <w:rsid w:val="3EC1562C"/>
    <w:rsid w:val="3F0E35AF"/>
    <w:rsid w:val="3F4E158E"/>
    <w:rsid w:val="4419237E"/>
    <w:rsid w:val="45D948F4"/>
    <w:rsid w:val="46F24DE3"/>
    <w:rsid w:val="47587B93"/>
    <w:rsid w:val="47D76015"/>
    <w:rsid w:val="47E96F77"/>
    <w:rsid w:val="4812529F"/>
    <w:rsid w:val="48776584"/>
    <w:rsid w:val="4936052D"/>
    <w:rsid w:val="493F20C4"/>
    <w:rsid w:val="4970227E"/>
    <w:rsid w:val="4A1609FB"/>
    <w:rsid w:val="4AB55994"/>
    <w:rsid w:val="4B9F5BD0"/>
    <w:rsid w:val="4CBF17F2"/>
    <w:rsid w:val="4CCA458A"/>
    <w:rsid w:val="4F0E67C1"/>
    <w:rsid w:val="50C2181E"/>
    <w:rsid w:val="50CC6933"/>
    <w:rsid w:val="50CD705E"/>
    <w:rsid w:val="51134562"/>
    <w:rsid w:val="52E568E7"/>
    <w:rsid w:val="532B39C5"/>
    <w:rsid w:val="54231BA0"/>
    <w:rsid w:val="550F6DEF"/>
    <w:rsid w:val="562D5084"/>
    <w:rsid w:val="56B572CC"/>
    <w:rsid w:val="56E16569"/>
    <w:rsid w:val="596F60AE"/>
    <w:rsid w:val="5A605F4A"/>
    <w:rsid w:val="5A885A96"/>
    <w:rsid w:val="5B637E94"/>
    <w:rsid w:val="5B9C5154"/>
    <w:rsid w:val="5C1B42CB"/>
    <w:rsid w:val="5CB62246"/>
    <w:rsid w:val="5CBD2518"/>
    <w:rsid w:val="609006D2"/>
    <w:rsid w:val="63F87D72"/>
    <w:rsid w:val="64C86FBA"/>
    <w:rsid w:val="652E506F"/>
    <w:rsid w:val="654C1999"/>
    <w:rsid w:val="660E4EA0"/>
    <w:rsid w:val="66A60DD7"/>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21320EC"/>
    <w:rsid w:val="73323C81"/>
    <w:rsid w:val="734D62FA"/>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BA55F94"/>
    <w:rsid w:val="7C460A98"/>
    <w:rsid w:val="7CE3278B"/>
    <w:rsid w:val="7D155CF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7">
    <w:name w:val="heading 1"/>
    <w:basedOn w:val="1"/>
    <w:next w:val="1"/>
    <w:qFormat/>
    <w:uiPriority w:val="0"/>
    <w:pPr>
      <w:keepNext/>
      <w:keepLines/>
      <w:numPr>
        <w:ilvl w:val="0"/>
        <w:numId w:val="1"/>
      </w:numPr>
      <w:outlineLvl w:val="0"/>
    </w:pPr>
    <w:rPr>
      <w:b/>
      <w:kern w:val="0"/>
      <w:sz w:val="28"/>
      <w:szCs w:val="28"/>
    </w:rPr>
  </w:style>
  <w:style w:type="paragraph" w:styleId="8">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9">
    <w:name w:val="heading 3"/>
    <w:basedOn w:val="1"/>
    <w:next w:val="1"/>
    <w:qFormat/>
    <w:uiPriority w:val="0"/>
    <w:pPr>
      <w:keepNext/>
      <w:keepLines/>
      <w:spacing w:line="360" w:lineRule="auto"/>
      <w:ind w:firstLine="200" w:firstLineChars="200"/>
      <w:outlineLvl w:val="2"/>
    </w:pPr>
    <w:rPr>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表头"/>
    <w:basedOn w:val="3"/>
    <w:next w:val="1"/>
    <w:qFormat/>
    <w:uiPriority w:val="0"/>
    <w:pPr>
      <w:jc w:val="center"/>
    </w:pPr>
    <w:rPr>
      <w:rFonts w:ascii="黑体" w:eastAsia="黑体"/>
      <w:kern w:val="0"/>
    </w:rPr>
  </w:style>
  <w:style w:type="paragraph" w:styleId="3">
    <w:name w:val="Body Text First Indent"/>
    <w:basedOn w:val="4"/>
    <w:next w:val="5"/>
    <w:unhideWhenUsed/>
    <w:qFormat/>
    <w:uiPriority w:val="0"/>
    <w:pPr>
      <w:widowControl w:val="0"/>
      <w:kinsoku/>
      <w:autoSpaceDE/>
      <w:autoSpaceDN/>
      <w:spacing w:after="120" w:line="360" w:lineRule="auto"/>
      <w:ind w:firstLine="420" w:firstLineChars="100"/>
      <w:jc w:val="both"/>
      <w:textAlignment w:val="auto"/>
    </w:pPr>
    <w:rPr>
      <w:rFonts w:ascii="Times New Roman" w:hAnsi="Times New Roman" w:cs="Times New Roman"/>
      <w:color w:val="auto"/>
      <w:kern w:val="2"/>
      <w:sz w:val="24"/>
      <w:szCs w:val="24"/>
    </w:rPr>
  </w:style>
  <w:style w:type="paragraph" w:styleId="4">
    <w:name w:val="Body Text"/>
    <w:basedOn w:val="1"/>
    <w:qFormat/>
    <w:uiPriority w:val="0"/>
    <w:rPr>
      <w:rFonts w:eastAsia="华文中宋"/>
      <w:b/>
      <w:bCs/>
      <w:w w:val="90"/>
      <w:sz w:val="44"/>
    </w:rPr>
  </w:style>
  <w:style w:type="paragraph" w:styleId="5">
    <w:name w:val="Body Text First Indent 2"/>
    <w:basedOn w:val="6"/>
    <w:next w:val="1"/>
    <w:qFormat/>
    <w:uiPriority w:val="0"/>
    <w:pPr>
      <w:adjustRightInd w:val="0"/>
      <w:spacing w:line="360" w:lineRule="atLeast"/>
      <w:ind w:left="0" w:leftChars="0" w:firstLine="210"/>
      <w:textAlignment w:val="baseline"/>
    </w:pPr>
    <w:rPr>
      <w:sz w:val="24"/>
    </w:rPr>
  </w:style>
  <w:style w:type="paragraph" w:styleId="6">
    <w:name w:val="Body Text Indent"/>
    <w:basedOn w:val="1"/>
    <w:next w:val="4"/>
    <w:qFormat/>
    <w:uiPriority w:val="0"/>
    <w:pPr>
      <w:spacing w:after="120"/>
      <w:ind w:left="420" w:leftChars="200"/>
    </w:pPr>
  </w:style>
  <w:style w:type="paragraph" w:styleId="10">
    <w:name w:val="Normal Indent"/>
    <w:basedOn w:val="1"/>
    <w:qFormat/>
    <w:uiPriority w:val="0"/>
    <w:pPr>
      <w:ind w:firstLine="420" w:firstLineChars="200"/>
    </w:pPr>
    <w:rPr>
      <w:rFonts w:ascii="宋体" w:hAnsi="宋体"/>
    </w:rPr>
  </w:style>
  <w:style w:type="paragraph" w:styleId="11">
    <w:name w:val="index 5"/>
    <w:basedOn w:val="1"/>
    <w:next w:val="1"/>
    <w:qFormat/>
    <w:uiPriority w:val="0"/>
    <w:pPr>
      <w:ind w:left="800" w:leftChars="800"/>
    </w:pPr>
  </w:style>
  <w:style w:type="paragraph" w:styleId="12">
    <w:name w:val="Block Text"/>
    <w:basedOn w:val="1"/>
    <w:qFormat/>
    <w:uiPriority w:val="99"/>
    <w:pPr>
      <w:spacing w:line="480" w:lineRule="exact"/>
      <w:ind w:left="-125" w:right="-56" w:firstLine="570"/>
    </w:pPr>
    <w:rPr>
      <w:sz w:val="28"/>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footnote text"/>
    <w:basedOn w:val="1"/>
    <w:next w:val="11"/>
    <w:unhideWhenUsed/>
    <w:qFormat/>
    <w:uiPriority w:val="99"/>
    <w:pPr>
      <w:snapToGrid w:val="0"/>
      <w:jc w:val="left"/>
    </w:pPr>
    <w:rPr>
      <w:rFonts w:ascii="Calibri" w:hAnsi="Calibri" w:eastAsia="仿宋" w:cs="Times New Roman"/>
      <w:sz w:val="18"/>
      <w:szCs w:val="18"/>
    </w:rPr>
  </w:style>
  <w:style w:type="paragraph" w:styleId="16">
    <w:name w:val="Body Text 2"/>
    <w:basedOn w:val="1"/>
    <w:unhideWhenUsed/>
    <w:qFormat/>
    <w:uiPriority w:val="99"/>
    <w:pPr>
      <w:spacing w:after="120" w:line="480" w:lineRule="auto"/>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page number"/>
    <w:basedOn w:val="19"/>
    <w:qFormat/>
    <w:uiPriority w:val="0"/>
  </w:style>
  <w:style w:type="paragraph" w:customStyle="1" w:styleId="2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22">
    <w:name w:val="样式 首行缩进:  2 字符1"/>
    <w:basedOn w:val="1"/>
    <w:qFormat/>
    <w:uiPriority w:val="0"/>
    <w:pPr>
      <w:adjustRightInd w:val="0"/>
      <w:snapToGrid w:val="0"/>
      <w:ind w:firstLine="480"/>
    </w:pPr>
    <w:rPr>
      <w:rFonts w:cs="宋体"/>
      <w:szCs w:val="20"/>
    </w:rPr>
  </w:style>
  <w:style w:type="paragraph" w:customStyle="1" w:styleId="23">
    <w:name w:val="Default"/>
    <w:basedOn w:val="24"/>
    <w:next w:val="1"/>
    <w:unhideWhenUsed/>
    <w:qFormat/>
    <w:uiPriority w:val="0"/>
    <w:pPr>
      <w:tabs>
        <w:tab w:val="left" w:pos="2760"/>
      </w:tabs>
      <w:autoSpaceDE w:val="0"/>
      <w:autoSpaceDN w:val="0"/>
    </w:pPr>
    <w:rPr>
      <w:rFonts w:hAnsi="宋体" w:eastAsia="宋体"/>
      <w:color w:val="000000"/>
      <w:sz w:val="24"/>
    </w:rPr>
  </w:style>
  <w:style w:type="paragraph" w:customStyle="1" w:styleId="24">
    <w:name w:val="纯文本1"/>
    <w:basedOn w:val="1"/>
    <w:qFormat/>
    <w:uiPriority w:val="0"/>
    <w:pPr>
      <w:tabs>
        <w:tab w:val="left" w:pos="2760"/>
      </w:tabs>
      <w:adjustRightInd w:val="0"/>
    </w:pPr>
    <w:rPr>
      <w:rFonts w:ascii="宋体" w:hAnsi="Courier New"/>
    </w:rPr>
  </w:style>
  <w:style w:type="paragraph" w:customStyle="1" w:styleId="25">
    <w:name w:val="Char"/>
    <w:basedOn w:val="1"/>
    <w:qFormat/>
    <w:uiPriority w:val="0"/>
    <w:rPr>
      <w:rFonts w:cs="宋体"/>
      <w:sz w:val="28"/>
    </w:rPr>
  </w:style>
  <w:style w:type="paragraph" w:customStyle="1" w:styleId="26">
    <w:name w:val="YJ正文*"/>
    <w:basedOn w:val="1"/>
    <w:qFormat/>
    <w:uiPriority w:val="0"/>
    <w:pPr>
      <w:spacing w:line="500" w:lineRule="exact"/>
      <w:ind w:firstLine="200" w:firstLineChars="200"/>
      <w:jc w:val="both"/>
    </w:pPr>
    <w:rPr>
      <w:rFonts w:ascii="等线" w:hAnsi="等线" w:eastAsia="宋体"/>
      <w:sz w:val="24"/>
    </w:rPr>
  </w:style>
  <w:style w:type="paragraph" w:customStyle="1" w:styleId="27">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2261</Words>
  <Characters>2410</Characters>
  <Lines>11</Lines>
  <Paragraphs>3</Paragraphs>
  <TotalTime>0</TotalTime>
  <ScaleCrop>false</ScaleCrop>
  <LinksUpToDate>false</LinksUpToDate>
  <CharactersWithSpaces>2452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2025-06-11T11:37:04Z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E4B4A26F9B1846019F0FAF6290E6F27E_13</vt:lpwstr>
  </property>
  <property fmtid="{D5CDD505-2E9C-101B-9397-08002B2CF9AE}" pid="4" name="KSOTemplateDocerSaveRecord">
    <vt:lpwstr>eyJoZGlkIjoiODBjNzYxYmIzOWJkMDlmNzJmZjdjMmNkNDkzMGYxZDkiLCJ1c2VySWQiOiI1NTE5NjI2NTYifQ==</vt:lpwstr>
  </property>
</Properties>
</file>