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Calibri" w:hAnsi="Calibri" w:cs="Calibri"/>
          <w:b w:val="0"/>
          <w:bCs w:val="0"/>
          <w:i w:val="0"/>
          <w:iCs w:val="0"/>
          <w:caps w:val="0"/>
          <w:color w:val="000000"/>
          <w:spacing w:val="0"/>
          <w:sz w:val="44"/>
          <w:szCs w:val="44"/>
        </w:rPr>
      </w:pPr>
      <w:r>
        <w:rPr>
          <w:rFonts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易制毒化学品购销和运输管理办法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Calibri" w:hAnsi="Calibri" w:cs="Calibri"/>
          <w:b w:val="0"/>
          <w:bCs w:val="0"/>
          <w:i w:val="0"/>
          <w:iCs w:val="0"/>
          <w:caps w:val="0"/>
          <w:color w:val="000000"/>
          <w:spacing w:val="0"/>
          <w:sz w:val="24"/>
          <w:szCs w:val="24"/>
        </w:rPr>
      </w:pPr>
      <w:r>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333333"/>
          <w:spacing w:val="0"/>
          <w:kern w:val="0"/>
          <w:sz w:val="32"/>
          <w:szCs w:val="32"/>
          <w:bdr w:val="none" w:color="auto" w:sz="0" w:space="0"/>
          <w:shd w:val="clear" w:fill="FFFFFF"/>
          <w:lang w:val="en-US" w:eastAsia="zh-CN" w:bidi="ar"/>
        </w:rPr>
      </w:pPr>
      <w:r>
        <w:rPr>
          <w:rFonts w:hint="eastAsia" w:ascii="黑体" w:hAnsi="黑体" w:eastAsia="黑体" w:cs="黑体"/>
          <w:b w:val="0"/>
          <w:bCs w:val="0"/>
          <w:i w:val="0"/>
          <w:iCs w:val="0"/>
          <w:caps w:val="0"/>
          <w:color w:val="333333"/>
          <w:spacing w:val="0"/>
          <w:kern w:val="0"/>
          <w:sz w:val="32"/>
          <w:szCs w:val="32"/>
          <w:bdr w:val="none" w:color="auto" w:sz="0" w:space="0"/>
          <w:shd w:val="clear" w:fill="FFFFFF"/>
          <w:lang w:val="en-US" w:eastAsia="zh-CN" w:bidi="ar"/>
        </w:rPr>
        <w:t>总　　则</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0" w:right="0" w:rightChars="0"/>
        <w:jc w:val="both"/>
        <w:textAlignment w:val="auto"/>
        <w:rPr>
          <w:rFonts w:hint="default"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r>
        <w:rPr>
          <w:rFonts w:hint="eastAsia" w:ascii="黑体" w:hAnsi="黑体" w:eastAsia="黑体" w:cs="黑体"/>
          <w:b w:val="0"/>
          <w:bCs w:val="0"/>
          <w:i w:val="0"/>
          <w:iCs w:val="0"/>
          <w:caps w:val="0"/>
          <w:color w:val="333333"/>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　第一条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为加强易制毒化学品管理，规范购销和运输易制毒化学品行为，防止易制毒化学品被用于制造毒品，维护经济和社会秩序，根据《易制毒化学品管理条例》，制定本办法。</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第二条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公安部是全国易制毒化学品购销、运输管理和监督检查的主管部门。</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县级以上地方人民政府公安机关负责本辖区内易制毒化学品购销、运输管理和监督检查工作。</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各省、自治区、直辖市和设区的市级人民政府公安机关禁毒部门应当设立易制毒化学品管理专门机构，县级人民政府公安机关应当设专门人员，负责易制毒化学品的购买、运输许可或者备案和监督检查工作。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黑体" w:hAnsi="黑体" w:eastAsia="黑体" w:cs="黑体"/>
          <w:b w:val="0"/>
          <w:bCs w:val="0"/>
          <w:i w:val="0"/>
          <w:iCs w:val="0"/>
          <w:caps w:val="0"/>
          <w:color w:val="333333"/>
          <w:spacing w:val="0"/>
          <w:kern w:val="0"/>
          <w:sz w:val="32"/>
          <w:szCs w:val="32"/>
          <w:shd w:val="clear" w:fill="FFFFFF"/>
          <w:lang w:val="en-US" w:eastAsia="zh-CN" w:bidi="ar"/>
        </w:rPr>
      </w:pPr>
      <w:r>
        <w:rPr>
          <w:rFonts w:hint="default" w:ascii="黑体" w:hAnsi="黑体" w:eastAsia="黑体" w:cs="黑体"/>
          <w:b w:val="0"/>
          <w:bCs w:val="0"/>
          <w:i w:val="0"/>
          <w:iCs w:val="0"/>
          <w:caps w:val="0"/>
          <w:color w:val="333333"/>
          <w:spacing w:val="0"/>
          <w:kern w:val="0"/>
          <w:sz w:val="32"/>
          <w:szCs w:val="32"/>
          <w:shd w:val="clear" w:fill="FFFFFF"/>
          <w:lang w:val="en-US" w:eastAsia="zh-CN" w:bidi="ar"/>
        </w:rPr>
        <w:t>第二章　购销管理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320" w:firstLineChars="10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第三条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第四条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个人不得购买第一类易制毒化学品和第二类易制毒化学品。</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禁止使用现金或者实物进行易制毒化学品交易，但是个人合法购买第一类中的药品类易制毒化学品药品制剂和第三类易制毒化学品的除外。</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第五条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申请购买第一类中的非药品类易制毒化学品和第二类、第三类易制毒化学品的，应当提交下列申请材料：</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（一）经营企业的营业执照（副本和复印件），其他组织的登记证书或者成立批准文件（原件和复印件），或者个人的身份证明（原件和复印件）；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（二）合法使用需要证明（原件）。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合法使用需要证明由购买单位或者个人出具，注明拟购买易制毒化学品的品种、数量和用途，并加盖购买单位印章或者个人签名。</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第六条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申请购买第一类中的非药品类易制毒化学品的，由申请人所在地的省级人民政府公安机关审批。负责审批的公安机关应当自收到申请之日起10日内，对申请人提交的申请材料进行审查。对符合规定的，发给购买许可证；不予许可的，应当书面说明理由。</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负责审批的公安机关对购买许可证的申请能够当场予以办理的，应当当场办理；对材料不齐备需要补充的，应当1次告知申请人需补充的内容；对提供材料不符合规定不予受理的，应当书面说明理由。</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第七条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公安机关审查第一类易制毒化学品购买许可申请材料时，根据需要，可以进行实地核查。遇有下列情形之一的，应当进行实地核查：</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（一）购买单位第一次申请的；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（二）购买单位提供的申请材料不符合要求的；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（三）对购买单位提供的申请材料有疑问的。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第八条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购买第二类、第三类易制毒化学品的，应当在购买前将所需购买的品种、数量，向所在地的县级人民政府公安机关备案。公安机关受理备案后，应当于当日出具购买备案证明。</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自用一次性购买5公斤以下且年用量50公斤以下高锰酸钾的，无须备案。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　第九条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易制毒化学品购买许可证一次使用有效，有效期1个月。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易制毒化学品购买备案证明一次使用有效，有效期1个月。对备案后1年内无违规行为的单位，可以发给多次使用有效的备案证明，有效期6个月。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对个人购买的，只办理一次使用有效的备案证明。</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第十条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经营单位销售第一类易制毒化学品时，应当查验购买许可证和经办人的身份证明。对委托代购的，还应当查验购买人持有的委托文书。</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委托文书应当载明委托人与被委托人双方情况、委托购买的品种、数量等事项。</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经营单位在查验无误、留存前两款规定的证明材料的复印件后，方可出售第一类易制毒化学品；发现可疑情况的，应当立即向当地公安机关报告。</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经营单位在查验购买方提供的许可证和身份证明时，对不能确定其真实性的，可以请当地公安机关协助核查。公安机关应当当场予以核查，对于不能当场核实的，应当于3日内将核查结果告知经营单位。</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　第十一条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经营单位应当建立易制毒化学品销售台账，如实记录销售的品种、数量、日期、购买方等情况。经营单位销售易制毒化学品时，还应当留存购买许可证或者购买备案证明以及购买经办人的身份证明的复印件。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销售台账和证明材料复印件应当保存2年备查。</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第十二条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经营单位应当将第一类易制毒化学品的销售情况于销售之日起5日内报当地县级人民政府公安机关备案，将第二类、第三类易制毒化学品的销售情况于30日内报当地县级人民政府公安机关备案。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备案的销售情况应当包括销售单位、地址，销售易制毒化学品的种类、数量等，并同时提交留存的购买方的证明材料复印件。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第十三条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第一类易制毒化学品的使用单位，应当建立使用台账，如实记录购进易制毒化学品的种类、数量、使用情况和库存等，并保存2年备查。</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333333"/>
          <w:spacing w:val="0"/>
          <w:kern w:val="0"/>
          <w:sz w:val="32"/>
          <w:szCs w:val="32"/>
          <w:shd w:val="clear" w:fill="FFFFFF"/>
          <w:lang w:val="en-US" w:eastAsia="zh-CN" w:bidi="ar"/>
        </w:rPr>
        <w:t>第十四条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购买、销售和使用易制毒化学品的单位，应当在易制毒化学品的出入库登记、易制毒化学品管理岗位责任分工以及企业从业人员的易制毒化学品知识培训等方面建立单位内部管理制度。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320" w:firstLineChars="10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第三章　运输管理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运输易制毒化学品，有下列情形之一的，应当申请运输许可证或者进行备案：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（一）跨设区的市级行政区域（直辖市为跨市界）运输的；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（二）在禁毒形势严峻的重点地区跨县级行政区域运输的。禁毒形势严峻的重点地区由公安部确定和调整，名单另行公布。</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运输第一类易制毒化学品的，应当向运出地的设区的市级人民政府公安机关申请运输许可证。</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运输第二类易制毒化学品的，应当向运出地县级人民政府公安机关申请运输许可证。</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运输第三类易制毒化学品的，应当向运出地县级人民政府公安机关备案。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　第十六条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第十七条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因治疗疾病需要，患者、患者近亲属或者患者委托的人凭医疗机构出具的医疗诊断书和本人的身份证明，可以随身携带第一类中的药品类易制毒化学品药品制剂，但是不得超过医用单张处方的最大剂量。</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第十八条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运输易制毒化学品，应当由货主向公安机关申请运输许可证或者进行备案。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申请易制毒化学品运输许可证或者进行备案，应当提交下列材料：</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（一）经营企业的营业执照（副本和复印件），其他组织的登记证书或者成立批准文件（原件和复印件），个人的身份证明（原件和复印件）；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（二）易制毒化学品购销合同（复印件）；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（三）经办人的身份证明（原件和复印件）。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　第十九条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负责审批的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负责审批的公安机关对运输许可申请能够当场予以办理的，应当当场办理；对材料不齐备需要补充的，应当一次告知申请人需补充的内容；对提供材料不符合规定不予受理的，应当书面说明理由。</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运输第三类易制毒化学品的，应当在运输前向运出地的县级人民政府公安机关备案。公安机关应当在收到备案材料的当日发给备案证明。</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第二十条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公安机关审查第一类易制毒化学品运输许可申请材料时，根据需要，可以进行实地核查。遇有下列情形之一的，应当进行实地核查：</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（一）申请人第一次申请的；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（二）提供的申请材料不符合要求的；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（三）对提供的申请材料有疑问的。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　第二十一条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对许可运输第一类易制毒化学品的，发给一次有效的运输许可证，有效期1个月。</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对许可运输第二类易制毒化学品的，发给3个月多次使用有效的运输许可证；对第三类易制毒化学品运输备案的，发给3个月多次使用有效的备案证明；对于领取运输许可证或者运输备案证明后6个月内按照规定运输并保证运输安全的，可以发给有效期12个月的运输许可证或者运输备案证明。</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第二十二条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承运人接受货主委托运输，对应当凭证运输的，应当查验货主提供的运输许可证或者备案证明，并查验所运货物与运输许可证或者备案证明载明的易制毒化学品的品种、数量等情况是否相符；不相符的，不得承运。</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承运人查验货主提供的运输许可证或者备案证明时，对不能确定其真实性的，可以请当地人民政府公安机关协助核查。公安机关应当当场予以核查，对于不能当场核实的，应当于3日内将核查结果告知承运人。</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第二十三条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运输易制毒化学品时，运输车辆应当在明显部位张贴易制毒化学品标识；属于危险化学品的，应当由有危险化学品运输资质的单位运输；应当凭证运输的，运输人员应当自启运起全程携带运输许可证或者备案证明。承运单位应当派人押运或者采取其他有效措施，防止易制毒化学品丢失、被盗、被抢。</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运输易制毒化学品时，还应当遵守国家有关货物运输的规定。</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第二十四条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公安机关在易制毒化学品运输过程中应当对运输情况与运输许可证或者备案证明所载内容是否相符等情况进行检查。交警、治安、禁毒、边防等部门应当在交通重点路段和边境地区等加强易制毒化学品运输的检查。</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第二十五条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易制毒化学品运出地与运入地公安机关应当建立情况通报制度。运出地负责审批或者备案的公安机关应当每季度末将办理的易制毒化学品运输许可或者备案情况通报运入地同级公安机关，运入地同级公安机关应当核查货物的实际运达情况后通报运出地公安机关。</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第四章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64"/>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64"/>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r>
        <w:rPr>
          <w:rFonts w:hint="default" w:ascii="黑体" w:hAnsi="黑体" w:eastAsia="黑体" w:cs="黑体"/>
          <w:b w:val="0"/>
          <w:bCs w:val="0"/>
          <w:i w:val="0"/>
          <w:iCs w:val="0"/>
          <w:caps w:val="0"/>
          <w:color w:val="auto"/>
          <w:spacing w:val="0"/>
          <w:kern w:val="0"/>
          <w:sz w:val="32"/>
          <w:szCs w:val="32"/>
          <w:shd w:val="clear" w:fill="FFFFFF"/>
          <w:lang w:val="en-US" w:eastAsia="zh-CN" w:bidi="ar"/>
        </w:rPr>
        <w:t>第二十六条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县级以上人民政府公安机关应当加强对易制毒化学品购销和运输等情况的监督检查，有关单位和个人应当积极配合。对发现非法购销和运输行为的，公安机关应当依法查处。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公安机关在进行易制毒化学品监督检查时，可以依法查看现场、查阅和复制有关资料、记录有关情况、扣押相关的证据材料和违法物品；必要时，可以临时查封有关场所。</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被检查的单位或者个人应当如实提供有关情况和材料、物品，不得拒绝或者隐匿。</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　第二十七条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公安机关应当对依法收缴、查获的易制毒化学品安全保管。对于可以回收的，应当予以回收；对于不能回收的，应当依照环境保护法律、行政法规的有关规定，交由有资质的单位予以销毁，防止造成环境污染和人身伤亡。对收缴、查获的第一类中的药品类易制毒化学品的，一律销毁。</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保管和销毁费用由易制毒化学品违法单位或者个人承担。违法单位或者个人无力承担的，该费用在回收所得中开支，或者在公安机关的禁毒经费中列支。</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　第二十八条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购买、销售和运输易制毒化学品的单位应当于每年3月31日前向所在地县级公安机关报告上年度的购买、销售和运输情况。公安机关发现可疑情况的，应当及时予以核对和检查，必要时可以进行实地核查。</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有条件的购买、销售和运输单位，可以与当地公安机关建立计算机联网，及时通报有关情况。</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第二十九条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易制毒化学品丢失、被盗、被抢的，发案单位应当立即向当地公安机关报告。接到报案的公安机关应当及时立案查处，并向上级公安机关报告。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64"/>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违反规定购买易制毒化学品，有下列情形之一的，公安机关应当没收非法购买的易制毒化学品，对购买方处非法购买易制毒化学品货值10倍以上20倍以下的罚款，货值的20倍不足1万元的，按1万元罚款；构成犯罪的，依法追究刑事责任：</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（一）未经许可或者备案擅自购买易制毒化学品的；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（二）使用他人的或者伪造、变造、失效的许可证或者备案证明购买易制毒化学品的。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第三十一条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违反规定销售易制毒化学品，有下列情形之一的，公安机关应当对销售单位处1万元以下罚款；有违法所得的，处3万元以下罚款，并对违法所得依法予以追缴；构成犯罪的，依法追究刑事责任：</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（一）向无购买许可证或者备案证明的单位或者个人销售易制毒化学品的；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（二）超出购买许可证或者备案证明的品种、数量销售易制毒化学品的。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第三十二条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货主违反规定运输易制毒化学品，有下列情形之一的，公安机关应当没收非法运输的易制毒化学品或者非法运输易制毒化学品的设备、工具；处非法运输易制毒化学品货值10倍以上20倍以下罚款，货值的20倍不足1万元的，按1万元罚款；有违法所得的，没收违法所得；构成犯罪的，依法追究刑事责任：</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（一）未经许可或者备案擅自运输易制毒化学品的；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（二）使用他人的或者伪造、变造、失效的许可证运输易制毒化学品的。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第三十三条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承运人违反规定运输易制毒化学品，有下列情形之一的，公安机关应当责令停运整改，处5000元以上5万元以下罚款：</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（一）与易制毒化学品运输许可证或者备案证明载明的品种、数量、运入地、货主及收货人、承运人等情况不符的；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（二）运输许可证种类不当的；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（三）运输人员未全程携带运输许可证或者备案证明的。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个人携带易制毒化学品不符合品种、数量规定的，公安机关应当没收易制毒化学品，处1000元以上5000元以下罚款。</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第三十四条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伪造申请材料骗取易制毒化学品购买、运输许可证或者备案证明的，公安机关应当处1万元罚款，并撤销许可证或者备案证明。</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使用以伪造的申请材料骗取的易制毒化学品购买、运输许可证或者备案证明购买、运输易制毒化学品的，分别按照第三十条第一项和第三十二条第一项的规定处罚。</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第三十五条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对具有第三十条、第三十二条和第三十四条规定违法行为的单位或个人，自作出行政处罚决定之日起3年内，公安机关可以停止受理其易制毒化学品购买或者运输许可申请。</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第三十六条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违反易制毒化学品管理规定，有下列行为之一的，公安机关应当给予警告，责令限期改正，处1万元以上5万元以下罚款；对违反规定购买的易制毒化学品予以没收；逾期不改正的，责令限期停产停业整顿；逾期整顿不合格的，吊销相应的许可证：</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（一）将易制毒化学品购买或运输许可证或者备案证明转借他人使用的；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（二）超出许可的品种、数量购买易制毒化学品的；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（三）销售、购买易制毒化学品的单位不记录或者不如实记录交易情况、不按规定保存交易记录或者不如实、不及时向公安机关备案销售情况的；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（四）易制毒化学品丢失、被盗、被抢后未及时报告，造成严重后果的；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（五）除个人合法购买第一类中的药品类易制毒化学品药品制剂以及第三类易制毒化学品外，使用现金或者实物进行易制毒化学品交易的；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（六）经营易制毒化学品的单位不如实或者不按时报告易制毒化学品年度经销和库存情况的。</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第三十七条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经营、购买、运输易制毒化学品的单位或者个人拒不接受公安机关监督检查的，公安机关应当责令其改正，对直接负责的主管人员以及其他直接责任人员给予警告；情节严重的，对单位处1万元以上5万元以下罚款，对直接负责的主管人员以及其他直接责任人员处1000元以上5000元以下罚款；有违反治安管理行为的，依法给予治安管理处罚；构成犯罪的，依法追究刑事责任。</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第三十八条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公安机关易制毒化学品管理工作人员在管理工作中有应当许可而不许可、不应当许可而滥许可，不依法受理备案，以及其他滥用职权、玩忽职守、徇私舞弊行为的，依法给予行政处分；构成犯罪的，依法追究刑事责任。</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第三十九条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公安机关实施本章处罚，同时应当由其他行政主管机关实施处罚的，应当通报其他行政机关处理。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pP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附　　则</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0" w:right="0" w:rightChars="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　第四十条</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本办法所称“经营单位”，是指经营易制毒化学品的经销单位和经销自产易制毒化学品的生产单位。</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　第四十一条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本办法所称“运输”，是指通过公路、铁路、水上和航空等各种运输途径，使用车、船、航空器等各种运输工具，以及人力、畜力携带、搬运等各种运输方式使易制毒化学品货物发生空间位置的移动。</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黑体" w:hAnsi="黑体" w:eastAsia="黑体" w:cs="黑体"/>
          <w:b w:val="0"/>
          <w:bCs w:val="0"/>
          <w:i w:val="0"/>
          <w:iCs w:val="0"/>
          <w:caps w:val="0"/>
          <w:color w:val="auto"/>
          <w:spacing w:val="0"/>
          <w:kern w:val="0"/>
          <w:sz w:val="32"/>
          <w:szCs w:val="32"/>
          <w:shd w:val="clear" w:fill="FFFFFF"/>
          <w:lang w:val="en-US" w:eastAsia="zh-CN" w:bidi="ar"/>
        </w:rPr>
        <w:t>第四十二条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易制毒化学品购买许可证和备案证明、运输许可证和备案证明、易制毒化学品管理专用印章由公安部统一规定式样并监制。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r>
        <w:rPr>
          <w:rFonts w:hint="eastAsia" w:ascii="黑体" w:hAnsi="黑体" w:eastAsia="黑体" w:cs="黑体"/>
          <w:b w:val="0"/>
          <w:bCs w:val="0"/>
          <w:i w:val="0"/>
          <w:iCs w:val="0"/>
          <w:caps w:val="0"/>
          <w:color w:val="333333"/>
          <w:spacing w:val="0"/>
          <w:kern w:val="0"/>
          <w:sz w:val="32"/>
          <w:szCs w:val="32"/>
          <w:shd w:val="clear" w:fill="FFFFFF"/>
          <w:lang w:val="en-US" w:eastAsia="zh-CN" w:bidi="ar"/>
        </w:rPr>
        <w:t>第四十三条</w:t>
      </w:r>
      <w:r>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本办法自2006年10月1日起施行。《麻黄素运输许可证管理规定》（公安部令第52号）同时废止。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黑体" w:hAnsi="黑体" w:eastAsia="黑体" w:cs="黑体"/>
          <w:b w:val="0"/>
          <w:bCs w:val="0"/>
          <w:i w:val="0"/>
          <w:iCs w:val="0"/>
          <w:caps w:val="0"/>
          <w:color w:val="auto"/>
          <w:spacing w:val="0"/>
          <w:sz w:val="32"/>
          <w:szCs w:val="32"/>
        </w:rPr>
      </w:pPr>
      <w:bookmarkStart w:id="0" w:name="_GoBack"/>
      <w:bookmarkEnd w:id="0"/>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附</w:t>
      </w:r>
      <w:r>
        <w:rPr>
          <w:rFonts w:hint="eastAsia" w:ascii="黑体" w:hAnsi="黑体" w:eastAsia="黑体" w:cs="黑体"/>
          <w:b w:val="0"/>
          <w:bCs w:val="0"/>
          <w:i w:val="0"/>
          <w:iCs w:val="0"/>
          <w:caps w:val="0"/>
          <w:color w:val="auto"/>
          <w:spacing w:val="0"/>
          <w:kern w:val="0"/>
          <w:sz w:val="32"/>
          <w:szCs w:val="32"/>
          <w:shd w:val="clear" w:fill="FFFFFF"/>
          <w:lang w:val="en-US" w:eastAsia="zh-CN" w:bidi="ar"/>
        </w:rPr>
        <w:t>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kern w:val="0"/>
          <w:sz w:val="44"/>
          <w:szCs w:val="44"/>
          <w:bdr w:val="none" w:color="auto" w:sz="0" w:space="0"/>
          <w:shd w:val="clear" w:fill="FFFFFF"/>
          <w:lang w:val="en-US" w:eastAsia="zh-CN" w:bidi="ar"/>
        </w:rPr>
        <w:t>易制毒化学品的分类和品种目录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第　一　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1.1—苯基—2—丙酮</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2.3,4—亚甲基二氧苯基—2—丙酮</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3.胡椒醛</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4.黄樟素</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5.黄樟油</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6.异黄樟素</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7.N—乙酰邻氨基苯酸</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8.邻氨基苯甲酸</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9.麦角酸*</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10.麦角胺*</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11.麦角新碱*</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12.麻黄素、伪麻黄素、消旋麻黄素、去甲麻黄素、甲基麻黄素、麻黄浸膏、麻黄浸膏粉等麻黄素类物质*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pP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第　二　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1.苯乙酸</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2.醋酸酐</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3.三氯甲烷</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4.乙醚</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5.哌啶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pPr>
      <w:r>
        <w:rPr>
          <w:rFonts w:hint="eastAsia" w:ascii="黑体" w:hAnsi="黑体" w:eastAsia="黑体" w:cs="黑体"/>
          <w:b w:val="0"/>
          <w:bCs w:val="0"/>
          <w:i w:val="0"/>
          <w:iCs w:val="0"/>
          <w:caps w:val="0"/>
          <w:color w:val="auto"/>
          <w:spacing w:val="0"/>
          <w:kern w:val="0"/>
          <w:sz w:val="32"/>
          <w:szCs w:val="32"/>
          <w:bdr w:val="none" w:color="auto" w:sz="0" w:space="0"/>
          <w:shd w:val="clear" w:fill="FFFFFF"/>
          <w:lang w:val="en-US" w:eastAsia="zh-CN" w:bidi="ar"/>
        </w:rPr>
        <w:t>第　三　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1.甲苯</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2.丙酮</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3.甲基乙基酮</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4.高锰酸钾</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5.硫酸</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6.盐酸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仿宋_GB2312" w:cs="Times New Roman"/>
          <w:b w:val="0"/>
          <w:bCs w:val="0"/>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说明：</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一、第一类、第二类所列物质可能存在的盐类，也纳入管制。</w:t>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b w:val="0"/>
          <w:bCs w:val="0"/>
          <w:i w:val="0"/>
          <w:iCs w:val="0"/>
          <w:caps w:val="0"/>
          <w:color w:val="auto"/>
          <w:spacing w:val="0"/>
          <w:kern w:val="0"/>
          <w:sz w:val="32"/>
          <w:szCs w:val="32"/>
          <w:bdr w:val="none" w:color="auto" w:sz="0" w:space="0"/>
          <w:shd w:val="clear" w:fill="FFFFFF"/>
          <w:lang w:val="en-US" w:eastAsia="zh-CN" w:bidi="ar"/>
        </w:rPr>
        <w:t>　　二、带有*标记的品种为第一类中的药品类易制毒化学品，第一类中的药品类易制毒化学品包括原料药及其单方制剂。</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rPr>
      </w:pPr>
    </w:p>
    <w:sectPr>
      <w:footerReference r:id="rId3" w:type="default"/>
      <w:pgSz w:w="11906" w:h="16838"/>
      <w:pgMar w:top="1984" w:right="1474"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CC12F"/>
    <w:multiLevelType w:val="singleLevel"/>
    <w:tmpl w:val="972CC12F"/>
    <w:lvl w:ilvl="0" w:tentative="0">
      <w:start w:val="1"/>
      <w:numFmt w:val="chineseCounting"/>
      <w:suff w:val="nothing"/>
      <w:lvlText w:val="第%1章　"/>
      <w:lvlJc w:val="left"/>
      <w:rPr>
        <w:rFonts w:hint="eastAsia"/>
      </w:rPr>
    </w:lvl>
  </w:abstractNum>
  <w:abstractNum w:abstractNumId="1">
    <w:nsid w:val="C40F6D53"/>
    <w:multiLevelType w:val="singleLevel"/>
    <w:tmpl w:val="C40F6D53"/>
    <w:lvl w:ilvl="0" w:tentative="0">
      <w:start w:val="6"/>
      <w:numFmt w:val="chineseCounting"/>
      <w:suff w:val="nothing"/>
      <w:lvlText w:val="第%1章　"/>
      <w:lvlJc w:val="left"/>
      <w:rPr>
        <w:rFonts w:hint="eastAsia"/>
      </w:rPr>
    </w:lvl>
  </w:abstractNum>
  <w:abstractNum w:abstractNumId="2">
    <w:nsid w:val="7699151B"/>
    <w:multiLevelType w:val="singleLevel"/>
    <w:tmpl w:val="7699151B"/>
    <w:lvl w:ilvl="0" w:tentative="0">
      <w:start w:val="15"/>
      <w:numFmt w:val="chineseCounting"/>
      <w:suff w:val="nothing"/>
      <w:lvlText w:val="第%1条　"/>
      <w:lvlJc w:val="left"/>
      <w:rPr>
        <w:rFonts w:hint="eastAsia" w:ascii="黑体" w:hAnsi="黑体" w:eastAsia="黑体" w:cs="黑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GQ5YWFiOGFhMGJkMWQxYzY4NjgwNDY1NDRhYzYifQ=="/>
  </w:docVars>
  <w:rsids>
    <w:rsidRoot w:val="00000000"/>
    <w:rsid w:val="00CC2AB2"/>
    <w:rsid w:val="05830FC7"/>
    <w:rsid w:val="0D944115"/>
    <w:rsid w:val="115704C7"/>
    <w:rsid w:val="146C5073"/>
    <w:rsid w:val="15086F5C"/>
    <w:rsid w:val="15185E06"/>
    <w:rsid w:val="19375DE1"/>
    <w:rsid w:val="1FCB6A7F"/>
    <w:rsid w:val="27DB6C9A"/>
    <w:rsid w:val="2D7A73ED"/>
    <w:rsid w:val="2F540714"/>
    <w:rsid w:val="2F676B5A"/>
    <w:rsid w:val="335310AE"/>
    <w:rsid w:val="34A64B50"/>
    <w:rsid w:val="35BD4614"/>
    <w:rsid w:val="3B022040"/>
    <w:rsid w:val="3B0C62FF"/>
    <w:rsid w:val="3FA201D5"/>
    <w:rsid w:val="42E657A4"/>
    <w:rsid w:val="46007F54"/>
    <w:rsid w:val="58112F1C"/>
    <w:rsid w:val="5E525FC0"/>
    <w:rsid w:val="63B5658C"/>
    <w:rsid w:val="64114F92"/>
    <w:rsid w:val="65ED5B52"/>
    <w:rsid w:val="667A4795"/>
    <w:rsid w:val="68975321"/>
    <w:rsid w:val="699323CD"/>
    <w:rsid w:val="69D748F7"/>
    <w:rsid w:val="6F6C36E6"/>
    <w:rsid w:val="718C6E89"/>
    <w:rsid w:val="76D46FA5"/>
    <w:rsid w:val="7DA1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2025-05-12T11:33:00Z</cp:lastPrinted>
  <dcterms:modified xsi:type="dcterms:W3CDTF">2025-05-15T10:29:44Z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B405619B2F7D46019A26E2F0F9B7C921_12</vt:lpwstr>
  </property>
</Properties>
</file>