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688B">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30C477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eastAsia="仿宋_GB2312" w:cs="Times New Roman"/>
          <w:snapToGrid w:val="0"/>
          <w:kern w:val="0"/>
          <w:sz w:val="32"/>
          <w:szCs w:val="32"/>
          <w:lang w:val="en-US" w:eastAsia="zh-CN"/>
        </w:rPr>
        <w:t>25</w:t>
      </w:r>
      <w:r>
        <w:rPr>
          <w:rFonts w:hint="default" w:ascii="Times New Roman" w:hAnsi="Times New Roman" w:eastAsia="仿宋_GB2312" w:cs="Times New Roman"/>
          <w:snapToGrid w:val="0"/>
          <w:kern w:val="0"/>
          <w:sz w:val="32"/>
          <w:szCs w:val="32"/>
        </w:rPr>
        <w:t>号</w:t>
      </w:r>
    </w:p>
    <w:p w14:paraId="00DA7E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382A37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zh-CN"/>
        </w:rPr>
        <w:t>124团奶绵羊乳制品深加工项目</w:t>
      </w:r>
    </w:p>
    <w:p w14:paraId="4556C6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zh-CN"/>
        </w:rPr>
        <w:t>环境影响报告表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54E4D3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266F35FA">
      <w:pPr>
        <w:keepNext w:val="0"/>
        <w:keepLines w:val="0"/>
        <w:pageBreakBefore w:val="0"/>
        <w:widowControl w:val="0"/>
        <w:kinsoku/>
        <w:wordWrap/>
        <w:overflowPunct/>
        <w:topLinePunct w:val="0"/>
        <w:autoSpaceDE/>
        <w:autoSpaceDN/>
        <w:bidi w:val="0"/>
        <w:adjustRightInd/>
        <w:snapToGrid/>
        <w:spacing w:line="4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新疆御美特乳业有限公司</w:t>
      </w:r>
      <w:r>
        <w:rPr>
          <w:rFonts w:hint="default" w:ascii="Times New Roman" w:hAnsi="Times New Roman" w:eastAsia="仿宋_GB2312" w:cs="Times New Roman"/>
          <w:sz w:val="32"/>
          <w:szCs w:val="32"/>
        </w:rPr>
        <w:t>：</w:t>
      </w:r>
    </w:p>
    <w:p w14:paraId="488640FB">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zh-CN"/>
        </w:rPr>
        <w:t>124团奶绵羊乳制品深加工项目</w:t>
      </w:r>
      <w:r>
        <w:rPr>
          <w:rFonts w:hint="default" w:ascii="Times New Roman" w:hAnsi="Times New Roman" w:eastAsia="仿宋_GB2312" w:cs="Times New Roman"/>
          <w:sz w:val="32"/>
          <w:szCs w:val="32"/>
        </w:rPr>
        <w:t>&gt;的请示》收悉。经研究，批复如下：</w:t>
      </w:r>
    </w:p>
    <w:p w14:paraId="513C76BB">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位于第七师12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团，项目区中心地理位置坐标为</w:t>
      </w:r>
      <w:bookmarkStart w:id="0" w:name="_Hlk180516248"/>
      <w:r>
        <w:rPr>
          <w:rFonts w:hint="default" w:ascii="Times New Roman" w:hAnsi="Times New Roman" w:eastAsia="仿宋_GB2312" w:cs="Times New Roman"/>
          <w:sz w:val="32"/>
          <w:szCs w:val="32"/>
          <w:lang w:val="en-US" w:eastAsia="zh-CN"/>
        </w:rPr>
        <w:t>84°7′17.841″，北纬44°22′37.129″。</w:t>
      </w:r>
      <w:bookmarkEnd w:id="0"/>
      <w:r>
        <w:rPr>
          <w:rFonts w:hint="default"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新建生产车间1座，内置乳制品生产线2条及配套相关设施。项目建成后年产全脂牛奶粉800t、配方牛奶粉1000t、全脂羊奶粉800t、配方羊奶粉1000t、全脂骆驼粉800t、配方骆驼粉800t。项目总投资15000万元，其中环保投资223万元，占总投资的1.5%。</w:t>
      </w:r>
    </w:p>
    <w:p w14:paraId="403BC99A">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435AEF80">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0E467199">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湿混混料、振动筛粉以及干混混料、产品包装产生的粉尘</w:t>
      </w:r>
      <w:r>
        <w:rPr>
          <w:rFonts w:hint="eastAsia" w:eastAsia="仿宋_GB2312" w:cs="Times New Roman"/>
          <w:b w:val="0"/>
          <w:bCs/>
          <w:sz w:val="32"/>
          <w:szCs w:val="32"/>
          <w:lang w:val="en-US" w:eastAsia="zh-CN"/>
        </w:rPr>
        <w:t>，</w:t>
      </w:r>
      <w:r>
        <w:rPr>
          <w:rFonts w:hint="default" w:ascii="Times New Roman" w:hAnsi="Times New Roman" w:eastAsia="仿宋_GB2312" w:cs="Times New Roman"/>
          <w:b w:val="0"/>
          <w:bCs/>
          <w:color w:val="auto"/>
          <w:sz w:val="32"/>
          <w:szCs w:val="32"/>
          <w:lang w:val="en-US" w:eastAsia="zh-CN"/>
        </w:rPr>
        <w:t>喷雾干燥塔底部流化床排风产生的粉尘经处理后由</w:t>
      </w:r>
      <w:r>
        <w:rPr>
          <w:rFonts w:hint="eastAsia" w:eastAsia="仿宋_GB2312" w:cs="Times New Roman"/>
          <w:b w:val="0"/>
          <w:bCs/>
          <w:color w:val="auto"/>
          <w:sz w:val="32"/>
          <w:szCs w:val="32"/>
          <w:lang w:val="en-US" w:eastAsia="zh-CN"/>
        </w:rPr>
        <w:t>1根</w:t>
      </w:r>
      <w:r>
        <w:rPr>
          <w:rFonts w:hint="default" w:ascii="Times New Roman" w:hAnsi="Times New Roman" w:eastAsia="仿宋_GB2312" w:cs="Times New Roman"/>
          <w:b w:val="0"/>
          <w:bCs/>
          <w:color w:val="auto"/>
          <w:sz w:val="32"/>
          <w:szCs w:val="32"/>
          <w:lang w:val="en-US" w:eastAsia="zh-CN"/>
        </w:rPr>
        <w:t>36.1米高的排气筒排放，</w:t>
      </w:r>
      <w:r>
        <w:rPr>
          <w:rFonts w:hint="default" w:ascii="Times New Roman" w:hAnsi="Times New Roman" w:eastAsia="仿宋_GB2312" w:cs="Times New Roman"/>
          <w:b w:val="0"/>
          <w:bCs/>
          <w:sz w:val="32"/>
          <w:szCs w:val="32"/>
          <w:lang w:val="en-US" w:eastAsia="zh-CN"/>
        </w:rPr>
        <w:t>废气中颗粒物排放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《大气污染物综合排放标准》（GB16297-1996）表2中限值要求；锅炉采用低氮燃烧技术，锅炉烟气由</w:t>
      </w:r>
      <w:r>
        <w:rPr>
          <w:rFonts w:hint="eastAsia" w:eastAsia="仿宋_GB2312" w:cs="Times New Roman"/>
          <w:b w:val="0"/>
          <w:bCs/>
          <w:sz w:val="32"/>
          <w:szCs w:val="32"/>
          <w:lang w:val="en-US" w:eastAsia="zh-CN"/>
        </w:rPr>
        <w:t>1根</w:t>
      </w:r>
      <w:r>
        <w:rPr>
          <w:rFonts w:hint="default" w:ascii="Times New Roman" w:hAnsi="Times New Roman" w:eastAsia="仿宋_GB2312" w:cs="Times New Roman"/>
          <w:b w:val="0"/>
          <w:bCs/>
          <w:sz w:val="32"/>
          <w:szCs w:val="32"/>
          <w:lang w:val="en-US" w:eastAsia="zh-CN"/>
        </w:rPr>
        <w:t>34.1米高的排气筒排放，废气中颗粒物、氮氧化物、二氧化硫、烟气黑度排放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《锅炉大气污染物排放标准》（GB13271-2014）表2燃气锅炉排放限值要求；食堂油烟经油烟净化器处理</w:t>
      </w:r>
      <w:r>
        <w:rPr>
          <w:rFonts w:hint="eastAsia" w:eastAsia="仿宋_GB2312" w:cs="Times New Roman"/>
          <w:b w:val="0"/>
          <w:bCs/>
          <w:color w:val="auto"/>
          <w:sz w:val="32"/>
          <w:szCs w:val="32"/>
          <w:lang w:val="en-US" w:eastAsia="zh-CN"/>
        </w:rPr>
        <w:t>执行</w:t>
      </w:r>
      <w:r>
        <w:rPr>
          <w:rFonts w:hint="default" w:ascii="Times New Roman" w:hAnsi="Times New Roman" w:eastAsia="仿宋_GB2312" w:cs="Times New Roman"/>
          <w:b w:val="0"/>
          <w:bCs/>
          <w:sz w:val="32"/>
          <w:szCs w:val="32"/>
          <w:lang w:val="en-US" w:eastAsia="zh-CN"/>
        </w:rPr>
        <w:t>《饮食业油烟排放标准（试行）》（GB18483-2001）限值要求，由专用烟道排放。</w:t>
      </w:r>
    </w:p>
    <w:p w14:paraId="671C5456">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采用全封闭车间，定期洒水降尘；污水处理站池体加盖封闭，喷洒除臭剂。厂界颗粒物无组织排放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《大气污染物综合排放标准》（GB16297-1996）表2大气污染物排放限值要求，氨、硫化氢、臭气浓度无组织排放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《恶臭污染物排放标准》（GB14554-1993）表1恶臭污染物厂界标准限值要求。</w:t>
      </w:r>
    </w:p>
    <w:p w14:paraId="6FB99A4D">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val="0"/>
          <w:bCs w:val="0"/>
          <w:w w:val="100"/>
          <w:kern w:val="2"/>
          <w:sz w:val="32"/>
          <w:szCs w:val="32"/>
          <w:lang w:val="en-US" w:eastAsia="zh-CN" w:bidi="ar-SA"/>
        </w:rPr>
        <w:t>氮氧化物</w:t>
      </w:r>
      <w:r>
        <w:rPr>
          <w:rFonts w:hint="eastAsia" w:ascii="Times New Roman" w:hAnsi="Times New Roman" w:eastAsia="仿宋_GB2312" w:cs="Times New Roman"/>
          <w:b w:val="0"/>
          <w:bCs w:val="0"/>
          <w:w w:val="100"/>
          <w:kern w:val="2"/>
          <w:sz w:val="32"/>
          <w:szCs w:val="32"/>
          <w:lang w:val="en-US" w:eastAsia="zh-CN" w:bidi="ar-SA"/>
        </w:rPr>
        <w:t>排放总量不超过</w:t>
      </w:r>
      <w:r>
        <w:rPr>
          <w:rFonts w:hint="eastAsia" w:eastAsia="仿宋_GB2312" w:cs="Times New Roman"/>
          <w:b w:val="0"/>
          <w:bCs w:val="0"/>
          <w:w w:val="100"/>
          <w:kern w:val="2"/>
          <w:sz w:val="32"/>
          <w:szCs w:val="32"/>
          <w:lang w:val="en-US" w:eastAsia="zh-CN" w:bidi="ar-SA"/>
        </w:rPr>
        <w:t>3.49</w:t>
      </w:r>
      <w:r>
        <w:rPr>
          <w:rFonts w:hint="eastAsia" w:ascii="Times New Roman" w:hAnsi="Times New Roman" w:eastAsia="仿宋_GB2312" w:cs="Times New Roman"/>
          <w:b w:val="0"/>
          <w:bCs w:val="0"/>
          <w:w w:val="100"/>
          <w:kern w:val="2"/>
          <w:sz w:val="32"/>
          <w:szCs w:val="32"/>
          <w:lang w:val="en-US" w:eastAsia="zh-CN" w:bidi="ar-SA"/>
        </w:rPr>
        <w:t>吨/年。</w:t>
      </w:r>
    </w:p>
    <w:p w14:paraId="0D790B8C">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en-US" w:eastAsia="zh-CN"/>
        </w:rPr>
        <w:t>厂区建设一座300</w:t>
      </w:r>
      <w:r>
        <w:rPr>
          <w:rFonts w:hint="eastAsia" w:eastAsia="仿宋_GB2312" w:cs="Times New Roman"/>
          <w:sz w:val="32"/>
          <w:szCs w:val="32"/>
          <w:lang w:val="en-US" w:eastAsia="zh-CN"/>
        </w:rPr>
        <w:t>m</w:t>
      </w:r>
      <w:r>
        <w:rPr>
          <w:rFonts w:hint="eastAsia" w:eastAsia="仿宋_GB2312" w:cs="Times New Roman"/>
          <w:sz w:val="32"/>
          <w:szCs w:val="32"/>
          <w:vertAlign w:val="superscript"/>
          <w:lang w:val="en-US" w:eastAsia="zh-CN"/>
        </w:rPr>
        <w:t>3</w:t>
      </w:r>
      <w:r>
        <w:rPr>
          <w:rFonts w:hint="eastAsia" w:eastAsia="仿宋_GB2312" w:cs="Times New Roman"/>
          <w:sz w:val="32"/>
          <w:szCs w:val="32"/>
          <w:lang w:val="en-US" w:eastAsia="zh-CN"/>
        </w:rPr>
        <w:t>/d</w:t>
      </w:r>
      <w:r>
        <w:rPr>
          <w:rFonts w:hint="default" w:ascii="Times New Roman" w:hAnsi="Times New Roman" w:eastAsia="仿宋_GB2312" w:cs="Times New Roman"/>
          <w:sz w:val="32"/>
          <w:szCs w:val="32"/>
          <w:lang w:val="en-US" w:eastAsia="zh-CN"/>
        </w:rPr>
        <w:t>的污水处理站。生产废水经厂区污水处理站处理达到《污水综合排放标准》（GB8978-1996）表4水污染物排放限值要求后进入124团城镇生活污水处理厂处理；干燥和浓缩系统冷凝水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餐饮废水经油水分离器处理后与生活污水一同排入</w:t>
      </w:r>
      <w:r>
        <w:rPr>
          <w:rFonts w:hint="eastAsia" w:eastAsia="仿宋_GB2312" w:cs="Times New Roman"/>
          <w:sz w:val="32"/>
          <w:szCs w:val="32"/>
          <w:lang w:val="en-US" w:eastAsia="zh-CN"/>
        </w:rPr>
        <w:t>124</w:t>
      </w:r>
      <w:r>
        <w:rPr>
          <w:rFonts w:hint="default" w:ascii="Times New Roman" w:hAnsi="Times New Roman" w:eastAsia="仿宋_GB2312" w:cs="Times New Roman"/>
          <w:sz w:val="32"/>
          <w:szCs w:val="32"/>
          <w:lang w:val="en-US" w:eastAsia="zh-CN"/>
        </w:rPr>
        <w:t>团城镇生活污水处理厂处理。设备和锅炉冷却排水经冷却系统冷却后循环使用</w:t>
      </w:r>
      <w:r>
        <w:rPr>
          <w:rFonts w:hint="eastAsia" w:eastAsia="仿宋_GB2312" w:cs="Times New Roman"/>
          <w:sz w:val="32"/>
          <w:szCs w:val="32"/>
          <w:lang w:val="en-US" w:eastAsia="zh-CN"/>
        </w:rPr>
        <w:t>。</w:t>
      </w:r>
    </w:p>
    <w:p w14:paraId="176A04A8">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w:t>
      </w:r>
      <w:r>
        <w:rPr>
          <w:rFonts w:hint="eastAsia" w:eastAsia="仿宋_GB2312" w:cs="Times New Roman"/>
          <w:sz w:val="32"/>
          <w:szCs w:val="32"/>
          <w:lang w:val="en-US" w:eastAsia="zh-CN"/>
        </w:rPr>
        <w:t>对</w:t>
      </w:r>
      <w:r>
        <w:rPr>
          <w:rFonts w:hint="default" w:ascii="Times New Roman" w:hAnsi="Times New Roman" w:eastAsia="仿宋_GB2312" w:cs="Times New Roman"/>
          <w:sz w:val="32"/>
          <w:szCs w:val="32"/>
        </w:rPr>
        <w:t>泵、风机加装消声器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强噪声设备置于室内，并采用隔声、吸音材料制作门窗、砌体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类标准要求。</w:t>
      </w:r>
    </w:p>
    <w:p w14:paraId="23A1951A">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化验废液</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废试剂瓶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废机油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含油废物</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废油桶、酸碱包装桶（袋）</w:t>
      </w:r>
      <w:r>
        <w:rPr>
          <w:rFonts w:hint="eastAsia" w:eastAsia="仿宋_GB2312" w:cs="Times New Roman"/>
          <w:sz w:val="32"/>
          <w:szCs w:val="32"/>
          <w:lang w:val="en-US" w:eastAsia="zh-CN"/>
        </w:rPr>
        <w:t>属于危险废物，分类分区暂存于危险废物贮存间，定期交由有资质单位处置。一般固体废物中布袋除尘器收集的颗粒物和振动筛产生的粉块定期外售；废滤布、金属杂质定期交当地废旧资源回收站回收；纯水设备、废活性炭、废反渗透膜、锅炉软水系统废滤膜和氦气、氩气、氮气瓶由厂家回收；辅料废弃包装物、污水处理站污泥和格渣、油水分离器格渣由环卫部门清运至124团城镇生活垃圾填埋场填埋处置；油水分离器分离油脂收集后交由有相应处置资质的单位拉运处置。</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生活垃圾由环卫部门统一清运处理。</w:t>
      </w:r>
    </w:p>
    <w:p w14:paraId="03C758D4">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w:t>
      </w:r>
      <w:r>
        <w:rPr>
          <w:rFonts w:hint="default" w:ascii="Times New Roman" w:hAnsi="Times New Roman" w:eastAsia="仿宋_GB2312" w:cs="Times New Roman"/>
          <w:bCs/>
          <w:sz w:val="32"/>
          <w:szCs w:val="32"/>
          <w:lang w:val="en-US" w:eastAsia="zh-CN"/>
        </w:rPr>
        <w:t>对危险废物暂存间、化验室、污水处理站区域、原辅料库的酸碱类辅料存放区、应急事故池按</w:t>
      </w:r>
      <w:r>
        <w:rPr>
          <w:rFonts w:hint="default" w:ascii="Times New Roman" w:hAnsi="Times New Roman" w:eastAsia="仿宋_GB2312" w:cs="Times New Roman"/>
          <w:bCs/>
          <w:sz w:val="32"/>
          <w:szCs w:val="32"/>
          <w:lang w:eastAsia="zh-CN"/>
        </w:rPr>
        <w:t>进行重点防渗</w:t>
      </w:r>
      <w:r>
        <w:rPr>
          <w:rFonts w:hint="eastAsia" w:eastAsia="仿宋_GB2312" w:cs="Times New Roman"/>
          <w:bCs/>
          <w:sz w:val="32"/>
          <w:szCs w:val="32"/>
          <w:lang w:eastAsia="zh-CN"/>
        </w:rPr>
        <w:t>，</w:t>
      </w:r>
      <w:r>
        <w:rPr>
          <w:rFonts w:hint="eastAsia" w:eastAsia="仿宋_GB2312" w:cs="Times New Roman"/>
          <w:bCs/>
          <w:sz w:val="32"/>
          <w:szCs w:val="32"/>
          <w:lang w:val="en-US" w:eastAsia="zh-CN"/>
        </w:rPr>
        <w:t>对一般工业固体废物暂存间、生产车间、原辅料库除酸碱类辅料存放区外的其他区域</w:t>
      </w:r>
      <w:r>
        <w:rPr>
          <w:rFonts w:hint="default" w:ascii="Times New Roman" w:hAnsi="Times New Roman" w:eastAsia="仿宋_GB2312" w:cs="Times New Roman"/>
          <w:bCs/>
          <w:sz w:val="32"/>
          <w:szCs w:val="32"/>
          <w:lang w:eastAsia="zh-CN"/>
        </w:rPr>
        <w:t>进行</w:t>
      </w:r>
      <w:r>
        <w:rPr>
          <w:rFonts w:hint="eastAsia" w:ascii="Times New Roman" w:hAnsi="Times New Roman" w:eastAsia="仿宋_GB2312" w:cs="Times New Roman"/>
          <w:bCs/>
          <w:sz w:val="32"/>
          <w:szCs w:val="32"/>
          <w:lang w:val="en-US" w:eastAsia="zh-CN"/>
        </w:rPr>
        <w:t>一般</w:t>
      </w:r>
      <w:r>
        <w:rPr>
          <w:rFonts w:hint="default" w:ascii="Times New Roman" w:hAnsi="Times New Roman" w:eastAsia="仿宋_GB2312" w:cs="Times New Roman"/>
          <w:bCs/>
          <w:sz w:val="32"/>
          <w:szCs w:val="32"/>
          <w:lang w:eastAsia="zh-CN"/>
        </w:rPr>
        <w:t>防渗</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加强防渗设施的日常维护，对出现损坏的防渗设施应及时修复和加固，确保防渗设施牢固安全。</w:t>
      </w:r>
    </w:p>
    <w:p w14:paraId="50574C1E">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0492F75A">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）加强施工期环境保护，落实防沙治沙措施，防止施工废水、扬尘、噪声污染、水土流失和生态破坏。</w:t>
      </w:r>
    </w:p>
    <w:p w14:paraId="4A04EB7B">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3F177DE6">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32B7A9D9">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经批准后，该项目的性质、规模、地点、生产工艺和环境保护措施发生重大变动，且可能导致环境影响显著变化的，应当重新报批该项目环境影响评价报告。</w:t>
      </w:r>
    </w:p>
    <w:p w14:paraId="2C8E17D3">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申领排污许可证</w:t>
      </w:r>
      <w:r>
        <w:rPr>
          <w:rFonts w:hint="default" w:ascii="Times New Roman" w:hAnsi="Times New Roman" w:eastAsia="仿宋_GB2312" w:cs="Times New Roman"/>
          <w:bCs/>
          <w:color w:val="auto"/>
          <w:sz w:val="32"/>
          <w:szCs w:val="32"/>
          <w:highlight w:val="none"/>
        </w:rPr>
        <w:t>。</w:t>
      </w:r>
    </w:p>
    <w:p w14:paraId="3C200F91">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w:t>
      </w:r>
      <w:r>
        <w:rPr>
          <w:rFonts w:hint="default" w:ascii="Times New Roman" w:hAnsi="Times New Roman" w:eastAsia="仿宋_GB2312" w:cs="Times New Roman"/>
          <w:bCs/>
          <w:sz w:val="32"/>
          <w:szCs w:val="32"/>
          <w:lang w:val="en-US" w:eastAsia="zh-CN"/>
        </w:rPr>
        <w:t>12</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lang w:val="en-US" w:eastAsia="zh-CN"/>
        </w:rPr>
        <w:t>团城镇和生态保护中心</w:t>
      </w:r>
      <w:r>
        <w:rPr>
          <w:rFonts w:hint="default" w:ascii="Times New Roman" w:hAnsi="Times New Roman" w:eastAsia="仿宋_GB2312" w:cs="Times New Roman"/>
          <w:bCs/>
          <w:sz w:val="32"/>
          <w:szCs w:val="32"/>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072C84C1">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w:t>
      </w:r>
      <w:r>
        <w:rPr>
          <w:rFonts w:hint="eastAsia" w:eastAsia="仿宋_GB2312" w:cs="Times New Roman"/>
          <w:bCs/>
          <w:sz w:val="32"/>
          <w:szCs w:val="32"/>
          <w:lang w:val="en-US" w:eastAsia="zh-CN"/>
        </w:rPr>
        <w:t>124团城镇和生态保护中心</w:t>
      </w:r>
      <w:r>
        <w:rPr>
          <w:rFonts w:hint="default" w:ascii="Times New Roman" w:hAnsi="Times New Roman" w:eastAsia="仿宋_GB2312" w:cs="Times New Roman"/>
          <w:bCs/>
          <w:sz w:val="32"/>
          <w:szCs w:val="32"/>
        </w:rPr>
        <w:t>，并按规定接受各级生态环境主管部门的监督检查。</w:t>
      </w:r>
    </w:p>
    <w:p w14:paraId="311DD550">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bCs/>
          <w:sz w:val="32"/>
          <w:szCs w:val="32"/>
        </w:rPr>
      </w:pPr>
    </w:p>
    <w:p w14:paraId="01E95565">
      <w:pPr>
        <w:pStyle w:val="3"/>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rPr>
      </w:pPr>
    </w:p>
    <w:p w14:paraId="67B11C14">
      <w:pPr>
        <w:spacing w:line="440" w:lineRule="exact"/>
        <w:ind w:firstLine="480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10292424">
      <w:pPr>
        <w:spacing w:line="440" w:lineRule="exact"/>
        <w:ind w:firstLine="5440" w:firstLineChars="17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14:paraId="22EBDAE8">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default" w:ascii="Times New Roman" w:hAnsi="Times New Roman" w:eastAsia="仿宋_GB2312" w:cs="Times New Roman"/>
          <w:sz w:val="28"/>
          <w:szCs w:val="28"/>
        </w:rPr>
      </w:pPr>
    </w:p>
    <w:p w14:paraId="4DB0F3DE">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w:t>
      </w:r>
      <w:r>
        <w:rPr>
          <w:rFonts w:hint="eastAsia" w:ascii="仿宋_GB2312" w:hAnsi="仿宋_GB2312" w:eastAsia="仿宋_GB2312" w:cs="仿宋_GB2312"/>
          <w:sz w:val="28"/>
          <w:szCs w:val="28"/>
          <w:lang w:val="en-US" w:eastAsia="zh-CN"/>
        </w:rPr>
        <w:t>124团城镇和生态保护中心</w:t>
      </w:r>
      <w:r>
        <w:rPr>
          <w:rFonts w:hint="eastAsia" w:ascii="仿宋_GB2312" w:hAnsi="仿宋_GB2312" w:eastAsia="仿宋_GB2312" w:cs="仿宋_GB2312"/>
          <w:sz w:val="28"/>
          <w:szCs w:val="28"/>
          <w:lang w:eastAsia="zh-CN"/>
        </w:rPr>
        <w:t>。</w:t>
      </w:r>
    </w:p>
    <w:p w14:paraId="6CAB478B">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bookmarkStart w:id="1" w:name="_GoBack"/>
      <w:bookmarkEnd w:id="1"/>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349F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86B5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0E586B5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06b4c4f-9ee1-4d30-996f-7b2bb2481a69"/>
  </w:docVars>
  <w:rsids>
    <w:rsidRoot w:val="19A61553"/>
    <w:rsid w:val="00301E8D"/>
    <w:rsid w:val="006F367F"/>
    <w:rsid w:val="00742AA9"/>
    <w:rsid w:val="01B110AA"/>
    <w:rsid w:val="025F2F6C"/>
    <w:rsid w:val="03174F3D"/>
    <w:rsid w:val="03E07A24"/>
    <w:rsid w:val="0402172C"/>
    <w:rsid w:val="049B529E"/>
    <w:rsid w:val="06103791"/>
    <w:rsid w:val="064F49ED"/>
    <w:rsid w:val="06A75686"/>
    <w:rsid w:val="07862691"/>
    <w:rsid w:val="07EF0236"/>
    <w:rsid w:val="086004AE"/>
    <w:rsid w:val="095B26AD"/>
    <w:rsid w:val="09957E2C"/>
    <w:rsid w:val="0A0D21E1"/>
    <w:rsid w:val="0A6D7B38"/>
    <w:rsid w:val="0A717628"/>
    <w:rsid w:val="0B5C3E34"/>
    <w:rsid w:val="0BD55735"/>
    <w:rsid w:val="0CD67C16"/>
    <w:rsid w:val="0D69486E"/>
    <w:rsid w:val="0DEC6201"/>
    <w:rsid w:val="0E927B6D"/>
    <w:rsid w:val="0F3A0A84"/>
    <w:rsid w:val="0F8E2A2A"/>
    <w:rsid w:val="0F9811B3"/>
    <w:rsid w:val="10415B91"/>
    <w:rsid w:val="118916FB"/>
    <w:rsid w:val="1299771C"/>
    <w:rsid w:val="13222B5F"/>
    <w:rsid w:val="1367781A"/>
    <w:rsid w:val="13B33653"/>
    <w:rsid w:val="15E46F00"/>
    <w:rsid w:val="19A61553"/>
    <w:rsid w:val="1ABC044C"/>
    <w:rsid w:val="1C444C69"/>
    <w:rsid w:val="1CB3762C"/>
    <w:rsid w:val="1D4B3D09"/>
    <w:rsid w:val="1E1F706C"/>
    <w:rsid w:val="1E222CBC"/>
    <w:rsid w:val="1F0C482E"/>
    <w:rsid w:val="1F6410B2"/>
    <w:rsid w:val="206A26F8"/>
    <w:rsid w:val="2177331E"/>
    <w:rsid w:val="21A1039B"/>
    <w:rsid w:val="231B5F2B"/>
    <w:rsid w:val="24C7636B"/>
    <w:rsid w:val="24F3437F"/>
    <w:rsid w:val="274A3283"/>
    <w:rsid w:val="27E6038A"/>
    <w:rsid w:val="281573ED"/>
    <w:rsid w:val="293E30BA"/>
    <w:rsid w:val="29ED02E2"/>
    <w:rsid w:val="29F179E6"/>
    <w:rsid w:val="2A0C4820"/>
    <w:rsid w:val="2A7A0D3F"/>
    <w:rsid w:val="2BE9171D"/>
    <w:rsid w:val="2DB71358"/>
    <w:rsid w:val="2E6647A7"/>
    <w:rsid w:val="2ED85C64"/>
    <w:rsid w:val="2FE778C1"/>
    <w:rsid w:val="30766E97"/>
    <w:rsid w:val="31833619"/>
    <w:rsid w:val="319A0963"/>
    <w:rsid w:val="31DB1B10"/>
    <w:rsid w:val="31DE6AA2"/>
    <w:rsid w:val="325A00D3"/>
    <w:rsid w:val="32EA1B39"/>
    <w:rsid w:val="334B0167"/>
    <w:rsid w:val="3390201E"/>
    <w:rsid w:val="33925D96"/>
    <w:rsid w:val="33FC16C7"/>
    <w:rsid w:val="34552334"/>
    <w:rsid w:val="345D63A4"/>
    <w:rsid w:val="34DB0164"/>
    <w:rsid w:val="34DB0F65"/>
    <w:rsid w:val="35010901"/>
    <w:rsid w:val="35222615"/>
    <w:rsid w:val="35335B87"/>
    <w:rsid w:val="362F528B"/>
    <w:rsid w:val="37C91FA2"/>
    <w:rsid w:val="380D6520"/>
    <w:rsid w:val="389B146D"/>
    <w:rsid w:val="390336C5"/>
    <w:rsid w:val="39586DFD"/>
    <w:rsid w:val="3B901665"/>
    <w:rsid w:val="3D654E49"/>
    <w:rsid w:val="3E3F2FBE"/>
    <w:rsid w:val="3E5263F1"/>
    <w:rsid w:val="3E8F41EC"/>
    <w:rsid w:val="3ED656D0"/>
    <w:rsid w:val="406B063D"/>
    <w:rsid w:val="41E12475"/>
    <w:rsid w:val="41F36599"/>
    <w:rsid w:val="425C5EED"/>
    <w:rsid w:val="4475215D"/>
    <w:rsid w:val="44AC37CB"/>
    <w:rsid w:val="450B5ED4"/>
    <w:rsid w:val="465316EE"/>
    <w:rsid w:val="46C2653A"/>
    <w:rsid w:val="46CD5F17"/>
    <w:rsid w:val="46F76C15"/>
    <w:rsid w:val="47623535"/>
    <w:rsid w:val="47ED75E7"/>
    <w:rsid w:val="48360F8E"/>
    <w:rsid w:val="4B4732F2"/>
    <w:rsid w:val="4B9E0BAE"/>
    <w:rsid w:val="4BE111CF"/>
    <w:rsid w:val="4C5C4D3B"/>
    <w:rsid w:val="4D3248D1"/>
    <w:rsid w:val="4DF46F02"/>
    <w:rsid w:val="4E1C7BCA"/>
    <w:rsid w:val="4E23273D"/>
    <w:rsid w:val="4E2A19FE"/>
    <w:rsid w:val="4E8B592A"/>
    <w:rsid w:val="4FC71B00"/>
    <w:rsid w:val="5144471C"/>
    <w:rsid w:val="51910362"/>
    <w:rsid w:val="51BC0264"/>
    <w:rsid w:val="51CA44D0"/>
    <w:rsid w:val="52016A0C"/>
    <w:rsid w:val="521E31BF"/>
    <w:rsid w:val="53732803"/>
    <w:rsid w:val="5445681C"/>
    <w:rsid w:val="54E21B59"/>
    <w:rsid w:val="55A61710"/>
    <w:rsid w:val="55C220B3"/>
    <w:rsid w:val="55F63B99"/>
    <w:rsid w:val="576461D9"/>
    <w:rsid w:val="58D34BF9"/>
    <w:rsid w:val="593C3F2A"/>
    <w:rsid w:val="598D4786"/>
    <w:rsid w:val="59BB12F3"/>
    <w:rsid w:val="5A0B54BA"/>
    <w:rsid w:val="5A132EDD"/>
    <w:rsid w:val="5A2854B0"/>
    <w:rsid w:val="5AD563E4"/>
    <w:rsid w:val="5ADB6D32"/>
    <w:rsid w:val="5BBE331C"/>
    <w:rsid w:val="5E116A2B"/>
    <w:rsid w:val="5EE50BC0"/>
    <w:rsid w:val="5FCF6BF0"/>
    <w:rsid w:val="609D79A4"/>
    <w:rsid w:val="60BB7E2A"/>
    <w:rsid w:val="6109328C"/>
    <w:rsid w:val="612B239E"/>
    <w:rsid w:val="623C143F"/>
    <w:rsid w:val="62A019CE"/>
    <w:rsid w:val="62E3579C"/>
    <w:rsid w:val="636D7194"/>
    <w:rsid w:val="644952F5"/>
    <w:rsid w:val="6703077D"/>
    <w:rsid w:val="679C6136"/>
    <w:rsid w:val="68152516"/>
    <w:rsid w:val="698B1E19"/>
    <w:rsid w:val="6CB00A5F"/>
    <w:rsid w:val="6CC3509F"/>
    <w:rsid w:val="6ED00C83"/>
    <w:rsid w:val="6F2512C7"/>
    <w:rsid w:val="6F4158DC"/>
    <w:rsid w:val="6FEB4A74"/>
    <w:rsid w:val="70156860"/>
    <w:rsid w:val="708446DD"/>
    <w:rsid w:val="7375588F"/>
    <w:rsid w:val="73E5637C"/>
    <w:rsid w:val="75006CB2"/>
    <w:rsid w:val="7516167C"/>
    <w:rsid w:val="75F30136"/>
    <w:rsid w:val="76017E90"/>
    <w:rsid w:val="79AC0800"/>
    <w:rsid w:val="7B276391"/>
    <w:rsid w:val="7BE007E5"/>
    <w:rsid w:val="7CC55E61"/>
    <w:rsid w:val="7EDD7019"/>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qFormat/>
    <w:uiPriority w:val="0"/>
    <w:rPr>
      <w:rFonts w:eastAsia="华文中宋"/>
      <w:b/>
      <w:bCs/>
      <w:w w:val="90"/>
      <w:sz w:val="44"/>
    </w:rPr>
  </w:style>
  <w:style w:type="paragraph" w:styleId="4">
    <w:name w:val="Body Text Indent"/>
    <w:basedOn w:val="1"/>
    <w:next w:val="3"/>
    <w:semiHidden/>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List"/>
    <w:basedOn w:val="1"/>
    <w:qFormat/>
    <w:uiPriority w:val="0"/>
    <w:pPr>
      <w:ind w:left="200" w:hanging="200" w:hangingChars="200"/>
    </w:pPr>
  </w:style>
  <w:style w:type="paragraph" w:styleId="7">
    <w:name w:val="footnote text"/>
    <w:basedOn w:val="1"/>
    <w:next w:val="2"/>
    <w:unhideWhenUsed/>
    <w:qFormat/>
    <w:uiPriority w:val="99"/>
    <w:pPr>
      <w:snapToGrid w:val="0"/>
      <w:jc w:val="left"/>
    </w:pPr>
    <w:rPr>
      <w:rFonts w:ascii="Calibri" w:hAnsi="Calibri" w:eastAsia="仿宋" w:cs="Times New Roman"/>
      <w:sz w:val="18"/>
      <w:szCs w:val="18"/>
    </w:rPr>
  </w:style>
  <w:style w:type="paragraph" w:styleId="8">
    <w:name w:val="Body Text 2"/>
    <w:basedOn w:val="1"/>
    <w:unhideWhenUsed/>
    <w:qFormat/>
    <w:uiPriority w:val="99"/>
    <w:pPr>
      <w:spacing w:after="120" w:line="480" w:lineRule="auto"/>
    </w:pPr>
  </w:style>
  <w:style w:type="paragraph" w:styleId="9">
    <w:name w:val="Body Text First Indent"/>
    <w:basedOn w:val="3"/>
    <w:next w:val="10"/>
    <w:qFormat/>
    <w:uiPriority w:val="0"/>
    <w:pPr>
      <w:ind w:firstLine="420" w:firstLineChars="100"/>
    </w:pPr>
  </w:style>
  <w:style w:type="paragraph" w:styleId="10">
    <w:name w:val="Body Text First Indent 2"/>
    <w:basedOn w:val="4"/>
    <w:next w:val="1"/>
    <w:qFormat/>
    <w:uiPriority w:val="0"/>
    <w:pPr>
      <w:adjustRightInd w:val="0"/>
      <w:spacing w:line="360" w:lineRule="atLeast"/>
      <w:ind w:left="0" w:leftChars="0" w:firstLine="210"/>
      <w:textAlignment w:val="baseline"/>
    </w:pPr>
    <w:rPr>
      <w:sz w:val="24"/>
    </w:rPr>
  </w:style>
  <w:style w:type="paragraph" w:customStyle="1" w:styleId="13">
    <w:name w:val="表头"/>
    <w:basedOn w:val="9"/>
    <w:next w:val="1"/>
    <w:qFormat/>
    <w:uiPriority w:val="0"/>
    <w:pPr>
      <w:jc w:val="center"/>
    </w:pPr>
    <w:rPr>
      <w:rFonts w:ascii="黑体" w:eastAsia="黑体"/>
      <w:kern w:val="0"/>
    </w:rPr>
  </w:style>
  <w:style w:type="paragraph" w:customStyle="1" w:styleId="14">
    <w:name w:val="Default"/>
    <w:basedOn w:val="1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6">
    <w:name w:val="纯文本1"/>
    <w:basedOn w:val="1"/>
    <w:qFormat/>
    <w:uiPriority w:val="0"/>
    <w:pPr>
      <w:adjustRightInd w:val="0"/>
      <w:textAlignment w:val="baseline"/>
    </w:pPr>
    <w:rPr>
      <w:rFonts w:ascii="宋体" w:hAnsi="Courier New"/>
      <w:szCs w:val="20"/>
    </w:rPr>
  </w:style>
  <w:style w:type="paragraph" w:customStyle="1" w:styleId="17">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2331</Words>
  <Characters>2531</Characters>
  <Lines>0</Lines>
  <Paragraphs>0</Paragraphs>
  <TotalTime>34</TotalTime>
  <ScaleCrop>false</ScaleCrop>
  <LinksUpToDate>false</LinksUpToDate>
  <CharactersWithSpaces>2579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2025-02-07T08:04:00Z</cp:lastPrinted>
  <dcterms:modified xsi:type="dcterms:W3CDTF">2025-05-16T11:14:59Z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C52224860C814209BC07328C0BD461B7_13</vt:lpwstr>
  </property>
  <property fmtid="{D5CDD505-2E9C-101B-9397-08002B2CF9AE}" pid="4" name="KSOTemplateDocerSaveRecord">
    <vt:lpwstr>eyJoZGlkIjoiOTM4ZGE5MjAwOTRjNzE3YmI3NzllODlkMzQzMmYzMzgiLCJ1c2VySWQiOiI1NTE5NjI2NTYifQ==</vt:lpwstr>
  </property>
</Properties>
</file>