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21</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r>
        <w:rPr>
          <w:rFonts w:hint="eastAsia" w:ascii="方正小标宋简体" w:hAnsi="方正小标宋简体" w:eastAsia="方正小标宋简体" w:cs="方正小标宋简体"/>
          <w:color w:val="auto"/>
          <w:sz w:val="44"/>
          <w:szCs w:val="44"/>
          <w:highlight w:val="none"/>
          <w:lang w:val="zh-CN" w:eastAsia="zh-CN"/>
        </w:rPr>
        <w:t>新疆翱巡能源科技有限公司8万吨/年</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r>
        <w:rPr>
          <w:rFonts w:hint="eastAsia" w:ascii="方正小标宋简体" w:hAnsi="方正小标宋简体" w:eastAsia="方正小标宋简体" w:cs="方正小标宋简体"/>
          <w:color w:val="auto"/>
          <w:sz w:val="44"/>
          <w:szCs w:val="44"/>
          <w:highlight w:val="none"/>
          <w:lang w:val="zh-CN" w:eastAsia="zh-CN"/>
        </w:rPr>
        <w:t>润滑油、2万吨/年润滑脂生产项目</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eastAsia="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zh-CN" w:eastAsia="zh-CN"/>
        </w:rPr>
        <w:t>新疆翱巡能源科技有限公司</w:t>
      </w:r>
      <w:r>
        <w:rPr>
          <w:rFonts w:hint="default" w:ascii="Times New Roman" w:hAnsi="Times New Roman" w:eastAsia="仿宋_GB2312" w:cs="Times New Roman"/>
          <w:bCs/>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eastAsia="zh-CN"/>
        </w:rPr>
        <w:t>新疆翱巡能源科技有限公司8万吨/年润滑油、2万吨/年润滑脂生产项目环境影响报告书</w:t>
      </w:r>
      <w:r>
        <w:rPr>
          <w:rFonts w:hint="default" w:ascii="Times New Roman" w:hAnsi="Times New Roman" w:eastAsia="仿宋_GB2312" w:cs="Times New Roman"/>
          <w:bCs/>
          <w:color w:val="auto"/>
          <w:szCs w:val="32"/>
          <w:highlight w:val="none"/>
        </w:rPr>
        <w:t>的请示》收悉。经研究，批复如下：</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胡杨河经济技术开发区南园区</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zh-CN"/>
        </w:rPr>
        <w:t>项目中心地理位置坐标为</w:t>
      </w:r>
      <w:r>
        <w:rPr>
          <w:rFonts w:hint="default" w:ascii="Times New Roman" w:hAnsi="Times New Roman" w:eastAsia="仿宋_GB2312" w:cs="Times New Roman"/>
          <w:color w:val="auto"/>
          <w:szCs w:val="32"/>
          <w:highlight w:val="none"/>
          <w:lang w:val="zh-CN" w:eastAsia="zh-CN"/>
        </w:rPr>
        <w:t>东经84°51′</w:t>
      </w:r>
      <w:r>
        <w:rPr>
          <w:rFonts w:hint="default" w:ascii="Times New Roman" w:hAnsi="Times New Roman" w:eastAsia="仿宋_GB2312" w:cs="Times New Roman"/>
          <w:color w:val="auto"/>
          <w:szCs w:val="32"/>
          <w:highlight w:val="none"/>
          <w:lang w:val="zh-CN"/>
        </w:rPr>
        <w:t>34.56</w:t>
      </w:r>
      <w:r>
        <w:rPr>
          <w:rFonts w:hint="default" w:ascii="Times New Roman" w:hAnsi="Times New Roman" w:eastAsia="仿宋_GB2312" w:cs="Times New Roman"/>
          <w:color w:val="auto"/>
          <w:szCs w:val="32"/>
          <w:highlight w:val="none"/>
          <w:lang w:val="zh-CN" w:eastAsia="zh-CN"/>
        </w:rPr>
        <w:t>″，</w:t>
      </w:r>
      <w:r>
        <w:rPr>
          <w:rFonts w:hint="default" w:ascii="Times New Roman" w:hAnsi="Times New Roman" w:eastAsia="仿宋_GB2312" w:cs="Times New Roman"/>
          <w:color w:val="auto"/>
          <w:szCs w:val="32"/>
          <w:highlight w:val="none"/>
          <w:lang w:val="zh-CN"/>
        </w:rPr>
        <w:t>北纬</w:t>
      </w:r>
      <w:r>
        <w:rPr>
          <w:rFonts w:hint="default" w:ascii="Times New Roman" w:hAnsi="Times New Roman" w:eastAsia="仿宋_GB2312" w:cs="Times New Roman"/>
          <w:color w:val="auto"/>
          <w:szCs w:val="32"/>
          <w:highlight w:val="none"/>
          <w:lang w:val="zh-CN" w:eastAsia="zh-CN"/>
        </w:rPr>
        <w:t>44°48′</w:t>
      </w:r>
      <w:r>
        <w:rPr>
          <w:rFonts w:hint="default" w:ascii="Times New Roman" w:hAnsi="Times New Roman" w:eastAsia="仿宋_GB2312" w:cs="Times New Roman"/>
          <w:color w:val="auto"/>
          <w:szCs w:val="32"/>
          <w:highlight w:val="none"/>
          <w:lang w:val="zh-CN"/>
        </w:rPr>
        <w:t>48.63</w:t>
      </w:r>
      <w:r>
        <w:rPr>
          <w:rFonts w:hint="default" w:ascii="Times New Roman" w:hAnsi="Times New Roman" w:eastAsia="仿宋_GB2312" w:cs="Times New Roman"/>
          <w:color w:val="auto"/>
          <w:szCs w:val="32"/>
          <w:highlight w:val="none"/>
          <w:lang w:val="zh-CN" w:eastAsia="zh-CN"/>
        </w:rPr>
        <w:t>″</w:t>
      </w:r>
      <w:r>
        <w:rPr>
          <w:rFonts w:hint="default" w:ascii="Times New Roman" w:hAnsi="Times New Roman" w:eastAsia="仿宋_GB2312" w:cs="Times New Roman"/>
          <w:color w:val="auto"/>
          <w:szCs w:val="32"/>
          <w:highlight w:val="none"/>
          <w:lang w:val="zh-CN"/>
        </w:rPr>
        <w:t>。</w:t>
      </w:r>
      <w:r>
        <w:rPr>
          <w:rFonts w:hint="eastAsia" w:eastAsia="仿宋_GB2312" w:cs="Times New Roman"/>
          <w:color w:val="auto"/>
          <w:szCs w:val="32"/>
          <w:highlight w:val="none"/>
          <w:lang w:val="en-US" w:eastAsia="zh-CN"/>
        </w:rPr>
        <w:t>现该项目发生重大变动</w:t>
      </w:r>
      <w:bookmarkStart w:id="0" w:name="OLE_LINK397"/>
      <w:r>
        <w:rPr>
          <w:rFonts w:hint="eastAsia" w:eastAsia="仿宋_GB2312" w:cs="Times New Roman"/>
          <w:color w:val="auto"/>
          <w:szCs w:val="32"/>
          <w:highlight w:val="none"/>
          <w:lang w:val="en-US" w:eastAsia="zh-CN"/>
        </w:rPr>
        <w:t>，具体变动内容为：4个加温白土锅变更为6个加温白土锅；2个过滤机变更为3个过滤机；4个洗油沉淀罐变更为40个洗油沉淀罐;新增沥青中转罐3个；1#罐区储罐由原8个变更为20个；2#罐区储罐由原来的21个变更为9个；润滑油生产车间新增2套“碱洗喷淋+活性炭吸附”装置和2根15米排气筒。</w:t>
      </w:r>
      <w:bookmarkEnd w:id="0"/>
      <w:r>
        <w:rPr>
          <w:rFonts w:hint="eastAsia" w:eastAsia="仿宋_GB2312" w:cs="Times New Roman"/>
          <w:color w:val="auto"/>
          <w:szCs w:val="32"/>
          <w:highlight w:val="none"/>
          <w:lang w:val="en-US" w:eastAsia="zh-CN"/>
        </w:rPr>
        <w:t>项目总投资15000万元，其中环保投资1455.5万元，占总投资的9.7%。</w:t>
      </w:r>
    </w:p>
    <w:p>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w:t>
      </w:r>
      <w:r>
        <w:rPr>
          <w:rFonts w:hint="default" w:ascii="Times New Roman" w:hAnsi="Times New Roman" w:eastAsia="仿宋_GB2312" w:cs="Times New Roman"/>
          <w:bCs/>
          <w:color w:val="auto"/>
          <w:szCs w:val="32"/>
          <w:highlight w:val="none"/>
          <w:lang w:eastAsia="zh-CN"/>
        </w:rPr>
        <w:t>罐区装卸废气</w:t>
      </w:r>
      <w:r>
        <w:rPr>
          <w:rFonts w:hint="eastAsia" w:eastAsia="仿宋_GB2312" w:cs="Times New Roman"/>
          <w:bCs/>
          <w:color w:val="auto"/>
          <w:szCs w:val="32"/>
          <w:highlight w:val="none"/>
          <w:lang w:val="en-US" w:eastAsia="zh-CN"/>
        </w:rPr>
        <w:t>经</w:t>
      </w:r>
      <w:r>
        <w:rPr>
          <w:rFonts w:hint="default" w:ascii="Times New Roman" w:hAnsi="Times New Roman" w:eastAsia="仿宋_GB2312" w:cs="Times New Roman"/>
          <w:bCs/>
          <w:color w:val="auto"/>
          <w:szCs w:val="32"/>
          <w:highlight w:val="none"/>
          <w:lang w:val="en-US" w:eastAsia="zh-CN"/>
        </w:rPr>
        <w:t>“油气平衡+油气回收（冷凝+吸附）”工艺处理后，由15米高的排气筒排放，</w:t>
      </w:r>
      <w:r>
        <w:rPr>
          <w:rFonts w:hint="default" w:ascii="Times New Roman" w:hAnsi="Times New Roman" w:eastAsia="仿宋_GB2312" w:cs="Times New Roman"/>
          <w:bCs/>
          <w:color w:val="auto"/>
          <w:szCs w:val="32"/>
          <w:highlight w:val="none"/>
        </w:rPr>
        <w:t>废气中非甲烷总烃</w:t>
      </w:r>
      <w:r>
        <w:rPr>
          <w:rFonts w:hint="default" w:ascii="Times New Roman" w:hAnsi="Times New Roman" w:eastAsia="仿宋_GB2312" w:cs="Times New Roman"/>
          <w:bCs/>
          <w:color w:val="auto"/>
          <w:szCs w:val="32"/>
          <w:highlight w:val="none"/>
          <w:lang w:val="en-US" w:eastAsia="zh-CN"/>
        </w:rPr>
        <w:t>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《石油炼制工业污染物排放标准》（GB31570-2015）表4中去除率≥97%的要求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天然气导热油炉使用低氮燃烧装置，导热油炉烟气经15米高排气筒排放</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烟气中颗粒物、二氧化硫、氮氧化物排放</w:t>
      </w:r>
      <w:r>
        <w:rPr>
          <w:rFonts w:hint="default" w:ascii="Times New Roman" w:hAnsi="Times New Roman" w:eastAsia="仿宋_GB2312" w:cs="Times New Roman"/>
          <w:bCs/>
          <w:color w:val="auto"/>
          <w:szCs w:val="32"/>
          <w:highlight w:val="none"/>
          <w:lang w:val="en-US" w:eastAsia="zh-CN"/>
        </w:rPr>
        <w:t>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《石油炼制工业污染物排放标准》（GB31570-2015）表4中的</w:t>
      </w:r>
      <w:r>
        <w:rPr>
          <w:rFonts w:hint="default" w:ascii="Times New Roman" w:hAnsi="Times New Roman" w:eastAsia="仿宋_GB2312" w:cs="Times New Roman"/>
          <w:bCs/>
          <w:color w:val="auto"/>
          <w:szCs w:val="32"/>
          <w:highlight w:val="none"/>
          <w:lang w:val="en-US" w:eastAsia="zh-CN"/>
        </w:rPr>
        <w:t>限值</w:t>
      </w:r>
      <w:r>
        <w:rPr>
          <w:rFonts w:hint="default" w:ascii="Times New Roman" w:hAnsi="Times New Roman" w:eastAsia="仿宋_GB2312" w:cs="Times New Roman"/>
          <w:bCs/>
          <w:color w:val="auto"/>
          <w:szCs w:val="32"/>
          <w:highlight w:val="none"/>
        </w:rPr>
        <w:t>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润滑油生产车间洗油沉淀罐、白土锅产生的废气经“碱洗喷淋+活性炭吸附”处理后，由15米</w:t>
      </w:r>
      <w:r>
        <w:rPr>
          <w:rFonts w:hint="eastAsia" w:eastAsia="仿宋_GB2312" w:cs="Times New Roman"/>
          <w:bCs/>
          <w:color w:val="auto"/>
          <w:szCs w:val="32"/>
          <w:highlight w:val="none"/>
          <w:lang w:val="en-US" w:eastAsia="zh-CN"/>
        </w:rPr>
        <w:t>高的</w:t>
      </w:r>
      <w:r>
        <w:rPr>
          <w:rFonts w:hint="default" w:ascii="Times New Roman" w:hAnsi="Times New Roman" w:eastAsia="仿宋_GB2312" w:cs="Times New Roman"/>
          <w:bCs/>
          <w:color w:val="auto"/>
          <w:szCs w:val="32"/>
          <w:highlight w:val="none"/>
          <w:lang w:val="en-US" w:eastAsia="zh-CN"/>
        </w:rPr>
        <w:t>排气筒排放，废气中非甲烷总烃、硫酸雾排放浓度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《石油炼制工业污染物排放标准》（GB31570-2015）表4</w:t>
      </w:r>
      <w:r>
        <w:rPr>
          <w:rFonts w:hint="default" w:ascii="Times New Roman" w:hAnsi="Times New Roman" w:eastAsia="仿宋_GB2312" w:cs="Times New Roman"/>
          <w:bCs/>
          <w:color w:val="auto"/>
          <w:szCs w:val="32"/>
          <w:highlight w:val="none"/>
          <w:lang w:val="en-US" w:eastAsia="zh-CN"/>
        </w:rPr>
        <w:t>的限值要求；酸质沥青罐、板框压滤机产生的废气经“碱洗喷淋+活性炭吸附”处理后，由15米</w:t>
      </w:r>
      <w:r>
        <w:rPr>
          <w:rFonts w:hint="eastAsia" w:eastAsia="仿宋_GB2312" w:cs="Times New Roman"/>
          <w:bCs/>
          <w:color w:val="auto"/>
          <w:szCs w:val="32"/>
          <w:highlight w:val="none"/>
          <w:lang w:val="en-US" w:eastAsia="zh-CN"/>
        </w:rPr>
        <w:t>高的</w:t>
      </w:r>
      <w:r>
        <w:rPr>
          <w:rFonts w:hint="default" w:ascii="Times New Roman" w:hAnsi="Times New Roman" w:eastAsia="仿宋_GB2312" w:cs="Times New Roman"/>
          <w:bCs/>
          <w:color w:val="auto"/>
          <w:szCs w:val="32"/>
          <w:highlight w:val="none"/>
          <w:lang w:val="en-US" w:eastAsia="zh-CN"/>
        </w:rPr>
        <w:t>排气筒排放，废气中非甲烷总烃、硫酸雾排放浓度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《石油炼制工业污染物排放标准》（GB31570-2015）表4</w:t>
      </w:r>
      <w:r>
        <w:rPr>
          <w:rFonts w:hint="default" w:ascii="Times New Roman" w:hAnsi="Times New Roman" w:eastAsia="仿宋_GB2312" w:cs="Times New Roman"/>
          <w:bCs/>
          <w:color w:val="auto"/>
          <w:szCs w:val="32"/>
          <w:highlight w:val="none"/>
          <w:lang w:val="en-US" w:eastAsia="zh-CN"/>
        </w:rPr>
        <w:t>的限值要求。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生产车间密闭，定期洒水降尘；生产车间及储罐等设备与管线组件</w:t>
      </w:r>
      <w:r>
        <w:rPr>
          <w:rFonts w:hint="default" w:ascii="Times New Roman" w:hAnsi="Times New Roman" w:eastAsia="仿宋_GB2312" w:cs="Times New Roman"/>
          <w:bCs/>
          <w:color w:val="auto"/>
          <w:szCs w:val="32"/>
          <w:highlight w:val="none"/>
          <w:lang w:val="en-US" w:eastAsia="zh-CN"/>
        </w:rPr>
        <w:t>采取</w:t>
      </w:r>
      <w:r>
        <w:rPr>
          <w:rFonts w:hint="default" w:ascii="Times New Roman" w:hAnsi="Times New Roman" w:eastAsia="仿宋_GB2312" w:cs="Times New Roman"/>
          <w:bCs/>
          <w:color w:val="auto"/>
          <w:szCs w:val="32"/>
          <w:highlight w:val="none"/>
        </w:rPr>
        <w:t>泄漏检测与修复（LDAR）措施；积极推行清洁生产；加强厂区绿化，设置绿化隔离带和卫生防护距离。厂界非甲烷总烃</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颗粒物</w:t>
      </w:r>
      <w:r>
        <w:rPr>
          <w:rFonts w:hint="default" w:ascii="Times New Roman" w:hAnsi="Times New Roman" w:eastAsia="仿宋_GB2312" w:cs="Times New Roman"/>
          <w:bCs/>
          <w:color w:val="auto"/>
          <w:szCs w:val="32"/>
          <w:highlight w:val="none"/>
        </w:rPr>
        <w:t>排放</w:t>
      </w:r>
      <w:r>
        <w:rPr>
          <w:rFonts w:hint="default" w:ascii="Times New Roman" w:hAnsi="Times New Roman" w:eastAsia="仿宋_GB2312" w:cs="Times New Roman"/>
          <w:bCs/>
          <w:color w:val="auto"/>
          <w:szCs w:val="32"/>
          <w:highlight w:val="none"/>
          <w:lang w:val="en-US" w:eastAsia="zh-CN"/>
        </w:rPr>
        <w:t>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《石油炼制工业污染物排放标准》（GB31570-2015）表5中的监控浓度限值要求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氨、硫化氢、臭气排放</w:t>
      </w:r>
      <w:r>
        <w:rPr>
          <w:rFonts w:hint="default" w:ascii="Times New Roman" w:hAnsi="Times New Roman" w:eastAsia="仿宋_GB2312" w:cs="Times New Roman"/>
          <w:bCs/>
          <w:color w:val="auto"/>
          <w:szCs w:val="32"/>
          <w:highlight w:val="none"/>
          <w:lang w:val="en-US" w:eastAsia="zh-CN"/>
        </w:rPr>
        <w:t>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恶臭污染物排放标准</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GB14554-1993</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表1</w:t>
      </w:r>
      <w:r>
        <w:rPr>
          <w:rFonts w:hint="default" w:ascii="Times New Roman" w:hAnsi="Times New Roman" w:eastAsia="仿宋_GB2312" w:cs="Times New Roman"/>
          <w:bCs/>
          <w:color w:val="auto"/>
          <w:szCs w:val="32"/>
          <w:highlight w:val="none"/>
          <w:lang w:val="en-US" w:eastAsia="zh-CN"/>
        </w:rPr>
        <w:t>中的限制要求</w:t>
      </w:r>
      <w:r>
        <w:rPr>
          <w:rFonts w:hint="default" w:ascii="Times New Roman" w:hAnsi="Times New Roman" w:eastAsia="仿宋_GB2312" w:cs="Times New Roman"/>
          <w:bCs/>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lang w:val="en-US"/>
        </w:rPr>
      </w:pPr>
      <w:r>
        <w:rPr>
          <w:rFonts w:hint="eastAsia" w:eastAsia="仿宋_GB2312" w:cs="Times New Roman"/>
          <w:b w:val="0"/>
          <w:bCs w:val="0"/>
          <w:w w:val="100"/>
          <w:kern w:val="2"/>
          <w:sz w:val="32"/>
          <w:szCs w:val="32"/>
          <w:lang w:val="en-US" w:eastAsia="zh-CN" w:bidi="ar-SA"/>
        </w:rPr>
        <w:t>VOCs</w:t>
      </w:r>
      <w:r>
        <w:rPr>
          <w:rFonts w:hint="eastAsia" w:ascii="Times New Roman" w:hAnsi="Times New Roman" w:eastAsia="仿宋_GB2312" w:cs="Times New Roman"/>
          <w:b w:val="0"/>
          <w:bCs w:val="0"/>
          <w:w w:val="100"/>
          <w:kern w:val="2"/>
          <w:sz w:val="32"/>
          <w:szCs w:val="32"/>
          <w:lang w:val="en-US" w:eastAsia="zh-CN" w:bidi="ar-SA"/>
        </w:rPr>
        <w:t>排放总量不超过7.</w:t>
      </w:r>
      <w:r>
        <w:rPr>
          <w:rFonts w:hint="eastAsia" w:eastAsia="仿宋_GB2312" w:cs="Times New Roman"/>
          <w:b w:val="0"/>
          <w:bCs w:val="0"/>
          <w:w w:val="100"/>
          <w:kern w:val="2"/>
          <w:sz w:val="32"/>
          <w:szCs w:val="32"/>
          <w:lang w:val="en-US" w:eastAsia="zh-CN" w:bidi="ar-SA"/>
        </w:rPr>
        <w:t>0655</w:t>
      </w:r>
      <w:r>
        <w:rPr>
          <w:rFonts w:hint="eastAsia" w:ascii="Times New Roman" w:hAnsi="Times New Roman" w:eastAsia="仿宋_GB2312" w:cs="Times New Roman"/>
          <w:b w:val="0"/>
          <w:bCs w:val="0"/>
          <w:w w:val="100"/>
          <w:kern w:val="2"/>
          <w:sz w:val="32"/>
          <w:szCs w:val="32"/>
          <w:lang w:val="en-US" w:eastAsia="zh-CN" w:bidi="ar-SA"/>
        </w:rPr>
        <w:t>吨/年</w:t>
      </w:r>
      <w:r>
        <w:rPr>
          <w:rFonts w:hint="eastAsia" w:eastAsia="仿宋_GB2312" w:cs="Times New Roman"/>
          <w:b w:val="0"/>
          <w:bCs w:val="0"/>
          <w:w w:val="100"/>
          <w:kern w:val="2"/>
          <w:sz w:val="32"/>
          <w:szCs w:val="32"/>
          <w:lang w:val="en-US" w:eastAsia="zh-CN" w:bidi="ar-SA"/>
        </w:rPr>
        <w:t>，氮氧化物</w:t>
      </w:r>
      <w:r>
        <w:rPr>
          <w:rFonts w:hint="eastAsia" w:ascii="Times New Roman" w:hAnsi="Times New Roman" w:eastAsia="仿宋_GB2312" w:cs="Times New Roman"/>
          <w:b w:val="0"/>
          <w:bCs w:val="0"/>
          <w:w w:val="100"/>
          <w:kern w:val="2"/>
          <w:sz w:val="32"/>
          <w:szCs w:val="32"/>
          <w:lang w:val="en-US" w:eastAsia="zh-CN" w:bidi="ar-SA"/>
        </w:rPr>
        <w:t>排放总量不超过</w:t>
      </w:r>
      <w:r>
        <w:rPr>
          <w:rFonts w:hint="eastAsia" w:eastAsia="仿宋_GB2312" w:cs="Times New Roman"/>
          <w:b w:val="0"/>
          <w:bCs w:val="0"/>
          <w:w w:val="100"/>
          <w:kern w:val="2"/>
          <w:sz w:val="32"/>
          <w:szCs w:val="32"/>
          <w:lang w:val="en-US" w:eastAsia="zh-CN" w:bidi="ar-SA"/>
        </w:rPr>
        <w:t>0.314</w:t>
      </w:r>
      <w:r>
        <w:rPr>
          <w:rFonts w:hint="eastAsia" w:ascii="Times New Roman" w:hAnsi="Times New Roman" w:eastAsia="仿宋_GB2312" w:cs="Times New Roman"/>
          <w:b w:val="0"/>
          <w:bCs w:val="0"/>
          <w:w w:val="100"/>
          <w:kern w:val="2"/>
          <w:sz w:val="32"/>
          <w:szCs w:val="32"/>
          <w:lang w:val="en-US" w:eastAsia="zh-CN" w:bidi="ar-SA"/>
        </w:rPr>
        <w:t>吨/年</w:t>
      </w:r>
      <w:r>
        <w:rPr>
          <w:rFonts w:hint="eastAsia" w:eastAsia="仿宋_GB2312" w:cs="Times New Roman"/>
          <w:b w:val="0"/>
          <w:bCs w:val="0"/>
          <w:w w:val="1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kern w:val="2"/>
          <w:sz w:val="32"/>
          <w:szCs w:val="32"/>
          <w:lang w:val="en-US" w:eastAsia="zh-CN" w:bidi="ar-SA"/>
        </w:rPr>
        <w:t>（二）</w:t>
      </w:r>
      <w:r>
        <w:rPr>
          <w:rFonts w:hint="eastAsia" w:eastAsia="仿宋_GB2312" w:cs="Times New Roman"/>
          <w:bCs/>
          <w:color w:val="auto"/>
          <w:kern w:val="2"/>
          <w:sz w:val="32"/>
          <w:szCs w:val="32"/>
          <w:lang w:val="en-US" w:eastAsia="zh-CN" w:bidi="ar-SA"/>
        </w:rPr>
        <w:t>严格</w:t>
      </w:r>
      <w:r>
        <w:rPr>
          <w:rFonts w:hint="default" w:ascii="Times New Roman" w:hAnsi="Times New Roman" w:eastAsia="仿宋_GB2312" w:cs="Times New Roman"/>
          <w:bCs/>
          <w:color w:val="auto"/>
          <w:szCs w:val="32"/>
          <w:highlight w:val="none"/>
        </w:rPr>
        <w:t>落实水污染防治措施。</w:t>
      </w:r>
      <w:r>
        <w:rPr>
          <w:rFonts w:hint="default" w:ascii="Times New Roman" w:hAnsi="Times New Roman" w:eastAsia="仿宋_GB2312" w:cs="Times New Roman"/>
          <w:bCs/>
          <w:color w:val="auto"/>
          <w:szCs w:val="32"/>
          <w:highlight w:val="none"/>
          <w:lang w:val="en-US" w:eastAsia="zh-CN"/>
        </w:rPr>
        <w:t>厂区设置一座20立方米/天污水处理站，处理工艺为“隔油池+A/O生化池”，生产废水和生活污水经厂区污水处理站处理满足《石油炼制工业污染物排放标准》（GB31570-2015）中表1间接排放限值和</w:t>
      </w:r>
      <w:r>
        <w:rPr>
          <w:rFonts w:hint="default" w:ascii="Times New Roman" w:hAnsi="Times New Roman" w:eastAsia="仿宋_GB2312" w:cs="Times New Roman"/>
          <w:bCs/>
          <w:color w:val="auto"/>
          <w:szCs w:val="32"/>
          <w:highlight w:val="none"/>
          <w:lang w:eastAsia="zh-CN"/>
        </w:rPr>
        <w:t>胡杨河经济技术开发区</w:t>
      </w:r>
      <w:r>
        <w:rPr>
          <w:rFonts w:hint="default" w:ascii="Times New Roman" w:hAnsi="Times New Roman" w:eastAsia="仿宋_GB2312" w:cs="Times New Roman"/>
          <w:bCs/>
          <w:color w:val="auto"/>
          <w:szCs w:val="32"/>
          <w:highlight w:val="none"/>
          <w:lang w:val="en-US" w:eastAsia="zh-CN"/>
        </w:rPr>
        <w:t>南园区污水处理厂纳管要求后，由排水管网排</w:t>
      </w:r>
      <w:r>
        <w:rPr>
          <w:rFonts w:hint="default" w:ascii="Times New Roman" w:hAnsi="Times New Roman" w:eastAsia="仿宋_GB2312" w:cs="Times New Roman"/>
          <w:bCs/>
          <w:color w:val="auto"/>
          <w:szCs w:val="32"/>
          <w:highlight w:val="none"/>
        </w:rPr>
        <w:t>至</w:t>
      </w:r>
      <w:r>
        <w:rPr>
          <w:rFonts w:hint="default" w:ascii="Times New Roman" w:hAnsi="Times New Roman" w:eastAsia="仿宋_GB2312" w:cs="Times New Roman"/>
          <w:bCs/>
          <w:color w:val="auto"/>
          <w:szCs w:val="32"/>
          <w:highlight w:val="none"/>
          <w:lang w:eastAsia="zh-CN"/>
        </w:rPr>
        <w:t>胡杨河经济技术开发区南园区污水处理厂</w:t>
      </w:r>
      <w:r>
        <w:rPr>
          <w:rFonts w:hint="default" w:ascii="Times New Roman" w:hAnsi="Times New Roman" w:eastAsia="仿宋_GB2312" w:cs="Times New Roman"/>
          <w:bCs/>
          <w:color w:val="auto"/>
          <w:szCs w:val="32"/>
          <w:highlight w:val="none"/>
        </w:rPr>
        <w:t>处理</w:t>
      </w:r>
      <w:r>
        <w:rPr>
          <w:rFonts w:hint="eastAsia" w:eastAsia="仿宋_GB2312" w:cs="Times New Roman"/>
          <w:bCs/>
          <w:color w:val="auto"/>
          <w:szCs w:val="32"/>
          <w:highlight w:val="none"/>
          <w:lang w:eastAsia="zh-CN"/>
        </w:rPr>
        <w:t>。</w:t>
      </w:r>
    </w:p>
    <w:p>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40" w:lineRule="exact"/>
        <w:ind w:left="0" w:leftChars="0" w:firstLine="632" w:firstLineChars="200"/>
        <w:textAlignment w:val="auto"/>
        <w:rPr>
          <w:rFonts w:hint="eastAsia" w:ascii="Times New Roman" w:hAnsi="Times New Roman" w:eastAsia="仿宋_GB2312" w:cs="Times New Roman"/>
          <w:bCs/>
          <w:color w:val="auto"/>
          <w:szCs w:val="32"/>
          <w:highlight w:val="none"/>
          <w:lang w:eastAsia="zh-CN"/>
        </w:rPr>
      </w:pPr>
      <w:r>
        <w:rPr>
          <w:rFonts w:hint="eastAsia" w:ascii="Times New Roman" w:hAnsi="Times New Roman" w:eastAsia="仿宋_GB2312" w:cs="Times New Roman"/>
          <w:bCs/>
          <w:color w:val="auto"/>
          <w:kern w:val="2"/>
          <w:sz w:val="32"/>
          <w:szCs w:val="32"/>
          <w:lang w:val="en-US" w:eastAsia="zh-CN" w:bidi="ar-SA"/>
        </w:rPr>
        <w:t>（三）</w:t>
      </w:r>
      <w:r>
        <w:rPr>
          <w:rFonts w:hint="default" w:ascii="Times New Roman" w:hAnsi="Times New Roman" w:eastAsia="仿宋_GB2312" w:cs="Times New Roman"/>
          <w:bCs/>
          <w:color w:val="auto"/>
          <w:szCs w:val="32"/>
          <w:highlight w:val="none"/>
        </w:rPr>
        <w:t>严格落实噪声防治措施。优先选择先进可靠的低噪音设备，振动较大的设备采用单独基础并在基础上设置减振装置，强振动设备与管道间采用柔性连接方式。将噪声较大的设备置于室内，并采用隔声、吸音材料制作门窗、砌体等措施。厂界噪声</w:t>
      </w:r>
      <w:r>
        <w:rPr>
          <w:rFonts w:hint="default" w:ascii="Times New Roman" w:hAnsi="Times New Roman" w:eastAsia="仿宋_GB2312" w:cs="Times New Roman"/>
          <w:bCs/>
          <w:color w:val="auto"/>
          <w:szCs w:val="32"/>
          <w:highlight w:val="none"/>
          <w:lang w:val="en-US" w:eastAsia="zh-CN"/>
        </w:rPr>
        <w:t>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《工业企业厂界环境噪声排放标准》（GB12348-2008）中3类标准要求</w:t>
      </w:r>
      <w:r>
        <w:rPr>
          <w:rFonts w:hint="eastAsia" w:eastAsia="仿宋_GB2312" w:cs="Times New Roman"/>
          <w:bCs/>
          <w:color w:val="auto"/>
          <w:szCs w:val="32"/>
          <w:highlight w:val="none"/>
          <w:lang w:eastAsia="zh-CN"/>
        </w:rPr>
        <w:t>。</w:t>
      </w:r>
    </w:p>
    <w:p>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）固体废物实施分类管理和妥善处理处置。白土废渣、废活性炭、废导热油、污水处理站污泥</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包装废料</w:t>
      </w:r>
      <w:r>
        <w:rPr>
          <w:rFonts w:hint="eastAsia" w:eastAsia="仿宋_GB2312" w:cs="Times New Roman"/>
          <w:bCs/>
          <w:color w:val="auto"/>
          <w:szCs w:val="32"/>
          <w:highlight w:val="none"/>
          <w:lang w:val="en-US" w:eastAsia="zh-CN"/>
        </w:rPr>
        <w:t>属于危险废物，暂存于厂区</w:t>
      </w:r>
      <w:r>
        <w:rPr>
          <w:rFonts w:hint="eastAsia" w:ascii="Times New Roman" w:hAnsi="Times New Roman" w:eastAsia="仿宋_GB2312" w:cs="Times New Roman"/>
          <w:color w:val="auto"/>
          <w:kern w:val="2"/>
          <w:szCs w:val="32"/>
          <w:highlight w:val="none"/>
          <w:lang w:val="en-US" w:eastAsia="zh-CN"/>
        </w:rPr>
        <w:t>既有</w:t>
      </w:r>
      <w:r>
        <w:rPr>
          <w:rFonts w:hint="default" w:ascii="Times New Roman" w:hAnsi="Times New Roman" w:eastAsia="仿宋_GB2312" w:cs="Times New Roman"/>
          <w:color w:val="auto"/>
          <w:kern w:val="2"/>
          <w:szCs w:val="32"/>
          <w:highlight w:val="none"/>
          <w:lang w:val="en-US" w:eastAsia="zh-CN"/>
        </w:rPr>
        <w:t>危险废物贮存库，定期交有资质单位处置。</w:t>
      </w:r>
      <w:r>
        <w:rPr>
          <w:rFonts w:hint="default" w:ascii="Times New Roman" w:hAnsi="Times New Roman" w:eastAsia="仿宋_GB2312" w:cs="Times New Roman"/>
          <w:bCs/>
          <w:color w:val="auto"/>
          <w:szCs w:val="32"/>
          <w:highlight w:val="none"/>
        </w:rPr>
        <w:t>危险废物收集、贮存和运输须按照《危险废物收集 贮存 运输技术规范》（HJ2025-2012）和《危险废物转移管理办法》要求进行。</w:t>
      </w:r>
      <w:r>
        <w:rPr>
          <w:rFonts w:hint="default" w:ascii="Times New Roman" w:hAnsi="Times New Roman" w:eastAsia="仿宋_GB2312" w:cs="Times New Roman"/>
          <w:color w:val="auto"/>
          <w:kern w:val="2"/>
          <w:szCs w:val="32"/>
          <w:highlight w:val="none"/>
          <w:lang w:val="en-US" w:eastAsia="zh-CN"/>
        </w:rPr>
        <w:t>生活垃圾经集中收集后，交由园区环卫部门定期清运至胡杨河经济技术开发区南园区生活垃圾填埋场处理。</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五</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对油气回收装置、1#和2#储罐、生产车间、应急事故池、隔油池、危险废物暂存库、污水处理站</w:t>
      </w:r>
      <w:r>
        <w:rPr>
          <w:rFonts w:hint="default" w:ascii="Times New Roman" w:hAnsi="Times New Roman" w:eastAsia="仿宋_GB2312" w:cs="Times New Roman"/>
          <w:color w:val="auto"/>
          <w:kern w:val="2"/>
          <w:szCs w:val="32"/>
          <w:highlight w:val="none"/>
          <w:lang w:eastAsia="zh-CN"/>
        </w:rPr>
        <w:t>等区域进行重点防渗。</w:t>
      </w:r>
      <w:r>
        <w:rPr>
          <w:rFonts w:hint="eastAsia" w:ascii="Times New Roman" w:hAnsi="Times New Roman" w:eastAsia="仿宋_GB2312" w:cs="Times New Roman"/>
          <w:color w:val="auto"/>
          <w:kern w:val="2"/>
          <w:szCs w:val="32"/>
          <w:highlight w:val="none"/>
          <w:lang w:val="en-US" w:eastAsia="zh-CN"/>
        </w:rPr>
        <w:t>对库房、生活区</w:t>
      </w:r>
      <w:r>
        <w:rPr>
          <w:rFonts w:hint="default" w:ascii="Times New Roman" w:hAnsi="Times New Roman" w:eastAsia="仿宋_GB2312" w:cs="Times New Roman"/>
          <w:color w:val="auto"/>
          <w:kern w:val="2"/>
          <w:szCs w:val="32"/>
          <w:highlight w:val="none"/>
          <w:lang w:eastAsia="zh-CN"/>
        </w:rPr>
        <w:t>等区域进行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）加强施工期环境保护，落实防沙治沙措施，防止施工废水、扬尘、噪声污染、水土流失和生态破坏。</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w:t>
      </w:r>
      <w:bookmarkStart w:id="1" w:name="_GoBack"/>
      <w:bookmarkEnd w:id="1"/>
      <w:r>
        <w:rPr>
          <w:rFonts w:hint="default" w:ascii="Times New Roman" w:hAnsi="Times New Roman" w:eastAsia="仿宋_GB2312" w:cs="Times New Roman"/>
          <w:bCs/>
          <w:color w:val="auto"/>
          <w:szCs w:val="32"/>
          <w:highlight w:val="none"/>
        </w:rPr>
        <w:t>申领排污许可证。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00" w:lineRule="exact"/>
        <w:ind w:firstLine="5056" w:firstLineChars="16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日</w: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pPr>
        <w:spacing w:line="400" w:lineRule="exact"/>
        <w:ind w:right="316" w:rightChars="100"/>
        <w:rPr>
          <w:rFonts w:hint="default" w:ascii="Times New Roman" w:hAnsi="Times New Roman" w:eastAsia="仿宋_GB2312" w:cs="Times New Roman"/>
          <w:color w:val="auto"/>
          <w:sz w:val="28"/>
          <w:szCs w:val="28"/>
        </w:rPr>
      </w:pPr>
    </w:p>
    <w:p>
      <w:pPr>
        <w:spacing w:line="400" w:lineRule="exact"/>
        <w:ind w:left="1102" w:leftChars="87" w:right="316" w:rightChars="100" w:hanging="828" w:hangingChars="300"/>
        <w:rPr>
          <w:rFonts w:hint="eastAsia"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tjmjSAAAAAwEAAA8A&#10;AAAAAAAAAQAgAAAAIgAAAGRycy9kb3ducmV2LnhtbFBLAQIUABQAAAAIAIdO4kDRaW685AEAAKkD&#10;AAAOAAAAAAAAAAEAIAAAACEBAABkcnMvZTJvRG9jLnhtbFBLBQYAAAAABgAGAFkBAAB3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w:t>
      </w:r>
      <w:r>
        <w:rPr>
          <w:rFonts w:hint="eastAsia" w:ascii="仿宋_GB2312" w:hAnsi="仿宋_GB2312" w:eastAsia="仿宋_GB2312" w:cs="仿宋_GB2312"/>
          <w:color w:val="auto"/>
          <w:sz w:val="28"/>
          <w:szCs w:val="28"/>
        </w:rPr>
        <w:t>济技术开发区应急管理和环境保护局。</w:t>
      </w:r>
    </w:p>
    <w:p>
      <w:pPr>
        <w:spacing w:line="600" w:lineRule="exact"/>
        <w:ind w:right="316" w:rightChars="100" w:firstLine="254" w:firstLineChars="100"/>
        <w:rPr>
          <w:rFonts w:hint="eastAsia" w:ascii="仿宋_GB2312" w:hAnsi="仿宋_GB2312" w:eastAsia="仿宋_GB2312" w:cs="仿宋_GB2312"/>
          <w:bCs/>
          <w:color w:val="auto"/>
          <w:szCs w:val="32"/>
          <w:highlight w:val="none"/>
        </w:rPr>
      </w:pP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uTPV1AAAAAYBAAAPAAAAAAAA&#10;AAEAIAAAACIAAABkcnMvZG93bnJldi54bWxQSwECFAAUAAAACACHTuJA8nVwg90BAACoAwAADgAA&#10;AAAAAAABACAAAAAjAQAAZHJzL2Uyb0RvYy54bWxQSwUGAAAAAAYABgBZAQAAcg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jMEDT&#10;AAAABAEAAA8AAAAAAAAAAQAgAAAAIgAAAGRycy9kb3ducmV2LnhtbFBLAQIUABQAAAAIAIdO4kCD&#10;IZ7V7AEAALE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w:t>新疆生产建设兵团第七师胡杨河市生态环境局</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y8TDUAAAABw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207129"/>
    <w:rsid w:val="05737345"/>
    <w:rsid w:val="06281A38"/>
    <w:rsid w:val="06C71389"/>
    <w:rsid w:val="06CC7B06"/>
    <w:rsid w:val="07061550"/>
    <w:rsid w:val="07E14CFA"/>
    <w:rsid w:val="08EC6D80"/>
    <w:rsid w:val="0994708F"/>
    <w:rsid w:val="09E77F18"/>
    <w:rsid w:val="0B101A86"/>
    <w:rsid w:val="0BBC2B25"/>
    <w:rsid w:val="0C7E602C"/>
    <w:rsid w:val="0CE57E5A"/>
    <w:rsid w:val="0E130163"/>
    <w:rsid w:val="0E7B0A75"/>
    <w:rsid w:val="0FE304CE"/>
    <w:rsid w:val="128F6BA3"/>
    <w:rsid w:val="12C7072D"/>
    <w:rsid w:val="141E2CF7"/>
    <w:rsid w:val="15437E13"/>
    <w:rsid w:val="16B800EE"/>
    <w:rsid w:val="170D692B"/>
    <w:rsid w:val="177121A0"/>
    <w:rsid w:val="17D3547E"/>
    <w:rsid w:val="18A773D4"/>
    <w:rsid w:val="19A10D50"/>
    <w:rsid w:val="1D8B05A9"/>
    <w:rsid w:val="1E460B4D"/>
    <w:rsid w:val="1E7948A6"/>
    <w:rsid w:val="1F7532BF"/>
    <w:rsid w:val="205C4B20"/>
    <w:rsid w:val="20783D41"/>
    <w:rsid w:val="21162F81"/>
    <w:rsid w:val="21DD6837"/>
    <w:rsid w:val="232E3EB1"/>
    <w:rsid w:val="233D7B4C"/>
    <w:rsid w:val="23D22A8E"/>
    <w:rsid w:val="24057B5F"/>
    <w:rsid w:val="24696853"/>
    <w:rsid w:val="24765B0F"/>
    <w:rsid w:val="247C78BD"/>
    <w:rsid w:val="250B5DC7"/>
    <w:rsid w:val="256C6F12"/>
    <w:rsid w:val="25B11864"/>
    <w:rsid w:val="260C6FC7"/>
    <w:rsid w:val="266546C4"/>
    <w:rsid w:val="291034DE"/>
    <w:rsid w:val="2B066B68"/>
    <w:rsid w:val="2B665A9B"/>
    <w:rsid w:val="2BA03F96"/>
    <w:rsid w:val="2DFB7085"/>
    <w:rsid w:val="2F130EE6"/>
    <w:rsid w:val="2F234AE5"/>
    <w:rsid w:val="2F2B3664"/>
    <w:rsid w:val="2F57653D"/>
    <w:rsid w:val="2FEE4162"/>
    <w:rsid w:val="301A5EE8"/>
    <w:rsid w:val="32C5491C"/>
    <w:rsid w:val="358F67ED"/>
    <w:rsid w:val="371F1D45"/>
    <w:rsid w:val="37A75B88"/>
    <w:rsid w:val="38207142"/>
    <w:rsid w:val="38453BBB"/>
    <w:rsid w:val="396C7089"/>
    <w:rsid w:val="3BAC6099"/>
    <w:rsid w:val="3C25479F"/>
    <w:rsid w:val="3D7076AF"/>
    <w:rsid w:val="3D7947D5"/>
    <w:rsid w:val="3DD64512"/>
    <w:rsid w:val="3E900D0A"/>
    <w:rsid w:val="3EC1562C"/>
    <w:rsid w:val="3F0E35AF"/>
    <w:rsid w:val="3F4E158E"/>
    <w:rsid w:val="428237EB"/>
    <w:rsid w:val="4419237E"/>
    <w:rsid w:val="45D948F4"/>
    <w:rsid w:val="46F24DE3"/>
    <w:rsid w:val="47587B93"/>
    <w:rsid w:val="4812529F"/>
    <w:rsid w:val="48776584"/>
    <w:rsid w:val="493F20C4"/>
    <w:rsid w:val="4A1609FB"/>
    <w:rsid w:val="4A272EF1"/>
    <w:rsid w:val="4AB55994"/>
    <w:rsid w:val="4B38454C"/>
    <w:rsid w:val="4B9F5BD0"/>
    <w:rsid w:val="4CBF17F2"/>
    <w:rsid w:val="4CCA458A"/>
    <w:rsid w:val="4F0E67C1"/>
    <w:rsid w:val="50CC6933"/>
    <w:rsid w:val="50CD705E"/>
    <w:rsid w:val="51134562"/>
    <w:rsid w:val="52E568E7"/>
    <w:rsid w:val="532B39C5"/>
    <w:rsid w:val="54231BA0"/>
    <w:rsid w:val="550F6DEF"/>
    <w:rsid w:val="562D5084"/>
    <w:rsid w:val="56E16569"/>
    <w:rsid w:val="596F60AE"/>
    <w:rsid w:val="5A605F4A"/>
    <w:rsid w:val="5A885A96"/>
    <w:rsid w:val="5B637E94"/>
    <w:rsid w:val="5CBD2518"/>
    <w:rsid w:val="5FCB7199"/>
    <w:rsid w:val="609006D2"/>
    <w:rsid w:val="63F87D72"/>
    <w:rsid w:val="64C86FBA"/>
    <w:rsid w:val="652E506F"/>
    <w:rsid w:val="654C1999"/>
    <w:rsid w:val="660E4EA0"/>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21320EC"/>
    <w:rsid w:val="73323C81"/>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C460A98"/>
    <w:rsid w:val="7CE3278B"/>
    <w:rsid w:val="7D155CFE"/>
    <w:rsid w:val="7D7B4DE1"/>
    <w:rsid w:val="7E394A85"/>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样式 首行缩进:  2 字符1"/>
    <w:basedOn w:val="1"/>
    <w:qFormat/>
    <w:uiPriority w:val="0"/>
    <w:pPr>
      <w:adjustRightInd w:val="0"/>
      <w:snapToGrid w:val="0"/>
      <w:ind w:firstLine="480"/>
    </w:pPr>
    <w:rPr>
      <w:rFonts w:cs="宋体"/>
      <w:szCs w:val="20"/>
    </w:rPr>
  </w:style>
  <w:style w:type="paragraph" w:customStyle="1" w:styleId="19">
    <w:name w:val="Default"/>
    <w:basedOn w:val="20"/>
    <w:next w:val="1"/>
    <w:unhideWhenUsed/>
    <w:qFormat/>
    <w:uiPriority w:val="0"/>
    <w:pPr>
      <w:tabs>
        <w:tab w:val="left" w:pos="2760"/>
      </w:tabs>
      <w:autoSpaceDE w:val="0"/>
      <w:autoSpaceDN w:val="0"/>
    </w:pPr>
    <w:rPr>
      <w:rFonts w:hAnsi="宋体" w:eastAsia="宋体"/>
      <w:color w:val="000000"/>
      <w:sz w:val="24"/>
    </w:rPr>
  </w:style>
  <w:style w:type="paragraph" w:customStyle="1" w:styleId="20">
    <w:name w:val="纯文本1"/>
    <w:basedOn w:val="1"/>
    <w:qFormat/>
    <w:uiPriority w:val="0"/>
    <w:pPr>
      <w:tabs>
        <w:tab w:val="left" w:pos="2760"/>
      </w:tabs>
      <w:adjustRightInd w:val="0"/>
    </w:pPr>
    <w:rPr>
      <w:rFonts w:ascii="宋体" w:hAnsi="Courier New"/>
    </w:rPr>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2592</Words>
  <Characters>2783</Characters>
  <Lines>11</Lines>
  <Paragraphs>3</Paragraphs>
  <TotalTime>3</TotalTime>
  <ScaleCrop>false</ScaleCrop>
  <LinksUpToDate>false</LinksUpToDate>
  <CharactersWithSpaces>2823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Administrator</cp:lastModifiedBy>
  <cp:lastPrinted>2024-11-21T03:27:00Z</cp:lastPrinted>
  <dcterms:modified xsi:type="dcterms:W3CDTF">2025-05-07T09:25:15Z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6D85F3A15DB947798397CBE0FC4A749F_13</vt:lpwstr>
  </property>
  <property fmtid="{D5CDD505-2E9C-101B-9397-08002B2CF9AE}" pid="4" name="KSOTemplateDocerSaveRecord">
    <vt:lpwstr>eyJoZGlkIjoiODBjNzYxYmIzOWJkMDlmNzJmZjdjMmNkNDkzMGYxZDkiLCJ1c2VySWQiOiI1NTE5NjI2NTYifQ==</vt:lpwstr>
  </property>
</Properties>
</file>