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19</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于奎探1井勘探钻探项目环境影响</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zh-CN"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eastAsia" w:eastAsia="仿宋_GB2312" w:cs="Times New Roman"/>
          <w:bCs/>
          <w:color w:val="auto"/>
          <w:szCs w:val="32"/>
          <w:highlight w:val="none"/>
          <w:lang w:val="en-US" w:eastAsia="zh-CN"/>
        </w:rPr>
        <w:t>中国石油新疆油田分公司勘探事业部</w:t>
      </w:r>
      <w:r>
        <w:rPr>
          <w:rFonts w:hint="default" w:ascii="Times New Roman" w:hAnsi="Times New Roman" w:eastAsia="仿宋_GB2312" w:cs="Times New Roman"/>
          <w:bCs/>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奎探1井勘探钻探项目环境影响报告</w:t>
      </w:r>
      <w:r>
        <w:rPr>
          <w:rFonts w:hint="default" w:ascii="Times New Roman" w:hAnsi="Times New Roman" w:eastAsia="仿宋_GB2312" w:cs="Times New Roman"/>
          <w:bCs/>
          <w:color w:val="auto"/>
          <w:szCs w:val="32"/>
          <w:highlight w:val="none"/>
          <w:lang w:val="zh-CN" w:eastAsia="zh-CN"/>
        </w:rPr>
        <w:t>表</w:t>
      </w:r>
      <w:r>
        <w:rPr>
          <w:rFonts w:hint="default" w:ascii="Times New Roman" w:hAnsi="Times New Roman" w:eastAsia="仿宋_GB2312" w:cs="Times New Roman"/>
          <w:bCs/>
          <w:color w:val="auto"/>
          <w:szCs w:val="32"/>
          <w:highlight w:val="none"/>
        </w:rPr>
        <w:t>的请示》收悉。经研究，批复如下：</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w:t>
      </w:r>
      <w:r>
        <w:rPr>
          <w:rFonts w:hint="default" w:ascii="Times New Roman" w:hAnsi="Times New Roman" w:eastAsia="仿宋_GB2312" w:cs="Times New Roman"/>
          <w:color w:val="auto"/>
          <w:szCs w:val="32"/>
          <w:highlight w:val="none"/>
          <w:lang w:val="zh-CN"/>
        </w:rPr>
        <w:t>12</w:t>
      </w:r>
      <w:r>
        <w:rPr>
          <w:rFonts w:hint="default" w:ascii="Times New Roman" w:hAnsi="Times New Roman" w:eastAsia="仿宋_GB2312" w:cs="Times New Roman"/>
          <w:color w:val="auto"/>
          <w:szCs w:val="32"/>
          <w:highlight w:val="none"/>
          <w:lang w:val="en-US" w:eastAsia="zh-CN"/>
        </w:rPr>
        <w:t>5</w:t>
      </w:r>
      <w:r>
        <w:rPr>
          <w:rFonts w:hint="default" w:ascii="Times New Roman" w:hAnsi="Times New Roman" w:eastAsia="仿宋_GB2312" w:cs="Times New Roman"/>
          <w:color w:val="auto"/>
          <w:szCs w:val="32"/>
          <w:highlight w:val="none"/>
          <w:lang w:val="zh-CN"/>
        </w:rPr>
        <w:t>团</w:t>
      </w:r>
      <w:r>
        <w:rPr>
          <w:rFonts w:hint="default" w:ascii="Times New Roman" w:hAnsi="Times New Roman" w:eastAsia="仿宋_GB2312" w:cs="Times New Roman"/>
          <w:color w:val="auto"/>
          <w:szCs w:val="32"/>
          <w:highlight w:val="none"/>
          <w:lang w:val="en-US" w:eastAsia="zh-CN"/>
        </w:rPr>
        <w:t>9连</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zh-CN"/>
        </w:rPr>
        <w:t>项目中心地理位置坐标为东经84°</w:t>
      </w:r>
      <w:r>
        <w:rPr>
          <w:rFonts w:hint="default" w:ascii="Times New Roman" w:hAnsi="Times New Roman" w:eastAsia="仿宋_GB2312" w:cs="Times New Roman"/>
          <w:color w:val="auto"/>
          <w:szCs w:val="32"/>
          <w:highlight w:val="none"/>
          <w:lang w:val="zh-CN" w:eastAsia="zh-CN"/>
        </w:rPr>
        <w:t>23′40.703″，</w:t>
      </w:r>
      <w:r>
        <w:rPr>
          <w:rFonts w:hint="default" w:ascii="Times New Roman" w:hAnsi="Times New Roman" w:eastAsia="仿宋_GB2312" w:cs="Times New Roman"/>
          <w:color w:val="auto"/>
          <w:szCs w:val="32"/>
          <w:highlight w:val="none"/>
          <w:lang w:val="zh-CN"/>
        </w:rPr>
        <w:t>北纬44°</w:t>
      </w:r>
      <w:r>
        <w:rPr>
          <w:rFonts w:hint="default" w:ascii="Times New Roman" w:hAnsi="Times New Roman" w:eastAsia="仿宋_GB2312" w:cs="Times New Roman"/>
          <w:color w:val="auto"/>
          <w:szCs w:val="32"/>
          <w:highlight w:val="none"/>
          <w:lang w:val="zh-CN" w:eastAsia="zh-CN"/>
        </w:rPr>
        <w:t>33′57.514″</w:t>
      </w:r>
      <w:r>
        <w:rPr>
          <w:rFonts w:hint="default" w:ascii="Times New Roman" w:hAnsi="Times New Roman" w:eastAsia="仿宋_GB2312" w:cs="Times New Roman"/>
          <w:color w:val="auto"/>
          <w:szCs w:val="32"/>
          <w:highlight w:val="none"/>
          <w:lang w:val="zh-CN"/>
        </w:rPr>
        <w:t>。</w:t>
      </w:r>
      <w:bookmarkStart w:id="0" w:name="OLE_LINK397"/>
      <w:r>
        <w:rPr>
          <w:rFonts w:hint="eastAsia" w:eastAsia="仿宋_GB2312" w:cs="Times New Roman"/>
          <w:color w:val="auto"/>
          <w:szCs w:val="32"/>
          <w:highlight w:val="none"/>
          <w:lang w:val="en-US" w:eastAsia="zh-CN"/>
        </w:rPr>
        <w:t>项目</w:t>
      </w:r>
      <w:r>
        <w:rPr>
          <w:rFonts w:hint="default" w:ascii="Times New Roman" w:hAnsi="Times New Roman" w:eastAsia="仿宋_GB2312" w:cs="Times New Roman"/>
          <w:color w:val="auto"/>
          <w:szCs w:val="32"/>
          <w:highlight w:val="none"/>
          <w:lang w:val="zh-CN" w:eastAsia="zh-CN"/>
        </w:rPr>
        <w:t>新建</w:t>
      </w:r>
      <w:r>
        <w:rPr>
          <w:rFonts w:hint="default" w:ascii="Times New Roman" w:hAnsi="Times New Roman" w:eastAsia="仿宋_GB2312" w:cs="Times New Roman"/>
          <w:color w:val="auto"/>
          <w:szCs w:val="32"/>
          <w:highlight w:val="none"/>
          <w:lang w:val="zh-CN"/>
        </w:rPr>
        <w:t>1口</w:t>
      </w:r>
      <w:r>
        <w:rPr>
          <w:rFonts w:hint="default" w:ascii="Times New Roman" w:hAnsi="Times New Roman" w:eastAsia="仿宋_GB2312" w:cs="Times New Roman"/>
          <w:color w:val="auto"/>
          <w:szCs w:val="32"/>
          <w:highlight w:val="none"/>
          <w:lang w:val="zh-CN" w:eastAsia="zh-CN"/>
        </w:rPr>
        <w:t>勘探</w:t>
      </w:r>
      <w:r>
        <w:rPr>
          <w:rFonts w:hint="default" w:ascii="Times New Roman" w:hAnsi="Times New Roman" w:eastAsia="仿宋_GB2312" w:cs="Times New Roman"/>
          <w:color w:val="auto"/>
          <w:szCs w:val="32"/>
          <w:highlight w:val="none"/>
          <w:lang w:val="zh-CN"/>
        </w:rPr>
        <w:t>井并配套建设道路及附属设施。</w:t>
      </w:r>
      <w:bookmarkEnd w:id="0"/>
      <w:r>
        <w:rPr>
          <w:rFonts w:hint="default" w:ascii="Times New Roman" w:hAnsi="Times New Roman" w:eastAsia="仿宋_GB2312" w:cs="Times New Roman"/>
          <w:color w:val="auto"/>
          <w:szCs w:val="32"/>
          <w:highlight w:val="none"/>
          <w:lang w:val="zh-CN"/>
        </w:rPr>
        <w:t>项目总投资</w:t>
      </w:r>
      <w:r>
        <w:rPr>
          <w:rFonts w:hint="default" w:ascii="Times New Roman" w:hAnsi="Times New Roman" w:eastAsia="仿宋_GB2312" w:cs="Times New Roman"/>
          <w:color w:val="auto"/>
          <w:szCs w:val="32"/>
          <w:highlight w:val="none"/>
          <w:lang w:val="zh-CN" w:eastAsia="zh-CN"/>
        </w:rPr>
        <w:t>4000</w:t>
      </w:r>
      <w:r>
        <w:rPr>
          <w:rFonts w:hint="default" w:ascii="Times New Roman" w:hAnsi="Times New Roman" w:eastAsia="仿宋_GB2312" w:cs="Times New Roman"/>
          <w:color w:val="auto"/>
          <w:szCs w:val="32"/>
          <w:highlight w:val="none"/>
          <w:lang w:val="zh-CN"/>
        </w:rPr>
        <w:t>万元，其中环保投资约</w:t>
      </w:r>
      <w:r>
        <w:rPr>
          <w:rFonts w:hint="default" w:ascii="Times New Roman" w:hAnsi="Times New Roman" w:eastAsia="仿宋_GB2312" w:cs="Times New Roman"/>
          <w:color w:val="auto"/>
          <w:szCs w:val="32"/>
          <w:highlight w:val="none"/>
          <w:lang w:val="zh-CN" w:eastAsia="zh-CN"/>
        </w:rPr>
        <w:t>199</w:t>
      </w:r>
      <w:r>
        <w:rPr>
          <w:rFonts w:hint="default" w:ascii="Times New Roman" w:hAnsi="Times New Roman" w:eastAsia="仿宋_GB2312" w:cs="Times New Roman"/>
          <w:color w:val="auto"/>
          <w:szCs w:val="32"/>
          <w:highlight w:val="none"/>
          <w:lang w:val="zh-CN"/>
        </w:rPr>
        <w:t>万元，占总投资的</w:t>
      </w:r>
      <w:r>
        <w:rPr>
          <w:rFonts w:hint="default" w:ascii="Times New Roman" w:hAnsi="Times New Roman" w:eastAsia="仿宋_GB2312" w:cs="Times New Roman"/>
          <w:color w:val="auto"/>
          <w:szCs w:val="32"/>
          <w:highlight w:val="none"/>
          <w:lang w:val="zh-CN" w:eastAsia="zh-CN"/>
        </w:rPr>
        <w:t>4.98</w:t>
      </w:r>
      <w:r>
        <w:rPr>
          <w:rFonts w:hint="default" w:ascii="Times New Roman" w:hAnsi="Times New Roman" w:eastAsia="仿宋_GB2312" w:cs="Times New Roman"/>
          <w:color w:val="auto"/>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三、项目建设中应重点做好以下工作：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划定施工区域，施工作业时尽量避开植被密集的区域；井场、站场建设应严格控制占地面积；严格控制施工人员、施工机械、施工作业带的范围，严禁随意扩大扰动范围；严格控制和管理车辆及重型机械的运行范围；强化施工管理，增强施工人员的环境保护意识，禁止捕杀、惊吓野生动物；施工结束后，做到井场整洁、无杂物，及时清理现场，尽快恢复原状，对永久占地进行地面硬化，减少风蚀。</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w:t>
      </w:r>
      <w:bookmarkStart w:id="1" w:name="_Hlk177556520"/>
      <w:r>
        <w:rPr>
          <w:rFonts w:hint="default" w:ascii="Times New Roman" w:hAnsi="Times New Roman" w:eastAsia="仿宋_GB2312" w:cs="Times New Roman"/>
          <w:bCs/>
          <w:color w:val="auto"/>
          <w:szCs w:val="32"/>
          <w:highlight w:val="none"/>
        </w:rPr>
        <w:t>合理安排施工工期，</w:t>
      </w:r>
      <w:bookmarkEnd w:id="1"/>
      <w:r>
        <w:rPr>
          <w:rFonts w:hint="default" w:ascii="Times New Roman" w:hAnsi="Times New Roman" w:eastAsia="仿宋_GB2312" w:cs="Times New Roman"/>
          <w:bCs/>
          <w:color w:val="auto"/>
          <w:szCs w:val="32"/>
          <w:highlight w:val="none"/>
        </w:rPr>
        <w:t>严禁在大风天气进行土方作业；临时土方在井场堆放时采用防尘布覆盖并洒水降尘；选用符合国家标准要求的机械设备</w:t>
      </w:r>
      <w:r>
        <w:rPr>
          <w:rFonts w:hint="default" w:ascii="Times New Roman" w:hAnsi="Times New Roman" w:eastAsia="仿宋_GB2312" w:cs="Times New Roman"/>
          <w:bCs/>
          <w:color w:val="auto"/>
          <w:szCs w:val="32"/>
          <w:highlight w:val="none"/>
          <w:lang w:eastAsia="zh-CN"/>
        </w:rPr>
        <w:t>，定期对施工机械及车辆检维修并加强保养。</w:t>
      </w:r>
      <w:r>
        <w:rPr>
          <w:rFonts w:hint="default" w:ascii="Times New Roman" w:hAnsi="Times New Roman" w:eastAsia="仿宋_GB2312" w:cs="Times New Roman"/>
          <w:bCs/>
          <w:color w:val="auto"/>
          <w:szCs w:val="32"/>
          <w:highlight w:val="none"/>
        </w:rPr>
        <w:t>试油期伴生气燃烧过程、采出液储存及装车过程、柴油卸车及储存过程</w:t>
      </w:r>
      <w:r>
        <w:rPr>
          <w:rFonts w:hint="default" w:ascii="Times New Roman" w:hAnsi="Times New Roman" w:eastAsia="仿宋_GB2312" w:cs="Times New Roman"/>
          <w:bCs/>
          <w:color w:val="auto"/>
          <w:szCs w:val="32"/>
          <w:highlight w:val="none"/>
          <w:lang w:val="en-US" w:eastAsia="zh-CN"/>
        </w:rPr>
        <w:t>、</w:t>
      </w:r>
      <w:r>
        <w:rPr>
          <w:rFonts w:hint="default" w:ascii="Times New Roman" w:hAnsi="Times New Roman" w:eastAsia="仿宋_GB2312" w:cs="Times New Roman"/>
          <w:bCs/>
          <w:color w:val="auto"/>
          <w:szCs w:val="32"/>
          <w:highlight w:val="none"/>
        </w:rPr>
        <w:t>储层改造过程中排放的非甲烷总烃</w:t>
      </w:r>
      <w:r>
        <w:rPr>
          <w:rFonts w:hint="default" w:ascii="Times New Roman" w:hAnsi="Times New Roman" w:eastAsia="仿宋_GB2312" w:cs="Times New Roman"/>
          <w:bCs/>
          <w:color w:val="auto"/>
          <w:szCs w:val="32"/>
          <w:highlight w:val="none"/>
          <w:lang w:val="en-US" w:eastAsia="zh-CN"/>
        </w:rPr>
        <w:t>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《陆上石油天然气开采工业大气污染物排放标准》（GB39728-2020）中相关标准限值要求，硫化氢排放浓度应</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《恶臭污染物排放标准》（GB14554-93）表1二级新改扩建浓度</w:t>
      </w:r>
      <w:r>
        <w:rPr>
          <w:rFonts w:hint="default" w:ascii="Times New Roman" w:hAnsi="Times New Roman" w:eastAsia="仿宋_GB2312" w:cs="Times New Roman"/>
          <w:bCs/>
          <w:color w:val="auto"/>
          <w:szCs w:val="32"/>
          <w:highlight w:val="none"/>
          <w:lang w:val="en-US" w:eastAsia="zh-CN"/>
        </w:rPr>
        <w:t>限值</w:t>
      </w:r>
      <w:r>
        <w:rPr>
          <w:rFonts w:hint="default" w:ascii="Times New Roman" w:hAnsi="Times New Roman" w:eastAsia="仿宋_GB2312" w:cs="Times New Roman"/>
          <w:bCs/>
          <w:color w:val="auto"/>
          <w:szCs w:val="32"/>
          <w:highlight w:val="none"/>
        </w:rPr>
        <w:t>要求。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（三）落实水污染防治措施。钻井废水</w:t>
      </w:r>
      <w:r>
        <w:rPr>
          <w:rFonts w:hint="default" w:ascii="Times New Roman" w:hAnsi="Times New Roman" w:eastAsia="仿宋_GB2312" w:cs="Times New Roman"/>
          <w:bCs/>
          <w:color w:val="auto"/>
          <w:szCs w:val="32"/>
          <w:highlight w:val="none"/>
          <w:lang w:val="en-US" w:eastAsia="zh-CN"/>
        </w:rPr>
        <w:t>经“泥浆</w:t>
      </w:r>
      <w:r>
        <w:rPr>
          <w:rFonts w:hint="default" w:ascii="Times New Roman" w:hAnsi="Times New Roman" w:eastAsia="仿宋_GB2312" w:cs="Times New Roman"/>
          <w:bCs/>
          <w:color w:val="auto"/>
          <w:szCs w:val="32"/>
          <w:highlight w:val="none"/>
        </w:rPr>
        <w:t>不落地系统</w:t>
      </w:r>
      <w:r>
        <w:rPr>
          <w:rFonts w:hint="default" w:ascii="Times New Roman" w:hAnsi="Times New Roman" w:eastAsia="仿宋_GB2312" w:cs="Times New Roman"/>
          <w:bCs/>
          <w:color w:val="auto"/>
          <w:szCs w:val="32"/>
          <w:highlight w:val="none"/>
          <w:lang w:val="en-US" w:eastAsia="zh-CN"/>
        </w:rPr>
        <w:t>”处理后液相全部回用于钻井液配置</w:t>
      </w:r>
      <w:r>
        <w:rPr>
          <w:rFonts w:hint="default" w:ascii="Times New Roman" w:hAnsi="Times New Roman" w:eastAsia="仿宋_GB2312" w:cs="Times New Roman"/>
          <w:bCs/>
          <w:color w:val="auto"/>
          <w:szCs w:val="32"/>
          <w:highlight w:val="none"/>
        </w:rPr>
        <w:t>；试油废水包括洗井废水和压裂返排液，经专用储罐收集后由罐车拉运至红山嘴原油处理站压裂返排液处理系统处理；</w:t>
      </w:r>
      <w:r>
        <w:rPr>
          <w:rFonts w:hint="default" w:ascii="Times New Roman" w:hAnsi="Times New Roman" w:eastAsia="仿宋_GB2312" w:cs="Times New Roman"/>
          <w:bCs/>
          <w:color w:val="auto"/>
          <w:szCs w:val="32"/>
          <w:highlight w:val="none"/>
          <w:lang w:val="en-US" w:eastAsia="zh-CN"/>
        </w:rPr>
        <w:t>井场生活营地设置防渗收集池用于收集和暂存生活污水</w:t>
      </w:r>
      <w:r>
        <w:rPr>
          <w:rFonts w:hint="default" w:ascii="Times New Roman" w:hAnsi="Times New Roman" w:eastAsia="仿宋_GB2312" w:cs="Times New Roman"/>
          <w:bCs/>
          <w:color w:val="auto"/>
          <w:szCs w:val="32"/>
          <w:highlight w:val="none"/>
        </w:rPr>
        <w:t>，生活污水定期清运至克拉玛依市第二污水处理厂处理。施工结束后，拆除临时防渗</w:t>
      </w:r>
      <w:r>
        <w:rPr>
          <w:rFonts w:hint="default" w:ascii="Times New Roman" w:hAnsi="Times New Roman" w:eastAsia="仿宋_GB2312" w:cs="Times New Roman"/>
          <w:bCs/>
          <w:color w:val="auto"/>
          <w:szCs w:val="32"/>
          <w:highlight w:val="none"/>
          <w:lang w:val="en-US" w:eastAsia="zh-CN"/>
        </w:rPr>
        <w:t>收集</w:t>
      </w:r>
      <w:r>
        <w:rPr>
          <w:rFonts w:hint="default" w:ascii="Times New Roman" w:hAnsi="Times New Roman" w:eastAsia="仿宋_GB2312" w:cs="Times New Roman"/>
          <w:bCs/>
          <w:color w:val="auto"/>
          <w:szCs w:val="32"/>
          <w:highlight w:val="none"/>
        </w:rPr>
        <w:t>池，并平整土地。</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w:t>
      </w:r>
      <w:r>
        <w:rPr>
          <w:rFonts w:hint="default" w:ascii="Times New Roman" w:hAnsi="Times New Roman" w:eastAsia="仿宋_GB2312" w:cs="Times New Roman"/>
          <w:bCs/>
          <w:color w:val="auto"/>
          <w:szCs w:val="32"/>
          <w:highlight w:val="none"/>
          <w:lang w:eastAsia="zh-CN"/>
        </w:rPr>
        <w:t>施工机械采用低噪声设备；加强设备维护及保养，对噪声较大的设备采取基础减振措施；加强施工场地管理，合理疏导进入施工区的车辆，禁止运输车辆随意高声鸣笛。</w:t>
      </w:r>
      <w:r>
        <w:rPr>
          <w:rFonts w:hint="default" w:ascii="Times New Roman" w:hAnsi="Times New Roman" w:eastAsia="仿宋_GB2312" w:cs="Times New Roman"/>
          <w:bCs/>
          <w:color w:val="auto"/>
          <w:szCs w:val="32"/>
          <w:highlight w:val="none"/>
          <w:lang w:val="en-US" w:eastAsia="zh-CN"/>
        </w:rPr>
        <w:t>噪声</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《建筑施工场界环境噪声排放标准》（GB 12523-2011）中限值要求。</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rPr>
          <w:rFonts w:hint="default" w:ascii="Times New Roman" w:hAnsi="Times New Roman" w:eastAsia="仿宋_GB2312" w:cs="Times New Roman"/>
          <w:bCs/>
          <w:szCs w:val="32"/>
        </w:rPr>
      </w:pPr>
      <w:r>
        <w:rPr>
          <w:rFonts w:hint="default" w:ascii="Times New Roman" w:hAnsi="Times New Roman" w:eastAsia="仿宋_GB2312" w:cs="Times New Roman"/>
          <w:bCs/>
          <w:color w:val="auto"/>
          <w:szCs w:val="32"/>
          <w:highlight w:val="none"/>
        </w:rPr>
        <w:t>（五）固体废物实施分类管理和妥善处理处置。</w:t>
      </w:r>
      <w:r>
        <w:rPr>
          <w:rFonts w:hint="default" w:ascii="Times New Roman" w:hAnsi="Times New Roman" w:eastAsia="仿宋_GB2312" w:cs="Times New Roman"/>
          <w:bCs/>
          <w:color w:val="auto"/>
          <w:szCs w:val="32"/>
          <w:highlight w:val="none"/>
          <w:lang w:val="en-US" w:eastAsia="zh-CN"/>
        </w:rPr>
        <w:t>沾油废防渗材料、</w:t>
      </w:r>
      <w:r>
        <w:rPr>
          <w:rFonts w:hint="default" w:ascii="Times New Roman" w:hAnsi="Times New Roman" w:eastAsia="仿宋_GB2312" w:cs="Times New Roman"/>
          <w:bCs/>
          <w:color w:val="auto"/>
          <w:szCs w:val="32"/>
          <w:highlight w:val="none"/>
        </w:rPr>
        <w:t>废</w:t>
      </w:r>
      <w:r>
        <w:rPr>
          <w:rFonts w:hint="default" w:ascii="Times New Roman" w:hAnsi="Times New Roman" w:eastAsia="仿宋_GB2312" w:cs="Times New Roman"/>
          <w:bCs/>
          <w:color w:val="auto"/>
          <w:szCs w:val="32"/>
          <w:highlight w:val="none"/>
          <w:lang w:val="en-US" w:eastAsia="zh-CN"/>
        </w:rPr>
        <w:t>润滑油</w:t>
      </w:r>
      <w:r>
        <w:rPr>
          <w:rFonts w:hint="default" w:ascii="Times New Roman" w:hAnsi="Times New Roman" w:eastAsia="仿宋_GB2312" w:cs="Times New Roman"/>
          <w:bCs/>
          <w:color w:val="auto"/>
          <w:szCs w:val="32"/>
          <w:highlight w:val="none"/>
        </w:rPr>
        <w:t>、废</w:t>
      </w:r>
      <w:r>
        <w:rPr>
          <w:rFonts w:hint="default" w:ascii="Times New Roman" w:hAnsi="Times New Roman" w:eastAsia="仿宋_GB2312" w:cs="Times New Roman"/>
          <w:bCs/>
          <w:color w:val="auto"/>
          <w:szCs w:val="32"/>
          <w:highlight w:val="none"/>
          <w:lang w:val="en-US" w:eastAsia="zh-CN"/>
        </w:rPr>
        <w:t>润滑油桶</w:t>
      </w:r>
      <w:r>
        <w:rPr>
          <w:rFonts w:hint="default" w:ascii="Times New Roman" w:hAnsi="Times New Roman" w:eastAsia="仿宋_GB2312" w:cs="Times New Roman"/>
          <w:bCs/>
          <w:color w:val="auto"/>
          <w:szCs w:val="32"/>
          <w:highlight w:val="none"/>
        </w:rPr>
        <w:t>、废烧碱包装袋</w:t>
      </w:r>
      <w:r>
        <w:rPr>
          <w:rFonts w:hint="eastAsia" w:eastAsia="仿宋_GB2312" w:cs="Times New Roman"/>
          <w:bCs/>
          <w:color w:val="auto"/>
          <w:szCs w:val="32"/>
          <w:highlight w:val="none"/>
          <w:lang w:val="en-US" w:eastAsia="zh-CN"/>
        </w:rPr>
        <w:t>属于危险废物，分区分类后暂存于危险废物临时贮存点，定期委托有危险废物处置资质的单位拉运处置。钻井岩屑、废边角料、废包装物和施工土方属于一般固体废物，钻井废水固液分离后，固相临时贮存于专用储罐中，委托岩屑处置单位直接拉运处置，执行《油气田钻井固体废弃物综合利用污染物控制要求》（DB65/T3997-2017）相关要求后综合利用；施工建筑垃圾集中收集后送至建筑垃圾填埋场。危险废物收集、运输须按照《危险废物收集 贮存 运输技术规范》（HJ2025-2012）和《危险废物转移管理办法》要求进行。</w:t>
      </w:r>
      <w:r>
        <w:rPr>
          <w:rFonts w:hint="default" w:ascii="Times New Roman" w:hAnsi="Times New Roman" w:eastAsia="仿宋_GB2312" w:cs="Times New Roman"/>
          <w:bCs/>
          <w:color w:val="auto"/>
          <w:szCs w:val="32"/>
          <w:highlight w:val="none"/>
          <w:lang w:val="en-US" w:eastAsia="zh-CN"/>
        </w:rPr>
        <w:t>生活垃圾经集中收集后清运至克拉玛依市生活垃圾填埋场填埋。</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（六）严格落实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对罐区、采油井井口周边、发电房、废料场、不落地系统、危险废物贮存点和应急放喷池等区域</w:t>
      </w:r>
      <w:r>
        <w:rPr>
          <w:rFonts w:hint="default" w:ascii="Times New Roman" w:hAnsi="Times New Roman" w:eastAsia="仿宋_GB2312" w:cs="Times New Roman"/>
          <w:color w:val="auto"/>
          <w:kern w:val="2"/>
          <w:szCs w:val="32"/>
          <w:highlight w:val="none"/>
          <w:lang w:eastAsia="zh-CN"/>
        </w:rPr>
        <w:t>进行重点防渗。</w:t>
      </w:r>
      <w:r>
        <w:rPr>
          <w:rFonts w:hint="eastAsia" w:ascii="Times New Roman" w:hAnsi="Times New Roman" w:eastAsia="仿宋_GB2312" w:cs="Times New Roman"/>
          <w:color w:val="auto"/>
          <w:kern w:val="2"/>
          <w:szCs w:val="32"/>
          <w:highlight w:val="none"/>
          <w:lang w:val="en-US" w:eastAsia="zh-CN"/>
        </w:rPr>
        <w:t>对化工爬犁、材料爬犁、材料房和生活污水收集池区域</w:t>
      </w:r>
      <w:r>
        <w:rPr>
          <w:rFonts w:hint="default" w:ascii="Times New Roman" w:hAnsi="Times New Roman" w:eastAsia="仿宋_GB2312" w:cs="Times New Roman"/>
          <w:color w:val="auto"/>
          <w:kern w:val="2"/>
          <w:szCs w:val="32"/>
          <w:highlight w:val="none"/>
          <w:lang w:eastAsia="zh-CN"/>
        </w:rPr>
        <w:t>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加强防渗设施的日常维护，确保防渗设施牢固安全。</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w:t>
      </w:r>
      <w:r>
        <w:rPr>
          <w:rFonts w:hint="eastAsia" w:eastAsia="仿宋_GB2312" w:cs="Times New Roman"/>
          <w:bCs/>
          <w:color w:val="auto"/>
          <w:szCs w:val="32"/>
          <w:highlight w:val="none"/>
          <w:lang w:val="en-US" w:eastAsia="zh-CN"/>
        </w:rPr>
        <w:t>建设</w:t>
      </w:r>
      <w:r>
        <w:rPr>
          <w:rFonts w:hint="default" w:ascii="Times New Roman" w:hAnsi="Times New Roman" w:eastAsia="仿宋_GB2312" w:cs="Times New Roman"/>
          <w:bCs/>
          <w:color w:val="auto"/>
          <w:szCs w:val="32"/>
          <w:highlight w:val="none"/>
        </w:rPr>
        <w:t>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表</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表</w:t>
      </w:r>
      <w:r>
        <w:rPr>
          <w:rFonts w:hint="default" w:ascii="Times New Roman" w:hAnsi="Times New Roman" w:eastAsia="仿宋_GB2312" w:cs="Times New Roman"/>
          <w:bCs/>
          <w:color w:val="auto"/>
          <w:szCs w:val="32"/>
          <w:highlight w:val="none"/>
        </w:rPr>
        <w:t>送师市生态环境保护综合行政执法支队、生态环境监测站、</w:t>
      </w:r>
      <w:r>
        <w:rPr>
          <w:rFonts w:hint="eastAsia" w:eastAsia="仿宋_GB2312" w:cs="Times New Roman"/>
          <w:bCs/>
          <w:sz w:val="32"/>
          <w:szCs w:val="32"/>
          <w:lang w:val="en-US" w:eastAsia="zh-CN"/>
        </w:rPr>
        <w:t>125</w:t>
      </w:r>
      <w:r>
        <w:rPr>
          <w:rFonts w:hint="default" w:ascii="Times New Roman" w:hAnsi="Times New Roman" w:eastAsia="仿宋_GB2312" w:cs="Times New Roman"/>
          <w:bCs/>
          <w:sz w:val="32"/>
          <w:szCs w:val="32"/>
        </w:rPr>
        <w:t>团城镇和生态保护中心</w:t>
      </w:r>
      <w:r>
        <w:rPr>
          <w:rFonts w:hint="default" w:ascii="Times New Roman" w:hAnsi="Times New Roman" w:eastAsia="仿宋_GB2312" w:cs="Times New Roman"/>
          <w:bCs/>
          <w:color w:val="auto"/>
          <w:szCs w:val="32"/>
          <w:highlight w:val="none"/>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bookmarkStart w:id="2" w:name="_GoBack"/>
      <w:bookmarkEnd w:id="2"/>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22</w:t>
      </w:r>
      <w:r>
        <w:rPr>
          <w:rFonts w:hint="default" w:ascii="Times New Roman" w:hAnsi="Times New Roman" w:eastAsia="仿宋_GB2312" w:cs="Times New Roman"/>
          <w:bCs/>
          <w:color w:val="auto"/>
          <w:szCs w:val="32"/>
          <w:highlight w:val="none"/>
        </w:rPr>
        <w:t>日</w:t>
      </w:r>
    </w:p>
    <w:p>
      <w:pPr>
        <w:spacing w:line="400" w:lineRule="exact"/>
        <w:ind w:right="316" w:rightChars="100"/>
        <w:rPr>
          <w:rFonts w:hint="eastAsia" w:ascii="仿宋_GB2312" w:hAnsi="仿宋_GB2312" w:eastAsia="仿宋_GB2312" w:cs="仿宋_GB2312"/>
          <w:color w:val="auto"/>
          <w:sz w:val="28"/>
          <w:szCs w:val="28"/>
        </w:rPr>
      </w:pPr>
    </w:p>
    <w:p>
      <w:pPr>
        <w:spacing w:line="400" w:lineRule="exact"/>
        <w:ind w:right="316" w:right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77840" cy="25400"/>
                <wp:effectExtent l="0" t="9525" r="3810" b="22225"/>
                <wp:wrapNone/>
                <wp:docPr id="1" name="直接连接符 1"/>
                <wp:cNvGraphicFramePr/>
                <a:graphic xmlns:a="http://schemas.openxmlformats.org/drawingml/2006/main">
                  <a:graphicData uri="http://schemas.microsoft.com/office/word/2010/wordprocessingShape">
                    <wps:wsp>
                      <wps:cNvCnPr/>
                      <wps:spPr>
                        <a:xfrm>
                          <a:off x="0" y="0"/>
                          <a:ext cx="5577840" cy="254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2pt;width:439.2pt;z-index:251660288;mso-width-relative:page;mso-height-relative:page;" filled="f" stroked="t" coordsize="21600,21600" o:gfxdata="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StjmjSAAAAAwEAAA8A&#10;AAAAAAAAAQAgAAAAIgAAAGRycy9kb3ducmV2LnhtbFBLAQIUABQAAAAIAIdO4kDRaW685AEAAKkD&#10;AAAOAAAAAAAAAAEAIAAAACEBAABkcnMvZTJvRG9jLnhtbFBLBQYAAAAABgAGAFkBAAB3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抄送：师市生态环境保护综合行政执法支队、生态环境监测站、1</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团城镇和生态保护中心。</w:t>
      </w:r>
    </w:p>
    <w:p>
      <w:pPr>
        <w:spacing w:line="600" w:lineRule="exact"/>
        <w:ind w:right="316" w:rightChars="100" w:firstLine="254" w:firstLineChars="100"/>
        <w:rPr>
          <w:rFonts w:hint="eastAsia" w:ascii="仿宋_GB2312" w:hAnsi="仿宋_GB2312" w:eastAsia="仿宋_GB2312" w:cs="仿宋_GB2312"/>
          <w:bCs/>
          <w:color w:val="auto"/>
          <w:szCs w:val="32"/>
          <w:highlight w:val="none"/>
        </w:rPr>
      </w:pP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uTPV1AAAAAYBAAAPAAAAAAAA&#10;AAEAIAAAACIAAABkcnMvZG93bnJldi54bWxQSwECFAAUAAAACACHTuJA8nVwg90BAACoAwAADgAA&#10;AAAAAAABACAAAAAjAQAAZHJzL2Uyb0RvYy54bWxQSwUGAAAAAAYABgBZAQAAcgU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jMEDT&#10;AAAABAEAAA8AAAAAAAAAAQAgAAAAIgAAAGRycy9kb3ducmV2LnhtbFBLAQIUABQAAAAIAIdO4kCD&#10;IZ7V7AEAALE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w:t>新疆生产建设兵团第七师胡杨河市生态环境局</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y8TDUAAAABw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pStyle w:val="1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737345"/>
    <w:rsid w:val="06C71389"/>
    <w:rsid w:val="06CC7B06"/>
    <w:rsid w:val="07061550"/>
    <w:rsid w:val="07E14CFA"/>
    <w:rsid w:val="08EC6D80"/>
    <w:rsid w:val="0994708F"/>
    <w:rsid w:val="09E77F18"/>
    <w:rsid w:val="0BBC2B25"/>
    <w:rsid w:val="0BFE77BB"/>
    <w:rsid w:val="0CE57E5A"/>
    <w:rsid w:val="0E130163"/>
    <w:rsid w:val="0FF24E09"/>
    <w:rsid w:val="128F6BA3"/>
    <w:rsid w:val="16B800EE"/>
    <w:rsid w:val="177121A0"/>
    <w:rsid w:val="19A10D50"/>
    <w:rsid w:val="1E460B4D"/>
    <w:rsid w:val="1E7948A6"/>
    <w:rsid w:val="20783D41"/>
    <w:rsid w:val="21162F81"/>
    <w:rsid w:val="21DD6837"/>
    <w:rsid w:val="232E3EB1"/>
    <w:rsid w:val="24057B5F"/>
    <w:rsid w:val="24696853"/>
    <w:rsid w:val="247C78BD"/>
    <w:rsid w:val="250B5DC7"/>
    <w:rsid w:val="256C6F12"/>
    <w:rsid w:val="25B11864"/>
    <w:rsid w:val="260C6FC7"/>
    <w:rsid w:val="26286287"/>
    <w:rsid w:val="266546C4"/>
    <w:rsid w:val="291034DE"/>
    <w:rsid w:val="2B066B68"/>
    <w:rsid w:val="2B665A9B"/>
    <w:rsid w:val="2BA03F96"/>
    <w:rsid w:val="2F0C396C"/>
    <w:rsid w:val="2F130EE6"/>
    <w:rsid w:val="2F234AE5"/>
    <w:rsid w:val="2F2B3664"/>
    <w:rsid w:val="2FEE4162"/>
    <w:rsid w:val="32C5491C"/>
    <w:rsid w:val="343311B5"/>
    <w:rsid w:val="34504E98"/>
    <w:rsid w:val="358F67ED"/>
    <w:rsid w:val="371F1D45"/>
    <w:rsid w:val="37A75B88"/>
    <w:rsid w:val="38207142"/>
    <w:rsid w:val="38453BBB"/>
    <w:rsid w:val="3BAC6099"/>
    <w:rsid w:val="3C25479F"/>
    <w:rsid w:val="3D7076AF"/>
    <w:rsid w:val="3DD64512"/>
    <w:rsid w:val="3EC1562C"/>
    <w:rsid w:val="3F0E35AF"/>
    <w:rsid w:val="3F4E158E"/>
    <w:rsid w:val="4419237E"/>
    <w:rsid w:val="45D948F4"/>
    <w:rsid w:val="46F24DE3"/>
    <w:rsid w:val="47587B93"/>
    <w:rsid w:val="4AB55994"/>
    <w:rsid w:val="4B9F5BD0"/>
    <w:rsid w:val="4CBF17F2"/>
    <w:rsid w:val="4CCA458A"/>
    <w:rsid w:val="50CC6933"/>
    <w:rsid w:val="50CD705E"/>
    <w:rsid w:val="52C76BF5"/>
    <w:rsid w:val="52E568E7"/>
    <w:rsid w:val="54231BA0"/>
    <w:rsid w:val="562D5084"/>
    <w:rsid w:val="57563655"/>
    <w:rsid w:val="581B211A"/>
    <w:rsid w:val="596F60AE"/>
    <w:rsid w:val="5A605F4A"/>
    <w:rsid w:val="5A885A96"/>
    <w:rsid w:val="609006D2"/>
    <w:rsid w:val="63A06130"/>
    <w:rsid w:val="64C86FBA"/>
    <w:rsid w:val="654C1999"/>
    <w:rsid w:val="66BE66CF"/>
    <w:rsid w:val="677F3533"/>
    <w:rsid w:val="68991CEA"/>
    <w:rsid w:val="68B418D9"/>
    <w:rsid w:val="6ADC4BA2"/>
    <w:rsid w:val="6B762AC2"/>
    <w:rsid w:val="6B997D40"/>
    <w:rsid w:val="6C054650"/>
    <w:rsid w:val="6C711CE5"/>
    <w:rsid w:val="6D272415"/>
    <w:rsid w:val="6F065AB6"/>
    <w:rsid w:val="70205EFC"/>
    <w:rsid w:val="70787AE6"/>
    <w:rsid w:val="721320EC"/>
    <w:rsid w:val="73323C81"/>
    <w:rsid w:val="7388211F"/>
    <w:rsid w:val="745A0337"/>
    <w:rsid w:val="76DD68F5"/>
    <w:rsid w:val="76FA7D0E"/>
    <w:rsid w:val="77B21B30"/>
    <w:rsid w:val="780A371A"/>
    <w:rsid w:val="79601704"/>
    <w:rsid w:val="79621333"/>
    <w:rsid w:val="798C319D"/>
    <w:rsid w:val="79F35C8E"/>
    <w:rsid w:val="7A85778D"/>
    <w:rsid w:val="7C460A98"/>
    <w:rsid w:val="7D7B4DE1"/>
    <w:rsid w:val="7EB24410"/>
    <w:rsid w:val="7F8A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spacing w:line="480" w:lineRule="exact"/>
      <w:ind w:left="-125" w:right="-56" w:firstLine="570"/>
    </w:pPr>
    <w:rPr>
      <w:sz w:val="28"/>
      <w:szCs w:val="24"/>
    </w:rPr>
  </w:style>
  <w:style w:type="paragraph" w:styleId="3">
    <w:name w:val="toc 9"/>
    <w:basedOn w:val="1"/>
    <w:next w:val="1"/>
    <w:qFormat/>
    <w:uiPriority w:val="39"/>
    <w:pPr>
      <w:jc w:val="center"/>
    </w:pPr>
    <w:rPr>
      <w:sz w:val="18"/>
    </w:rPr>
  </w:style>
  <w:style w:type="paragraph" w:styleId="7">
    <w:name w:val="Normal Indent"/>
    <w:basedOn w:val="1"/>
    <w:qFormat/>
    <w:uiPriority w:val="0"/>
    <w:pPr>
      <w:ind w:firstLine="420" w:firstLineChars="200"/>
    </w:pPr>
    <w:rPr>
      <w:rFonts w:ascii="宋体" w:hAnsi="宋体"/>
    </w:rPr>
  </w:style>
  <w:style w:type="paragraph" w:styleId="8">
    <w:name w:val="index 5"/>
    <w:basedOn w:val="1"/>
    <w:next w:val="1"/>
    <w:qFormat/>
    <w:uiPriority w:val="0"/>
    <w:pPr>
      <w:ind w:left="800" w:leftChars="800"/>
    </w:pPr>
  </w:style>
  <w:style w:type="paragraph" w:styleId="9">
    <w:name w:val="Body Text"/>
    <w:basedOn w:val="1"/>
    <w:next w:val="10"/>
    <w:qFormat/>
    <w:uiPriority w:val="0"/>
    <w:rPr>
      <w:rFonts w:eastAsia="华文中宋"/>
      <w:b/>
      <w:bCs/>
      <w:w w:val="90"/>
      <w:sz w:val="44"/>
    </w:rPr>
  </w:style>
  <w:style w:type="paragraph" w:customStyle="1" w:styleId="10">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next w:val="8"/>
    <w:unhideWhenUsed/>
    <w:qFormat/>
    <w:uiPriority w:val="99"/>
    <w:pPr>
      <w:snapToGrid w:val="0"/>
      <w:jc w:val="left"/>
    </w:pPr>
    <w:rPr>
      <w:rFonts w:ascii="Calibri" w:hAnsi="Calibri" w:eastAsia="仿宋" w:cs="Times New Roman"/>
      <w:sz w:val="18"/>
      <w:szCs w:val="18"/>
    </w:rPr>
  </w:style>
  <w:style w:type="paragraph" w:styleId="14">
    <w:name w:val="Body Text 2"/>
    <w:basedOn w:val="1"/>
    <w:unhideWhenUsed/>
    <w:qFormat/>
    <w:uiPriority w:val="99"/>
    <w:pPr>
      <w:spacing w:after="120" w:line="480" w:lineRule="auto"/>
    </w:pPr>
  </w:style>
  <w:style w:type="character" w:styleId="17">
    <w:name w:val="page number"/>
    <w:basedOn w:val="16"/>
    <w:qFormat/>
    <w:uiPriority w:val="0"/>
  </w:style>
  <w:style w:type="paragraph" w:customStyle="1" w:styleId="18">
    <w:name w:val="Default"/>
    <w:basedOn w:val="19"/>
    <w:next w:val="1"/>
    <w:unhideWhenUsed/>
    <w:qFormat/>
    <w:uiPriority w:val="0"/>
    <w:pPr>
      <w:tabs>
        <w:tab w:val="left" w:pos="2760"/>
      </w:tabs>
      <w:autoSpaceDE w:val="0"/>
      <w:autoSpaceDN w:val="0"/>
    </w:pPr>
    <w:rPr>
      <w:rFonts w:hAnsi="宋体" w:eastAsia="宋体"/>
      <w:color w:val="000000"/>
      <w:sz w:val="24"/>
    </w:rPr>
  </w:style>
  <w:style w:type="paragraph" w:customStyle="1" w:styleId="19">
    <w:name w:val="纯文本1"/>
    <w:basedOn w:val="1"/>
    <w:qFormat/>
    <w:uiPriority w:val="0"/>
    <w:pPr>
      <w:tabs>
        <w:tab w:val="left" w:pos="2760"/>
      </w:tabs>
      <w:adjustRightInd w:val="0"/>
    </w:pPr>
    <w:rPr>
      <w:rFonts w:ascii="宋体" w:hAnsi="Courier New"/>
    </w:rPr>
  </w:style>
  <w:style w:type="paragraph" w:customStyle="1" w:styleId="20">
    <w:name w:val="Char"/>
    <w:basedOn w:val="1"/>
    <w:qFormat/>
    <w:uiPriority w:val="0"/>
    <w:rPr>
      <w:rFonts w:cs="宋体"/>
      <w:sz w:val="28"/>
    </w:rPr>
  </w:style>
  <w:style w:type="paragraph" w:customStyle="1" w:styleId="21">
    <w:name w:val="YJ正文*"/>
    <w:basedOn w:val="1"/>
    <w:qFormat/>
    <w:uiPriority w:val="0"/>
    <w:pPr>
      <w:spacing w:line="500" w:lineRule="exact"/>
      <w:ind w:firstLine="200" w:firstLineChars="200"/>
      <w:jc w:val="both"/>
    </w:pPr>
    <w:rPr>
      <w:rFonts w:ascii="等线" w:hAnsi="等线" w:eastAsia="宋体"/>
      <w:sz w:val="24"/>
    </w:rPr>
  </w:style>
  <w:style w:type="paragraph" w:customStyle="1" w:styleId="22">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2183</Words>
  <Characters>2327</Characters>
  <Lines>11</Lines>
  <Paragraphs>3</Paragraphs>
  <TotalTime>340</TotalTime>
  <ScaleCrop>false</ScaleCrop>
  <LinksUpToDate>false</LinksUpToDate>
  <CharactersWithSpaces>2367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Administrator</cp:lastModifiedBy>
  <cp:lastPrinted>2025-04-22T09:08:12Z</cp:lastPrinted>
  <dcterms:modified xsi:type="dcterms:W3CDTF">2025-04-22T09:15:14Z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C565FD4ACC8F48F29B10E17AA090710F_13</vt:lpwstr>
  </property>
  <property fmtid="{D5CDD505-2E9C-101B-9397-08002B2CF9AE}" pid="4" name="KSOTemplateDocerSaveRecord">
    <vt:lpwstr>eyJoZGlkIjoiNTg5NjQ5M2IyMDhjOWJhYTQ5ZDE4NDc0OGNmMmE3NjkiLCJ1c2VySWQiOiIxMDQ1MzQ5MzA4In0=</vt:lpwstr>
  </property>
</Properties>
</file>