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4D6A3">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14:paraId="26E627C7">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w:t>
      </w:r>
      <w:r>
        <w:rPr>
          <w:rFonts w:hint="eastAsia" w:eastAsia="仿宋_GB2312" w:cs="Times New Roman"/>
          <w:snapToGrid w:val="0"/>
          <w:color w:val="auto"/>
          <w:kern w:val="0"/>
          <w:szCs w:val="32"/>
          <w:highlight w:val="none"/>
          <w:lang w:val="en-US" w:eastAsia="zh-CN"/>
        </w:rPr>
        <w:t xml:space="preserve">  </w:t>
      </w:r>
      <w:r>
        <w:rPr>
          <w:rFonts w:hint="default" w:ascii="Times New Roman" w:hAnsi="Times New Roman" w:eastAsia="仿宋_GB2312" w:cs="Times New Roman"/>
          <w:snapToGrid w:val="0"/>
          <w:color w:val="auto"/>
          <w:kern w:val="0"/>
          <w:szCs w:val="32"/>
          <w:highlight w:val="none"/>
        </w:rPr>
        <w:t>师市环审〔202</w:t>
      </w:r>
      <w:r>
        <w:rPr>
          <w:rFonts w:hint="eastAsia" w:eastAsia="仿宋_GB2312" w:cs="Times New Roman"/>
          <w:snapToGrid w:val="0"/>
          <w:color w:val="auto"/>
          <w:kern w:val="0"/>
          <w:szCs w:val="32"/>
          <w:highlight w:val="none"/>
          <w:lang w:val="en-US" w:eastAsia="zh-CN"/>
        </w:rPr>
        <w:t>5</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18</w:t>
      </w:r>
      <w:r>
        <w:rPr>
          <w:rFonts w:hint="default" w:ascii="Times New Roman" w:hAnsi="Times New Roman" w:eastAsia="仿宋_GB2312" w:cs="Times New Roman"/>
          <w:snapToGrid w:val="0"/>
          <w:color w:val="auto"/>
          <w:kern w:val="0"/>
          <w:szCs w:val="32"/>
          <w:highlight w:val="none"/>
        </w:rPr>
        <w:t>号</w:t>
      </w:r>
    </w:p>
    <w:p w14:paraId="6B20D21A">
      <w:pPr>
        <w:spacing w:line="600" w:lineRule="exact"/>
        <w:rPr>
          <w:rFonts w:hint="default" w:ascii="Times New Roman" w:hAnsi="Times New Roman" w:eastAsia="仿宋_GB2312" w:cs="Times New Roman"/>
          <w:snapToGrid w:val="0"/>
          <w:color w:val="auto"/>
          <w:kern w:val="0"/>
          <w:sz w:val="30"/>
          <w:highlight w:val="none"/>
        </w:rPr>
      </w:pPr>
    </w:p>
    <w:p w14:paraId="4E80DD59">
      <w:pPr>
        <w:spacing w:line="600" w:lineRule="exact"/>
        <w:jc w:val="center"/>
        <w:rPr>
          <w:rFonts w:hint="eastAsia" w:ascii="方正小标宋简体" w:hAnsi="方正小标宋简体" w:eastAsia="方正小标宋简体" w:cs="方正小标宋简体"/>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于春风油田排614北产能建设工程</w:t>
      </w:r>
    </w:p>
    <w:p w14:paraId="3C068172">
      <w:pPr>
        <w:spacing w:line="600" w:lineRule="exact"/>
        <w:jc w:val="center"/>
        <w:rPr>
          <w:rFonts w:hint="default" w:ascii="Times New Roman" w:hAnsi="Times New Roman" w:eastAsia="仿宋_GB2312" w:cs="Times New Roman"/>
          <w:color w:val="auto"/>
          <w:kern w:val="0"/>
          <w:szCs w:val="32"/>
          <w:highlight w:val="none"/>
        </w:rPr>
      </w:pPr>
      <w:r>
        <w:rPr>
          <w:rFonts w:hint="eastAsia" w:ascii="方正小标宋简体" w:hAnsi="方正小标宋简体" w:eastAsia="方正小标宋简体" w:cs="方正小标宋简体"/>
          <w:color w:val="auto"/>
          <w:sz w:val="44"/>
          <w:szCs w:val="44"/>
          <w:highlight w:val="none"/>
          <w:lang w:val="zh-CN"/>
        </w:rPr>
        <w:t>环境影响报告书</w:t>
      </w:r>
      <w:r>
        <w:rPr>
          <w:rFonts w:hint="default" w:ascii="Times New Roman" w:hAnsi="Times New Roman" w:eastAsia="方正小标宋简体" w:cs="Times New Roman"/>
          <w:color w:val="auto"/>
          <w:sz w:val="44"/>
          <w:szCs w:val="44"/>
          <w:highlight w:val="none"/>
          <w:lang w:val="zh-CN"/>
        </w:rPr>
        <w:t>的</w:t>
      </w:r>
      <w:r>
        <w:rPr>
          <w:rFonts w:hint="default" w:ascii="Times New Roman" w:hAnsi="Times New Roman" w:eastAsia="方正小标宋简体" w:cs="Times New Roman"/>
          <w:snapToGrid w:val="0"/>
          <w:color w:val="auto"/>
          <w:kern w:val="0"/>
          <w:sz w:val="44"/>
          <w:szCs w:val="44"/>
          <w:highlight w:val="none"/>
        </w:rPr>
        <w:t>批复</w:t>
      </w:r>
    </w:p>
    <w:p w14:paraId="6E50F40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Cs w:val="32"/>
          <w:highlight w:val="none"/>
        </w:rPr>
      </w:pPr>
    </w:p>
    <w:p w14:paraId="57D54EFC">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中石化新疆新春石油开发有限责任公司：</w:t>
      </w:r>
    </w:p>
    <w:p w14:paraId="6CFB247D">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w:t>
      </w:r>
      <w:r>
        <w:rPr>
          <w:rFonts w:hint="default" w:ascii="Times New Roman" w:hAnsi="Times New Roman" w:eastAsia="仿宋_GB2312" w:cs="Times New Roman"/>
          <w:bCs/>
          <w:color w:val="auto"/>
          <w:szCs w:val="32"/>
          <w:highlight w:val="none"/>
          <w:lang w:val="zh-CN"/>
        </w:rPr>
        <w:t>春风油田排614北产能建设工程环境影响报告书</w:t>
      </w:r>
      <w:r>
        <w:rPr>
          <w:rFonts w:hint="default" w:ascii="Times New Roman" w:hAnsi="Times New Roman" w:eastAsia="仿宋_GB2312" w:cs="Times New Roman"/>
          <w:bCs/>
          <w:color w:val="auto"/>
          <w:szCs w:val="32"/>
          <w:highlight w:val="none"/>
        </w:rPr>
        <w:t>的请示》收悉。经研究，批复如下：</w:t>
      </w:r>
    </w:p>
    <w:p w14:paraId="1514DF0C">
      <w:pPr>
        <w:keepNext w:val="0"/>
        <w:keepLines w:val="0"/>
        <w:pageBreakBefore w:val="0"/>
        <w:widowControl w:val="0"/>
        <w:kinsoku/>
        <w:wordWrap/>
        <w:overflowPunct/>
        <w:topLinePunct w:val="0"/>
        <w:autoSpaceDE/>
        <w:autoSpaceDN/>
        <w:bidi w:val="0"/>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该项目位于第七师128团，</w:t>
      </w:r>
      <w:r>
        <w:rPr>
          <w:rFonts w:hint="default" w:ascii="Times New Roman" w:hAnsi="Times New Roman" w:eastAsia="仿宋_GB2312" w:cs="Times New Roman"/>
          <w:color w:val="auto"/>
          <w:szCs w:val="32"/>
          <w:highlight w:val="none"/>
          <w:lang w:val="zh-CN"/>
        </w:rPr>
        <w:t>项目中心地理位置坐标为东经84°37′34.40，北纬45°6′55.16″。</w:t>
      </w:r>
      <w:bookmarkStart w:id="0" w:name="OLE_LINK397"/>
      <w:r>
        <w:rPr>
          <w:rFonts w:hint="default" w:ascii="Times New Roman" w:hAnsi="Times New Roman" w:eastAsia="仿宋_GB2312" w:cs="Times New Roman"/>
          <w:color w:val="auto"/>
          <w:szCs w:val="32"/>
          <w:highlight w:val="none"/>
          <w:lang w:val="zh-CN"/>
        </w:rPr>
        <w:t>项目共部署油井6口，其中新钻分支水平油井5口，利用老井1口，钻井进尺0.53万米；新建D114×7集油管线1472.31</w:t>
      </w:r>
      <w:r>
        <w:rPr>
          <w:rFonts w:hint="default" w:ascii="Times New Roman" w:hAnsi="Times New Roman" w:eastAsia="仿宋_GB2312" w:cs="Times New Roman"/>
          <w:color w:val="auto"/>
          <w:szCs w:val="32"/>
          <w:highlight w:val="none"/>
          <w:lang w:val="zh-CN" w:eastAsia="zh-CN"/>
        </w:rPr>
        <w:t>米</w:t>
      </w:r>
      <w:r>
        <w:rPr>
          <w:rFonts w:hint="default" w:ascii="Times New Roman" w:hAnsi="Times New Roman" w:eastAsia="仿宋_GB2312" w:cs="Times New Roman"/>
          <w:color w:val="auto"/>
          <w:szCs w:val="32"/>
          <w:highlight w:val="none"/>
          <w:lang w:val="zh-CN"/>
        </w:rPr>
        <w:t>、D168×7集油管线2×338</w:t>
      </w:r>
      <w:r>
        <w:rPr>
          <w:rFonts w:hint="default" w:ascii="Times New Roman" w:hAnsi="Times New Roman" w:eastAsia="仿宋_GB2312" w:cs="Times New Roman"/>
          <w:color w:val="auto"/>
          <w:szCs w:val="32"/>
          <w:highlight w:val="none"/>
          <w:lang w:val="zh-CN" w:eastAsia="zh-CN"/>
        </w:rPr>
        <w:t>米</w:t>
      </w:r>
      <w:r>
        <w:rPr>
          <w:rFonts w:hint="default" w:ascii="Times New Roman" w:hAnsi="Times New Roman" w:eastAsia="仿宋_GB2312" w:cs="Times New Roman"/>
          <w:color w:val="auto"/>
          <w:szCs w:val="32"/>
          <w:highlight w:val="none"/>
          <w:lang w:val="zh-CN"/>
        </w:rPr>
        <w:t>，油气混输双螺杆泵2座；新建D89×8注汽管线1262</w:t>
      </w:r>
      <w:r>
        <w:rPr>
          <w:rFonts w:hint="default" w:ascii="Times New Roman" w:hAnsi="Times New Roman" w:eastAsia="仿宋_GB2312" w:cs="Times New Roman"/>
          <w:color w:val="auto"/>
          <w:szCs w:val="32"/>
          <w:highlight w:val="none"/>
          <w:lang w:val="zh-CN" w:eastAsia="zh-CN"/>
        </w:rPr>
        <w:t>米</w:t>
      </w:r>
      <w:r>
        <w:rPr>
          <w:rFonts w:hint="default" w:ascii="Times New Roman" w:hAnsi="Times New Roman" w:eastAsia="仿宋_GB2312" w:cs="Times New Roman"/>
          <w:color w:val="auto"/>
          <w:szCs w:val="32"/>
          <w:highlight w:val="none"/>
          <w:lang w:val="zh-CN"/>
        </w:rPr>
        <w:t>；新布设2井式注采合一井场3座，其中新建2座，利用并扩建老井场1座；电力线接至排614-4块已建10千伏线路，配套建设自控、通信系统等。</w:t>
      </w:r>
      <w:bookmarkEnd w:id="0"/>
      <w:r>
        <w:rPr>
          <w:rFonts w:hint="default" w:ascii="Times New Roman" w:hAnsi="Times New Roman" w:eastAsia="仿宋_GB2312" w:cs="Times New Roman"/>
          <w:color w:val="auto"/>
          <w:szCs w:val="32"/>
          <w:highlight w:val="none"/>
          <w:lang w:val="zh-CN"/>
        </w:rPr>
        <w:t>项目总投资3563.99万元，其中环保投资205万元，占总投资的5.75%。</w:t>
      </w:r>
    </w:p>
    <w:p w14:paraId="13F81864">
      <w:pPr>
        <w:keepNext w:val="0"/>
        <w:keepLines w:val="0"/>
        <w:pageBreakBefore w:val="0"/>
        <w:widowControl w:val="0"/>
        <w:numPr>
          <w:ilvl w:val="0"/>
          <w:numId w:val="0"/>
        </w:numPr>
        <w:kinsoku/>
        <w:wordWrap/>
        <w:overflowPunct/>
        <w:topLinePunct w:val="0"/>
        <w:autoSpaceDE/>
        <w:autoSpaceDN/>
        <w:bidi w:val="0"/>
        <w:spacing w:line="50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eastAsia" w:eastAsia="仿宋_GB2312" w:cs="Times New Roman"/>
          <w:color w:val="auto"/>
          <w:szCs w:val="32"/>
          <w:highlight w:val="none"/>
          <w:lang w:val="en-US" w:eastAsia="zh-CN"/>
        </w:rPr>
        <w:t>书</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eastAsia" w:eastAsia="仿宋_GB2312" w:cs="Times New Roman"/>
          <w:color w:val="auto"/>
          <w:szCs w:val="32"/>
          <w:highlight w:val="none"/>
          <w:lang w:val="en-US" w:eastAsia="zh-CN"/>
        </w:rPr>
        <w:t>书</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14:paraId="24864BC3">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三、项目建设和运营中应重点做好以下工作：</w:t>
      </w:r>
    </w:p>
    <w:p w14:paraId="3FEF4CA8">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eastAsia" w:ascii="Times New Roman" w:hAnsi="Times New Roman" w:eastAsia="仿宋_GB2312" w:cs="Times New Roman"/>
          <w:bCs/>
          <w:color w:val="auto"/>
          <w:szCs w:val="32"/>
          <w:highlight w:val="none"/>
          <w:lang w:eastAsia="zh-CN"/>
        </w:rPr>
      </w:pPr>
      <w:r>
        <w:rPr>
          <w:rFonts w:hint="default" w:ascii="Times New Roman" w:hAnsi="Times New Roman" w:eastAsia="仿宋_GB2312" w:cs="Times New Roman"/>
          <w:bCs/>
          <w:color w:val="auto"/>
          <w:szCs w:val="32"/>
          <w:highlight w:val="none"/>
        </w:rPr>
        <w:t>（一）严格落实生态保护措施。施工作业时尽量避开植被密集的区域；</w:t>
      </w:r>
      <w:r>
        <w:rPr>
          <w:rFonts w:hint="default" w:ascii="Times New Roman" w:hAnsi="Times New Roman" w:eastAsia="仿宋_GB2312" w:cs="Times New Roman"/>
          <w:bCs/>
          <w:color w:val="000000" w:themeColor="text1"/>
          <w:szCs w:val="32"/>
          <w14:textFill>
            <w14:solidFill>
              <w14:schemeClr w14:val="tx1"/>
            </w14:solidFill>
          </w14:textFill>
        </w:rPr>
        <w:t>井场永久占地采用土压实或砾石覆盖，以减少风蚀量；</w:t>
      </w:r>
      <w:r>
        <w:rPr>
          <w:rFonts w:hint="default" w:ascii="Times New Roman" w:hAnsi="Times New Roman" w:eastAsia="仿宋_GB2312" w:cs="Times New Roman"/>
          <w:bCs/>
          <w:color w:val="auto"/>
          <w:szCs w:val="32"/>
          <w:highlight w:val="none"/>
        </w:rPr>
        <w:t>井场、注汽管线建设应严格控制占地面积，选择裸地或植被稀疏的区域；集油管道敷设时，分层开挖、分层堆放、分层回填并采取临时覆盖措施；严禁捕杀任何野生动物，在油区和井场设置宣传牌；施工结束后及时清理现场，对永久占地进行地面硬化，减少风蚀。</w:t>
      </w:r>
      <w:r>
        <w:rPr>
          <w:rFonts w:hint="default" w:ascii="Times New Roman" w:hAnsi="Times New Roman" w:eastAsia="仿宋_GB2312" w:cs="Times New Roman"/>
          <w:bCs/>
          <w:color w:val="000000" w:themeColor="text1"/>
          <w:szCs w:val="32"/>
          <w14:textFill>
            <w14:solidFill>
              <w14:schemeClr w14:val="tx1"/>
            </w14:solidFill>
          </w14:textFill>
        </w:rPr>
        <w:t>定期检查管线，如发生管线老化、接口断裂，及时更换管线；定时巡查井场及管线等，及时清理非正常状况下的落地油</w:t>
      </w:r>
      <w:r>
        <w:rPr>
          <w:rFonts w:hint="eastAsia" w:eastAsia="仿宋_GB2312" w:cs="Times New Roman"/>
          <w:bCs/>
          <w:color w:val="000000" w:themeColor="text1"/>
          <w:szCs w:val="32"/>
          <w:lang w:eastAsia="zh-CN"/>
          <w14:textFill>
            <w14:solidFill>
              <w14:schemeClr w14:val="tx1"/>
            </w14:solidFill>
          </w14:textFill>
        </w:rPr>
        <w:t>。</w:t>
      </w:r>
    </w:p>
    <w:p w14:paraId="4B27A7CF">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二）严格落实大气污染防治措施。项目集输流程采用管道密闭集输，选用质量可靠的设备、仪表、阀门等；定期对井场的设备、阀门、管线等检查、检修，防止跑、冒、漏现象的发生；做好油井的压力监测及应急准备。井场厂界非甲烷总烃无组织排放浓度</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《陆上石油天然气开采工业大气污染物排放标准》（GB39728-2020）中企业边界污染物控制要求。</w:t>
      </w:r>
    </w:p>
    <w:p w14:paraId="0AB4BC49">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cs="Times New Roman"/>
        </w:rPr>
      </w:pPr>
      <w:r>
        <w:rPr>
          <w:rFonts w:hint="default" w:ascii="Times New Roman" w:hAnsi="Times New Roman" w:eastAsia="仿宋_GB2312" w:cs="Times New Roman"/>
          <w:bCs/>
          <w:color w:val="auto"/>
          <w:szCs w:val="32"/>
          <w:highlight w:val="none"/>
        </w:rPr>
        <w:t>（三）落实水污染防治措施。油气开发过程中产生的采出水通过集输管道运输、井下作业废水和废洗井液由撬装池收集，均运至春风联合站处理达到《碎屑岩油藏注水水质指标技术要求及分析方法》（SY/T 5329-2022）标准要求后，回注地层。</w:t>
      </w:r>
    </w:p>
    <w:p w14:paraId="39120527">
      <w:pPr>
        <w:keepNext w:val="0"/>
        <w:keepLines w:val="0"/>
        <w:pageBreakBefore w:val="0"/>
        <w:widowControl w:val="0"/>
        <w:kinsoku/>
        <w:wordWrap/>
        <w:overflowPunct/>
        <w:topLinePunct w:val="0"/>
        <w:autoSpaceDE/>
        <w:autoSpaceDN/>
        <w:bidi w:val="0"/>
        <w:adjustRightInd w:val="0"/>
        <w:snapToGrid w:val="0"/>
        <w:spacing w:line="50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（四）严格落实噪声防治措施。</w:t>
      </w:r>
      <w:bookmarkStart w:id="1" w:name="_Hlk194953595"/>
      <w:r>
        <w:rPr>
          <w:rFonts w:hint="default" w:ascii="Times New Roman" w:hAnsi="Times New Roman" w:eastAsia="仿宋_GB2312" w:cs="Times New Roman"/>
          <w:bCs/>
          <w:color w:val="auto"/>
          <w:szCs w:val="32"/>
          <w:highlight w:val="none"/>
        </w:rPr>
        <w:t>优化井场布置，选择先进可靠的低噪声设备</w:t>
      </w:r>
      <w:bookmarkEnd w:id="1"/>
      <w:r>
        <w:rPr>
          <w:rFonts w:hint="default" w:ascii="Times New Roman" w:hAnsi="Times New Roman" w:eastAsia="仿宋_GB2312" w:cs="Times New Roman"/>
          <w:bCs/>
          <w:color w:val="auto"/>
          <w:szCs w:val="32"/>
          <w:highlight w:val="none"/>
        </w:rPr>
        <w:t>，对噪声较大的设备设置消音设施和隔声设备；</w:t>
      </w:r>
      <w:bookmarkStart w:id="2" w:name="_Hlk194953666"/>
      <w:r>
        <w:rPr>
          <w:rFonts w:hint="default" w:ascii="Times New Roman" w:hAnsi="Times New Roman" w:eastAsia="仿宋_GB2312" w:cs="Times New Roman"/>
          <w:bCs/>
          <w:color w:val="auto"/>
          <w:szCs w:val="32"/>
          <w:highlight w:val="none"/>
        </w:rPr>
        <w:t>加强设备的保养和检查</w:t>
      </w:r>
      <w:bookmarkEnd w:id="2"/>
      <w:r>
        <w:rPr>
          <w:rFonts w:hint="default" w:ascii="Times New Roman" w:hAnsi="Times New Roman" w:eastAsia="仿宋_GB2312" w:cs="Times New Roman"/>
          <w:bCs/>
          <w:color w:val="auto"/>
          <w:szCs w:val="32"/>
          <w:highlight w:val="none"/>
        </w:rPr>
        <w:t>；提高工艺过程自动化水平，尽量减少人员与噪声的接触时间。厂界噪声排放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《工业企业厂界环境噪声排放标准》（GB12348-2008）中2类标准要求。</w:t>
      </w:r>
    </w:p>
    <w:p w14:paraId="0E123113">
      <w:pPr>
        <w:keepNext w:val="0"/>
        <w:keepLines w:val="0"/>
        <w:pageBreakBefore w:val="0"/>
        <w:widowControl w:val="0"/>
        <w:kinsoku/>
        <w:wordWrap/>
        <w:overflowPunct/>
        <w:topLinePunct w:val="0"/>
        <w:autoSpaceDE/>
        <w:autoSpaceDN/>
        <w:bidi w:val="0"/>
        <w:adjustRightInd w:val="0"/>
        <w:snapToGrid w:val="0"/>
        <w:spacing w:line="500" w:lineRule="exact"/>
        <w:ind w:firstLine="632" w:firstLineChars="200"/>
        <w:textAlignment w:val="auto"/>
        <w:rPr>
          <w:rFonts w:hint="default" w:ascii="Times New Roman" w:hAnsi="Times New Roman" w:eastAsia="仿宋_GB2312" w:cs="Times New Roman"/>
          <w:bCs/>
          <w:szCs w:val="32"/>
        </w:rPr>
      </w:pPr>
      <w:r>
        <w:rPr>
          <w:rFonts w:hint="default" w:ascii="Times New Roman" w:hAnsi="Times New Roman" w:eastAsia="仿宋_GB2312" w:cs="Times New Roman"/>
          <w:bCs/>
          <w:color w:val="auto"/>
          <w:szCs w:val="32"/>
          <w:highlight w:val="none"/>
        </w:rPr>
        <w:t>（五）固体废物实施分类管理和妥善处理处置。废润滑油、落地油、废防渗膜、清管废渣</w:t>
      </w:r>
      <w:r>
        <w:rPr>
          <w:rFonts w:hint="eastAsia" w:eastAsia="仿宋_GB2312" w:cs="Times New Roman"/>
          <w:bCs/>
          <w:color w:val="auto"/>
          <w:szCs w:val="32"/>
          <w:highlight w:val="none"/>
          <w:lang w:val="en-US" w:eastAsia="zh-CN"/>
        </w:rPr>
        <w:t>属于危险废物，其中落地原油100%回收，委托有资质单位由危险废物运输车辆拉运处置；废防渗膜、清管废渣分类收集后交由有资质单位处置；废润滑油集中收集后，依托春风联合站原油处理系统处置。危险废物收集、运输须按照《危险废物收集 贮存 运输技术规范》（HJ2025-2012）和《危险废物转移管理办法》要求进行。</w:t>
      </w:r>
      <w:r>
        <w:rPr>
          <w:rFonts w:hint="default" w:ascii="Times New Roman" w:hAnsi="Times New Roman" w:eastAsia="仿宋_GB2312" w:cs="Times New Roman"/>
          <w:bCs/>
          <w:color w:val="auto"/>
          <w:szCs w:val="32"/>
          <w:highlight w:val="none"/>
          <w:lang w:val="en-US" w:eastAsia="zh-CN"/>
        </w:rPr>
        <w:t>生活垃圾运往128团生活垃圾填埋场填埋处理</w:t>
      </w:r>
      <w:r>
        <w:rPr>
          <w:rFonts w:hint="eastAsia" w:eastAsia="仿宋_GB2312" w:cs="Times New Roman"/>
          <w:bCs/>
          <w:color w:val="auto"/>
          <w:szCs w:val="32"/>
          <w:highlight w:val="none"/>
          <w:lang w:val="en-US" w:eastAsia="zh-CN"/>
        </w:rPr>
        <w:t>。</w:t>
      </w:r>
    </w:p>
    <w:p w14:paraId="5085150B">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00" w:lineRule="exact"/>
        <w:ind w:firstLine="632" w:firstLineChars="200"/>
        <w:textAlignment w:val="auto"/>
        <w:rPr>
          <w:rFonts w:hint="eastAsia" w:eastAsia="仿宋_GB2312" w:cs="Times New Roman"/>
          <w:color w:val="auto"/>
          <w:kern w:val="2"/>
          <w:szCs w:val="32"/>
          <w:highlight w:val="none"/>
          <w:lang w:eastAsia="zh-CN"/>
        </w:rPr>
      </w:pPr>
      <w:r>
        <w:rPr>
          <w:rFonts w:hint="default" w:ascii="Times New Roman" w:hAnsi="Times New Roman" w:eastAsia="仿宋_GB2312" w:cs="Times New Roman"/>
        </w:rPr>
        <w:t>（六）严格落实</w:t>
      </w:r>
      <w:r>
        <w:rPr>
          <w:rFonts w:hint="default" w:ascii="Times New Roman" w:hAnsi="Times New Roman" w:eastAsia="仿宋_GB2312" w:cs="Times New Roman"/>
          <w:lang w:val="en-US" w:eastAsia="zh-CN"/>
        </w:rPr>
        <w:t>地下水及</w:t>
      </w:r>
      <w:r>
        <w:rPr>
          <w:rFonts w:hint="default" w:ascii="Times New Roman" w:hAnsi="Times New Roman" w:eastAsia="仿宋_GB2312" w:cs="Times New Roman"/>
        </w:rPr>
        <w:t>土壤污染防治措施。</w:t>
      </w:r>
      <w:r>
        <w:rPr>
          <w:rFonts w:hint="eastAsia" w:eastAsia="仿宋_GB2312" w:cs="Times New Roman"/>
          <w:bCs/>
          <w:color w:val="auto"/>
          <w:szCs w:val="32"/>
          <w:highlight w:val="none"/>
          <w:lang w:eastAsia="zh-CN"/>
        </w:rPr>
        <w:t>按照源头防控、分区防治、污染监控、应急响应的原则进行地下水污染防治。严格按照导则要求，落实分区防渗和监控措施，</w:t>
      </w:r>
      <w:r>
        <w:rPr>
          <w:rFonts w:hint="eastAsia" w:eastAsia="仿宋_GB2312" w:cs="Times New Roman"/>
          <w:bCs/>
          <w:color w:val="auto"/>
          <w:szCs w:val="32"/>
          <w:highlight w:val="none"/>
          <w:lang w:val="en-US" w:eastAsia="zh-CN"/>
        </w:rPr>
        <w:t>对施工期井口区域、泥浆不落地系统设施区、柴油罐区和运营期作业期间井口四周区域</w:t>
      </w:r>
      <w:r>
        <w:rPr>
          <w:rFonts w:hint="default" w:ascii="Times New Roman" w:hAnsi="Times New Roman" w:eastAsia="仿宋_GB2312" w:cs="Times New Roman"/>
          <w:color w:val="auto"/>
          <w:kern w:val="2"/>
          <w:szCs w:val="32"/>
          <w:highlight w:val="none"/>
          <w:lang w:eastAsia="zh-CN"/>
        </w:rPr>
        <w:t>进行重点防渗。</w:t>
      </w:r>
      <w:r>
        <w:rPr>
          <w:rFonts w:hint="eastAsia" w:ascii="Times New Roman" w:hAnsi="Times New Roman" w:eastAsia="仿宋_GB2312" w:cs="Times New Roman"/>
          <w:color w:val="auto"/>
          <w:kern w:val="2"/>
          <w:szCs w:val="32"/>
          <w:highlight w:val="none"/>
          <w:lang w:val="en-US" w:eastAsia="zh-CN"/>
        </w:rPr>
        <w:t>对施工期柴油发电机和钻井机处</w:t>
      </w:r>
      <w:r>
        <w:rPr>
          <w:rFonts w:hint="default" w:ascii="Times New Roman" w:hAnsi="Times New Roman" w:eastAsia="仿宋_GB2312" w:cs="Times New Roman"/>
          <w:color w:val="auto"/>
          <w:kern w:val="2"/>
          <w:szCs w:val="32"/>
          <w:highlight w:val="none"/>
          <w:lang w:eastAsia="zh-CN"/>
        </w:rPr>
        <w:t>等区域进行</w:t>
      </w:r>
      <w:r>
        <w:rPr>
          <w:rFonts w:hint="default" w:ascii="Times New Roman" w:hAnsi="Times New Roman" w:eastAsia="仿宋_GB2312" w:cs="Times New Roman"/>
        </w:rPr>
        <w:t>一般防渗</w:t>
      </w:r>
      <w:r>
        <w:rPr>
          <w:rFonts w:hint="eastAsia" w:eastAsia="仿宋_GB2312" w:cs="Times New Roman"/>
          <w:lang w:eastAsia="zh-CN"/>
        </w:rPr>
        <w:t>。</w:t>
      </w:r>
      <w:r>
        <w:rPr>
          <w:rFonts w:hint="eastAsia" w:eastAsia="仿宋_GB2312" w:cs="Times New Roman"/>
          <w:color w:val="auto"/>
          <w:kern w:val="2"/>
          <w:szCs w:val="32"/>
          <w:highlight w:val="none"/>
          <w:lang w:eastAsia="zh-CN"/>
        </w:rPr>
        <w:t>加强防渗设施的日常维护，对出现损坏的防渗设施应及时修复和加固，确保防渗设施牢固安全。</w:t>
      </w:r>
    </w:p>
    <w:p w14:paraId="53D7FDE6">
      <w:pPr>
        <w:keepNext w:val="0"/>
        <w:keepLines w:val="0"/>
        <w:pageBreakBefore w:val="0"/>
        <w:widowControl w:val="0"/>
        <w:kinsoku/>
        <w:wordWrap/>
        <w:overflowPunct/>
        <w:topLinePunct w:val="0"/>
        <w:autoSpaceDE/>
        <w:autoSpaceDN/>
        <w:bidi w:val="0"/>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（七）加强施工期环境保护，防止施工废水、扬尘、噪声污染、水土流失和生态破坏。</w:t>
      </w:r>
    </w:p>
    <w:p w14:paraId="7FCB1D7C">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八</w:t>
      </w:r>
      <w:r>
        <w:rPr>
          <w:rFonts w:hint="default" w:ascii="Times New Roman" w:hAnsi="Times New Roman" w:eastAsia="仿宋_GB2312" w:cs="Times New Roman"/>
          <w:bCs/>
          <w:color w:val="auto"/>
          <w:szCs w:val="32"/>
          <w:highlight w:val="none"/>
        </w:rPr>
        <w:t>）强化各项环境风险防范措施，有效防范环境风险。定期开展环境风险应急培训和演练，落实各项应急环境管理措施以及各项风险防范措施，确保风险事故得到有效控制。</w:t>
      </w:r>
    </w:p>
    <w:p w14:paraId="0472AD87">
      <w:pPr>
        <w:keepNext w:val="0"/>
        <w:keepLines w:val="0"/>
        <w:pageBreakBefore w:val="0"/>
        <w:widowControl w:val="0"/>
        <w:kinsoku/>
        <w:wordWrap/>
        <w:overflowPunct/>
        <w:topLinePunct w:val="0"/>
        <w:autoSpaceDE/>
        <w:autoSpaceDN/>
        <w:bidi w:val="0"/>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eastAsia="zh-CN"/>
        </w:rPr>
        <w:t>（</w:t>
      </w:r>
      <w:r>
        <w:rPr>
          <w:rFonts w:hint="eastAsia" w:eastAsia="仿宋_GB2312" w:cs="Times New Roman"/>
          <w:bCs/>
          <w:color w:val="auto"/>
          <w:szCs w:val="32"/>
          <w:highlight w:val="none"/>
          <w:lang w:val="en-US" w:eastAsia="zh-CN"/>
        </w:rPr>
        <w:t>九</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14:paraId="1CAAFA9F">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188C3A95">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w:t>
      </w:r>
      <w:r>
        <w:rPr>
          <w:rFonts w:hint="eastAsia" w:eastAsia="仿宋_GB2312" w:cs="Times New Roman"/>
          <w:bCs/>
          <w:color w:val="auto"/>
          <w:szCs w:val="32"/>
          <w:highlight w:val="none"/>
          <w:lang w:val="en-US" w:eastAsia="zh-CN"/>
        </w:rPr>
        <w:t>书</w:t>
      </w:r>
      <w:r>
        <w:rPr>
          <w:rFonts w:hint="default" w:ascii="Times New Roman" w:hAnsi="Times New Roman" w:eastAsia="仿宋_GB2312" w:cs="Times New Roman"/>
          <w:bCs/>
          <w:color w:val="auto"/>
          <w:szCs w:val="32"/>
          <w:highlight w:val="none"/>
        </w:rPr>
        <w:t>经批准后，该项目的性质、规模、地点、生产工艺和环境保护措施发生重大变动，且可能导致环境影响显著变化</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特别是不利环境影响加重</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的，应当重新报批该项目环境影响评价报告。</w:t>
      </w:r>
    </w:p>
    <w:p w14:paraId="0EE9603E">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w:t>
      </w:r>
      <w:r>
        <w:rPr>
          <w:rFonts w:hint="eastAsia" w:eastAsia="仿宋_GB2312" w:cs="Times New Roman"/>
          <w:bCs/>
          <w:color w:val="auto"/>
          <w:szCs w:val="32"/>
          <w:highlight w:val="none"/>
          <w:lang w:val="en-US" w:eastAsia="zh-CN"/>
        </w:rPr>
        <w:t>128</w:t>
      </w:r>
      <w:r>
        <w:rPr>
          <w:rFonts w:hint="default" w:ascii="Times New Roman" w:hAnsi="Times New Roman" w:eastAsia="仿宋_GB2312" w:cs="Times New Roman"/>
          <w:bCs/>
          <w:color w:val="auto"/>
          <w:szCs w:val="32"/>
          <w:highlight w:val="none"/>
        </w:rPr>
        <w:t>团城镇和生态保护中心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14:paraId="42B7FE34">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w:t>
      </w:r>
      <w:r>
        <w:rPr>
          <w:rFonts w:hint="eastAsia" w:eastAsia="仿宋_GB2312" w:cs="Times New Roman"/>
          <w:bCs/>
          <w:color w:val="auto"/>
          <w:szCs w:val="32"/>
          <w:highlight w:val="none"/>
          <w:lang w:val="en-US" w:eastAsia="zh-CN"/>
        </w:rPr>
        <w:t>书</w:t>
      </w:r>
      <w:r>
        <w:rPr>
          <w:rFonts w:hint="default" w:ascii="Times New Roman" w:hAnsi="Times New Roman" w:eastAsia="仿宋_GB2312" w:cs="Times New Roman"/>
          <w:bCs/>
          <w:color w:val="auto"/>
          <w:szCs w:val="32"/>
          <w:highlight w:val="none"/>
        </w:rPr>
        <w:t>送师市生态环境保护综合行政执法支队、生态环境监测站、</w:t>
      </w:r>
      <w:r>
        <w:rPr>
          <w:rFonts w:hint="eastAsia" w:eastAsia="仿宋_GB2312" w:cs="Times New Roman"/>
          <w:bCs/>
          <w:sz w:val="32"/>
          <w:szCs w:val="32"/>
          <w:lang w:val="en-US" w:eastAsia="zh-CN"/>
        </w:rPr>
        <w:t>128</w:t>
      </w:r>
      <w:r>
        <w:rPr>
          <w:rFonts w:hint="default" w:ascii="Times New Roman" w:hAnsi="Times New Roman" w:eastAsia="仿宋_GB2312" w:cs="Times New Roman"/>
          <w:bCs/>
          <w:sz w:val="32"/>
          <w:szCs w:val="32"/>
        </w:rPr>
        <w:t>团城镇和生态保护中心</w:t>
      </w:r>
      <w:r>
        <w:rPr>
          <w:rFonts w:hint="default" w:ascii="Times New Roman" w:hAnsi="Times New Roman" w:eastAsia="仿宋_GB2312" w:cs="Times New Roman"/>
          <w:bCs/>
          <w:color w:val="auto"/>
          <w:szCs w:val="32"/>
          <w:highlight w:val="none"/>
        </w:rPr>
        <w:t>，并按规定接受各级生态环境主管部门的监督检查。</w:t>
      </w:r>
    </w:p>
    <w:p w14:paraId="424FC8EB">
      <w:pPr>
        <w:keepNext w:val="0"/>
        <w:keepLines w:val="0"/>
        <w:pageBreakBefore w:val="0"/>
        <w:widowControl w:val="0"/>
        <w:kinsoku/>
        <w:wordWrap/>
        <w:overflowPunct/>
        <w:topLinePunct w:val="0"/>
        <w:autoSpaceDE/>
        <w:autoSpaceDN/>
        <w:bidi w:val="0"/>
        <w:adjustRightInd/>
        <w:snapToGrid/>
        <w:spacing w:line="740" w:lineRule="exact"/>
        <w:ind w:firstLine="4740" w:firstLineChars="1500"/>
        <w:textAlignment w:val="auto"/>
        <w:rPr>
          <w:rFonts w:hint="default" w:ascii="Times New Roman" w:hAnsi="Times New Roman" w:eastAsia="仿宋_GB2312" w:cs="Times New Roman"/>
          <w:bCs/>
          <w:color w:val="auto"/>
          <w:szCs w:val="32"/>
          <w:highlight w:val="none"/>
        </w:rPr>
      </w:pPr>
    </w:p>
    <w:p w14:paraId="3023250D">
      <w:pPr>
        <w:keepNext w:val="0"/>
        <w:keepLines w:val="0"/>
        <w:pageBreakBefore w:val="0"/>
        <w:widowControl w:val="0"/>
        <w:kinsoku/>
        <w:wordWrap/>
        <w:overflowPunct/>
        <w:topLinePunct w:val="0"/>
        <w:autoSpaceDE/>
        <w:autoSpaceDN/>
        <w:bidi w:val="0"/>
        <w:adjustRightInd/>
        <w:snapToGrid/>
        <w:spacing w:line="740" w:lineRule="exact"/>
        <w:ind w:firstLine="4740" w:firstLineChars="1500"/>
        <w:textAlignment w:val="auto"/>
        <w:rPr>
          <w:rFonts w:hint="default" w:ascii="Times New Roman" w:hAnsi="Times New Roman" w:eastAsia="仿宋_GB2312" w:cs="Times New Roman"/>
          <w:bCs/>
          <w:color w:val="auto"/>
          <w:szCs w:val="32"/>
          <w:highlight w:val="none"/>
        </w:rPr>
      </w:pPr>
    </w:p>
    <w:p w14:paraId="1D8E3DEA">
      <w:pPr>
        <w:keepNext w:val="0"/>
        <w:keepLines w:val="0"/>
        <w:pageBreakBefore w:val="0"/>
        <w:widowControl w:val="0"/>
        <w:kinsoku/>
        <w:wordWrap/>
        <w:overflowPunct/>
        <w:topLinePunct w:val="0"/>
        <w:autoSpaceDE/>
        <w:autoSpaceDN/>
        <w:bidi w:val="0"/>
        <w:adjustRightInd/>
        <w:snapToGrid/>
        <w:spacing w:line="40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14:paraId="2E04CA34">
      <w:pPr>
        <w:keepNext w:val="0"/>
        <w:keepLines w:val="0"/>
        <w:pageBreakBefore w:val="0"/>
        <w:widowControl w:val="0"/>
        <w:kinsoku/>
        <w:wordWrap/>
        <w:overflowPunct/>
        <w:topLinePunct w:val="0"/>
        <w:autoSpaceDE/>
        <w:autoSpaceDN/>
        <w:bidi w:val="0"/>
        <w:adjustRightInd/>
        <w:snapToGrid/>
        <w:spacing w:line="400" w:lineRule="exact"/>
        <w:ind w:firstLine="5372" w:firstLineChars="17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Cs/>
          <w:color w:val="auto"/>
          <w:szCs w:val="32"/>
          <w:highlight w:val="none"/>
        </w:rPr>
        <w:t>202</w:t>
      </w:r>
      <w:r>
        <w:rPr>
          <w:rFonts w:hint="eastAsia" w:eastAsia="仿宋_GB2312" w:cs="Times New Roman"/>
          <w:bCs/>
          <w:color w:val="auto"/>
          <w:szCs w:val="32"/>
          <w:highlight w:val="none"/>
          <w:lang w:val="en-US" w:eastAsia="zh-CN"/>
        </w:rPr>
        <w:t>5</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4</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18</w:t>
      </w:r>
      <w:r>
        <w:rPr>
          <w:rFonts w:hint="default" w:ascii="Times New Roman" w:hAnsi="Times New Roman" w:eastAsia="仿宋_GB2312" w:cs="Times New Roman"/>
          <w:bCs/>
          <w:color w:val="auto"/>
          <w:szCs w:val="32"/>
          <w:highlight w:val="none"/>
        </w:rPr>
        <w:t>日</w:t>
      </w:r>
    </w:p>
    <w:p w14:paraId="7CE41434">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3CEECA2F">
      <w:pPr>
        <w:spacing w:line="400" w:lineRule="exact"/>
        <w:ind w:right="316" w:rightChars="100"/>
        <w:rPr>
          <w:rFonts w:hint="eastAsia" w:ascii="仿宋_GB2312" w:hAnsi="仿宋_GB2312" w:eastAsia="仿宋_GB2312" w:cs="仿宋_GB2312"/>
          <w:color w:val="auto"/>
          <w:sz w:val="28"/>
          <w:szCs w:val="28"/>
        </w:rPr>
      </w:pPr>
      <w:bookmarkStart w:id="3" w:name="_GoBack"/>
      <w:bookmarkEnd w:id="3"/>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577840" cy="25400"/>
                <wp:effectExtent l="0" t="9525" r="3810" b="22225"/>
                <wp:wrapNone/>
                <wp:docPr id="1" name="直接连接符 1"/>
                <wp:cNvGraphicFramePr/>
                <a:graphic xmlns:a="http://schemas.openxmlformats.org/drawingml/2006/main">
                  <a:graphicData uri="http://schemas.microsoft.com/office/word/2010/wordprocessingShape">
                    <wps:wsp>
                      <wps:cNvCnPr/>
                      <wps:spPr>
                        <a:xfrm>
                          <a:off x="0" y="0"/>
                          <a:ext cx="5577840" cy="2540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2pt;width:439.2pt;z-index:251660288;mso-width-relative:page;mso-height-relative:page;" filled="f" stroked="t" coordsize="21600,21600" o:gfxdata="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K2OaNIAAAADAQAADwAAAAAAAAABACAAAAAiAAAAZHJzL2Rvd25yZXYueG1s&#10;UEsBAhQAFAAAAAgAh07iQNMz1hX+AQAA9wMAAA4AAAAAAAAAAQAgAAAAIQEAAGRycy9lMm9Eb2Mu&#10;eG1sUEsFBgAAAAAGAAYAWQEAAJEFAAAAAA==&#10;">
                <v:fill on="f" focussize="0,0"/>
                <v:stroke weight="1.5pt" color="#000000" joinstyle="round"/>
                <v:imagedata o:title=""/>
                <o:lock v:ext="edit" aspectratio="f"/>
              </v:line>
            </w:pict>
          </mc:Fallback>
        </mc:AlternateContent>
      </w:r>
      <w:r>
        <w:rPr>
          <w:rFonts w:hint="eastAsia" w:ascii="仿宋_GB2312" w:hAnsi="仿宋_GB2312" w:eastAsia="仿宋_GB2312" w:cs="仿宋_GB2312"/>
          <w:color w:val="auto"/>
          <w:sz w:val="28"/>
          <w:szCs w:val="28"/>
        </w:rPr>
        <w:t>抄送：师市生态环境保护综合行政执法支队、生态环境监测站、1</w:t>
      </w:r>
      <w:r>
        <w:rPr>
          <w:rFonts w:hint="eastAsia" w:ascii="仿宋_GB2312" w:hAnsi="仿宋_GB2312" w:eastAsia="仿宋_GB2312" w:cs="仿宋_GB2312"/>
          <w:color w:val="auto"/>
          <w:sz w:val="28"/>
          <w:szCs w:val="28"/>
          <w:lang w:val="en-US" w:eastAsia="zh-CN"/>
        </w:rPr>
        <w:t>28</w:t>
      </w:r>
      <w:r>
        <w:rPr>
          <w:rFonts w:hint="eastAsia" w:ascii="仿宋_GB2312" w:hAnsi="仿宋_GB2312" w:eastAsia="仿宋_GB2312" w:cs="仿宋_GB2312"/>
          <w:color w:val="auto"/>
          <w:sz w:val="28"/>
          <w:szCs w:val="28"/>
        </w:rPr>
        <w:t>团城镇和生态保护中心。</w:t>
      </w:r>
    </w:p>
    <w:p w14:paraId="23418F4F">
      <w:pPr>
        <w:spacing w:line="600" w:lineRule="exact"/>
        <w:ind w:right="316" w:rightChars="100" w:firstLine="254" w:firstLineChars="100"/>
        <w:rPr>
          <w:rFonts w:hint="eastAsia" w:ascii="仿宋_GB2312" w:hAnsi="仿宋_GB2312" w:eastAsia="仿宋_GB2312" w:cs="仿宋_GB2312"/>
          <w:bCs/>
          <w:color w:val="auto"/>
          <w:szCs w:val="32"/>
          <w:highlight w:val="none"/>
        </w:rPr>
      </w:pPr>
      <w:r>
        <w:rPr>
          <w:rFonts w:hint="eastAsia" w:ascii="仿宋_GB2312" w:hAnsi="仿宋_GB2312" w:eastAsia="仿宋_GB2312" w:cs="仿宋_GB2312"/>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382270</wp:posOffset>
                </wp:positionV>
                <wp:extent cx="5615940" cy="190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190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15pt;width:442.2pt;z-index:251661312;mso-width-relative:page;mso-height-relative:page;" filled="f" stroked="t" coordsize="21600,21600" o:gfxdata="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5uTPV1AAAAAYBAAAPAAAAAAAAAAEAIAAAACIAAABkcnMvZG93bnJldi54bWxQSwEC&#10;FAAUAAAACACHTuJAHiSEh/gBAAD2AwAADgAAAAAAAAABACAAAAAjAQAAZHJzL2Uyb0RvYy54bWxQ&#10;SwUGAAAAAAYABgBZAQAAjQUAAAAA&#10;">
                <v:fill on="f" focussize="0,0"/>
                <v:stroke weight="1.5pt" color="#000000" joinstyle="round"/>
                <v:imagedata o:title=""/>
                <o:lock v:ext="edit" aspectratio="f"/>
              </v:line>
            </w:pict>
          </mc:Fallback>
        </mc:AlternateContent>
      </w:r>
      <w:r>
        <w:rPr>
          <w:rFonts w:hint="eastAsia" w:ascii="仿宋_GB2312" w:hAnsi="仿宋_GB2312" w:eastAsia="仿宋_GB2312" w:cs="仿宋_GB2312"/>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wp:posOffset>
                </wp:positionV>
                <wp:extent cx="5577840" cy="635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577840" cy="63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0.5pt;height:0.5pt;width:439.2pt;z-index:251661312;mso-width-relative:page;mso-height-relative:page;" filled="f" stroked="t" coordsize="21600,21600" o:gfxdata="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iMwQNMAAAAEAQAADwAAAAAAAAABACAAAAAiAAAAZHJzL2Rv&#10;d25yZXYueG1sUEsBAhQAFAAAAAgAh07iQPj8sJsGAgAA/wMAAA4AAAAAAAAAAQAgAAAAIgEAAGRy&#10;cy9lMm9Eb2MueG1sUEsFBgAAAAAGAAYAWQEAAJo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pacing w:val="-11"/>
          <w:sz w:val="28"/>
          <w:szCs w:val="28"/>
        </w:rPr>
        <w:t>新疆生产建设兵团第七师胡杨河市生态环境局</w:t>
      </w:r>
      <w:r>
        <w:rPr>
          <w:rFonts w:hint="eastAsia" w:ascii="仿宋_GB2312" w:hAnsi="仿宋_GB2312" w:eastAsia="仿宋_GB2312" w:cs="仿宋_GB2312"/>
          <w:color w:val="FF0000"/>
          <w:sz w:val="28"/>
          <w:szCs w:val="28"/>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18</w:t>
      </w:r>
      <w:r>
        <w:rPr>
          <w:rFonts w:hint="eastAsia" w:ascii="仿宋_GB2312" w:hAnsi="仿宋_GB2312" w:eastAsia="仿宋_GB2312" w:cs="仿宋_GB2312"/>
          <w:color w:val="auto"/>
          <w:sz w:val="28"/>
          <w:szCs w:val="28"/>
        </w:rPr>
        <w:t>日印发</w:t>
      </w:r>
    </w:p>
    <w:sectPr>
      <w:headerReference r:id="rId3" w:type="default"/>
      <w:footerReference r:id="rId4" w:type="default"/>
      <w:footerReference r:id="rId5" w:type="even"/>
      <w:pgSz w:w="11906" w:h="16838"/>
      <w:pgMar w:top="2098" w:right="1474" w:bottom="1984" w:left="1587" w:header="851" w:footer="1418"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ronet">
    <w:altName w:val="微软雅黑"/>
    <w:panose1 w:val="00000000000000000000"/>
    <w:charset w:val="00"/>
    <w:family w:val="script"/>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7780A">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219075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FE13E">
                          <w:pPr>
                            <w:pStyle w:val="11"/>
                            <w:ind w:left="320" w:leftChars="100" w:right="320" w:rightChars="100"/>
                            <w:rPr>
                              <w:rStyle w:val="17"/>
                              <w:rFonts w:hint="eastAsia" w:ascii="仿宋_GB2312" w:eastAsia="仿宋_GB2312"/>
                              <w:b/>
                              <w:bCs/>
                              <w:sz w:val="28"/>
                              <w:szCs w:val="28"/>
                            </w:rPr>
                          </w:pPr>
                          <w:r>
                            <w:rPr>
                              <w:rStyle w:val="17"/>
                              <w:rFonts w:hint="eastAsia" w:ascii="仿宋_GB2312" w:eastAsia="仿宋_GB2312"/>
                              <w:sz w:val="28"/>
                              <w:szCs w:val="28"/>
                            </w:rPr>
                            <w:t xml:space="preserve">— </w:t>
                          </w:r>
                          <w:r>
                            <w:rPr>
                              <w:rFonts w:hint="eastAsia" w:ascii="仿宋_GB2312" w:eastAsia="仿宋_GB2312"/>
                              <w:sz w:val="28"/>
                              <w:szCs w:val="28"/>
                            </w:rPr>
                            <w:fldChar w:fldCharType="begin"/>
                          </w:r>
                          <w:r>
                            <w:rPr>
                              <w:rStyle w:val="1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7"/>
                              <w:rFonts w:ascii="仿宋_GB2312" w:eastAsia="仿宋_GB2312"/>
                              <w:sz w:val="28"/>
                              <w:szCs w:val="28"/>
                            </w:rPr>
                            <w:t>1</w:t>
                          </w:r>
                          <w:r>
                            <w:rPr>
                              <w:rFonts w:hint="eastAsia" w:ascii="仿宋_GB2312" w:eastAsia="仿宋_GB2312"/>
                              <w:sz w:val="28"/>
                              <w:szCs w:val="28"/>
                            </w:rPr>
                            <w:fldChar w:fldCharType="end"/>
                          </w:r>
                          <w:r>
                            <w:rPr>
                              <w:rStyle w:val="17"/>
                              <w:rFonts w:hint="eastAsia" w:ascii="仿宋_GB2312"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25pt;height:144pt;width:144pt;mso-position-horizontal:outside;mso-position-horizontal-relative:margin;mso-wrap-style:none;z-index:251659264;mso-width-relative:page;mso-height-relative:page;" filled="f" stroked="f" coordsize="21600,21600" o:gfxdata="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LxMNQAAAAH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21CFE13E">
                    <w:pPr>
                      <w:pStyle w:val="11"/>
                      <w:ind w:left="320" w:leftChars="100" w:right="320" w:rightChars="100"/>
                      <w:rPr>
                        <w:rStyle w:val="17"/>
                        <w:rFonts w:hint="eastAsia" w:ascii="仿宋_GB2312" w:eastAsia="仿宋_GB2312"/>
                        <w:b/>
                        <w:bCs/>
                        <w:sz w:val="28"/>
                        <w:szCs w:val="28"/>
                      </w:rPr>
                    </w:pPr>
                    <w:r>
                      <w:rPr>
                        <w:rStyle w:val="17"/>
                        <w:rFonts w:hint="eastAsia" w:ascii="仿宋_GB2312" w:eastAsia="仿宋_GB2312"/>
                        <w:sz w:val="28"/>
                        <w:szCs w:val="28"/>
                      </w:rPr>
                      <w:t xml:space="preserve">— </w:t>
                    </w:r>
                    <w:r>
                      <w:rPr>
                        <w:rFonts w:hint="eastAsia" w:ascii="仿宋_GB2312" w:eastAsia="仿宋_GB2312"/>
                        <w:sz w:val="28"/>
                        <w:szCs w:val="28"/>
                      </w:rPr>
                      <w:fldChar w:fldCharType="begin"/>
                    </w:r>
                    <w:r>
                      <w:rPr>
                        <w:rStyle w:val="1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7"/>
                        <w:rFonts w:ascii="仿宋_GB2312" w:eastAsia="仿宋_GB2312"/>
                        <w:sz w:val="28"/>
                        <w:szCs w:val="28"/>
                      </w:rPr>
                      <w:t>1</w:t>
                    </w:r>
                    <w:r>
                      <w:rPr>
                        <w:rFonts w:hint="eastAsia" w:ascii="仿宋_GB2312" w:eastAsia="仿宋_GB2312"/>
                        <w:sz w:val="28"/>
                        <w:szCs w:val="28"/>
                      </w:rPr>
                      <w:fldChar w:fldCharType="end"/>
                    </w:r>
                    <w:r>
                      <w:rPr>
                        <w:rStyle w:val="17"/>
                        <w:rFonts w:hint="eastAsia" w:ascii="仿宋_GB2312" w:eastAsia="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51005">
    <w:pPr>
      <w:pStyle w:val="11"/>
      <w:framePr w:wrap="around" w:vAnchor="text" w:hAnchor="margin" w:xAlign="outside" w:y="1"/>
      <w:rPr>
        <w:rStyle w:val="17"/>
      </w:rPr>
    </w:pPr>
    <w:r>
      <w:fldChar w:fldCharType="begin"/>
    </w:r>
    <w:r>
      <w:rPr>
        <w:rStyle w:val="17"/>
      </w:rPr>
      <w:instrText xml:space="preserve">PAGE  </w:instrText>
    </w:r>
    <w:r>
      <w:fldChar w:fldCharType="separate"/>
    </w:r>
    <w:r>
      <w:rPr>
        <w:rStyle w:val="17"/>
      </w:rPr>
      <w:t>1</w:t>
    </w:r>
    <w:r>
      <w:fldChar w:fldCharType="end"/>
    </w:r>
  </w:p>
  <w:p w14:paraId="06A1A65C">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0F5A0">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01AFB"/>
    <w:multiLevelType w:val="multilevel"/>
    <w:tmpl w:val="7F401AFB"/>
    <w:lvl w:ilvl="0" w:tentative="0">
      <w:start w:val="1"/>
      <w:numFmt w:val="decimal"/>
      <w:pStyle w:val="4"/>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ZTQ2MWYyYTY5MDNmZDNlOGVlYzE1OWZlNTE2NTU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1913DF5"/>
    <w:rsid w:val="02370362"/>
    <w:rsid w:val="02B04EBD"/>
    <w:rsid w:val="04B77D73"/>
    <w:rsid w:val="05737345"/>
    <w:rsid w:val="06C71389"/>
    <w:rsid w:val="06CC7B06"/>
    <w:rsid w:val="07061550"/>
    <w:rsid w:val="07E14CFA"/>
    <w:rsid w:val="08EC6D80"/>
    <w:rsid w:val="0994708F"/>
    <w:rsid w:val="09E77F18"/>
    <w:rsid w:val="0BBC2B25"/>
    <w:rsid w:val="0BFE77BB"/>
    <w:rsid w:val="0CE57E5A"/>
    <w:rsid w:val="0E130163"/>
    <w:rsid w:val="0FF24E09"/>
    <w:rsid w:val="128F6BA3"/>
    <w:rsid w:val="16B800EE"/>
    <w:rsid w:val="177121A0"/>
    <w:rsid w:val="19A10D50"/>
    <w:rsid w:val="1E460B4D"/>
    <w:rsid w:val="1E7948A6"/>
    <w:rsid w:val="20783D41"/>
    <w:rsid w:val="21162F81"/>
    <w:rsid w:val="21DD6837"/>
    <w:rsid w:val="232E3EB1"/>
    <w:rsid w:val="24057B5F"/>
    <w:rsid w:val="24696853"/>
    <w:rsid w:val="247C78BD"/>
    <w:rsid w:val="250B5DC7"/>
    <w:rsid w:val="256C6F12"/>
    <w:rsid w:val="25B11864"/>
    <w:rsid w:val="260C6FC7"/>
    <w:rsid w:val="266546C4"/>
    <w:rsid w:val="291034DE"/>
    <w:rsid w:val="2B066B68"/>
    <w:rsid w:val="2B665A9B"/>
    <w:rsid w:val="2BA03F96"/>
    <w:rsid w:val="2F130EE6"/>
    <w:rsid w:val="2F234AE5"/>
    <w:rsid w:val="2F2B3664"/>
    <w:rsid w:val="2FEE4162"/>
    <w:rsid w:val="32C5491C"/>
    <w:rsid w:val="358F67ED"/>
    <w:rsid w:val="371F1D45"/>
    <w:rsid w:val="37A75B88"/>
    <w:rsid w:val="38207142"/>
    <w:rsid w:val="38453BBB"/>
    <w:rsid w:val="3BAC6099"/>
    <w:rsid w:val="3C25479F"/>
    <w:rsid w:val="3D7076AF"/>
    <w:rsid w:val="3DD64512"/>
    <w:rsid w:val="3EC1562C"/>
    <w:rsid w:val="3F0E35AF"/>
    <w:rsid w:val="3F4E158E"/>
    <w:rsid w:val="4419237E"/>
    <w:rsid w:val="45D948F4"/>
    <w:rsid w:val="46F24DE3"/>
    <w:rsid w:val="47587B93"/>
    <w:rsid w:val="4AB55994"/>
    <w:rsid w:val="4B9F5BD0"/>
    <w:rsid w:val="4CBF17F2"/>
    <w:rsid w:val="4CCA458A"/>
    <w:rsid w:val="50CC6933"/>
    <w:rsid w:val="50CD705E"/>
    <w:rsid w:val="52E568E7"/>
    <w:rsid w:val="54231BA0"/>
    <w:rsid w:val="562D5084"/>
    <w:rsid w:val="57563655"/>
    <w:rsid w:val="596F60AE"/>
    <w:rsid w:val="5A605F4A"/>
    <w:rsid w:val="5A885A96"/>
    <w:rsid w:val="609006D2"/>
    <w:rsid w:val="64C86FBA"/>
    <w:rsid w:val="654C1999"/>
    <w:rsid w:val="66BE66CF"/>
    <w:rsid w:val="677F3533"/>
    <w:rsid w:val="68991CEA"/>
    <w:rsid w:val="6ADC4BA2"/>
    <w:rsid w:val="6B762AC2"/>
    <w:rsid w:val="6B997D40"/>
    <w:rsid w:val="6C054650"/>
    <w:rsid w:val="6C711CE5"/>
    <w:rsid w:val="6D272415"/>
    <w:rsid w:val="6F065AB6"/>
    <w:rsid w:val="70205EFC"/>
    <w:rsid w:val="70787AE6"/>
    <w:rsid w:val="721320EC"/>
    <w:rsid w:val="73323C81"/>
    <w:rsid w:val="7388211F"/>
    <w:rsid w:val="745A0337"/>
    <w:rsid w:val="76DD68F5"/>
    <w:rsid w:val="76FA7D0E"/>
    <w:rsid w:val="77B21B30"/>
    <w:rsid w:val="780A371A"/>
    <w:rsid w:val="79621333"/>
    <w:rsid w:val="798C319D"/>
    <w:rsid w:val="79F35C8E"/>
    <w:rsid w:val="7A85778D"/>
    <w:rsid w:val="7C460A98"/>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4">
    <w:name w:val="heading 1"/>
    <w:basedOn w:val="1"/>
    <w:next w:val="1"/>
    <w:qFormat/>
    <w:uiPriority w:val="0"/>
    <w:pPr>
      <w:keepNext/>
      <w:keepLines/>
      <w:numPr>
        <w:ilvl w:val="0"/>
        <w:numId w:val="1"/>
      </w:numPr>
      <w:outlineLvl w:val="0"/>
    </w:pPr>
    <w:rPr>
      <w:b/>
      <w:kern w:val="0"/>
      <w:sz w:val="28"/>
      <w:szCs w:val="28"/>
    </w:rPr>
  </w:style>
  <w:style w:type="paragraph" w:styleId="5">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6">
    <w:name w:val="heading 3"/>
    <w:basedOn w:val="1"/>
    <w:next w:val="1"/>
    <w:qFormat/>
    <w:uiPriority w:val="0"/>
    <w:pPr>
      <w:keepNext/>
      <w:keepLines/>
      <w:spacing w:line="360" w:lineRule="auto"/>
      <w:ind w:firstLine="200" w:firstLineChars="200"/>
      <w:outlineLvl w:val="2"/>
    </w:pPr>
    <w:rPr>
      <w:bCs/>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lock Text"/>
    <w:basedOn w:val="1"/>
    <w:next w:val="3"/>
    <w:qFormat/>
    <w:uiPriority w:val="99"/>
    <w:pPr>
      <w:spacing w:line="480" w:lineRule="exact"/>
      <w:ind w:left="-125" w:right="-56" w:firstLine="570"/>
    </w:pPr>
    <w:rPr>
      <w:sz w:val="28"/>
      <w:szCs w:val="24"/>
    </w:rPr>
  </w:style>
  <w:style w:type="paragraph" w:styleId="3">
    <w:name w:val="toc 9"/>
    <w:basedOn w:val="1"/>
    <w:next w:val="1"/>
    <w:qFormat/>
    <w:uiPriority w:val="39"/>
    <w:pPr>
      <w:jc w:val="center"/>
    </w:pPr>
    <w:rPr>
      <w:sz w:val="18"/>
    </w:rPr>
  </w:style>
  <w:style w:type="paragraph" w:styleId="7">
    <w:name w:val="Normal Indent"/>
    <w:basedOn w:val="1"/>
    <w:qFormat/>
    <w:uiPriority w:val="0"/>
    <w:pPr>
      <w:ind w:firstLine="420" w:firstLineChars="200"/>
    </w:pPr>
    <w:rPr>
      <w:rFonts w:ascii="宋体" w:hAnsi="宋体"/>
    </w:rPr>
  </w:style>
  <w:style w:type="paragraph" w:styleId="8">
    <w:name w:val="index 5"/>
    <w:basedOn w:val="1"/>
    <w:next w:val="1"/>
    <w:qFormat/>
    <w:uiPriority w:val="0"/>
    <w:pPr>
      <w:ind w:left="800" w:leftChars="800"/>
    </w:pPr>
  </w:style>
  <w:style w:type="paragraph" w:styleId="9">
    <w:name w:val="Body Text"/>
    <w:basedOn w:val="1"/>
    <w:next w:val="10"/>
    <w:qFormat/>
    <w:uiPriority w:val="0"/>
    <w:rPr>
      <w:rFonts w:eastAsia="华文中宋"/>
      <w:b/>
      <w:bCs/>
      <w:w w:val="90"/>
      <w:sz w:val="44"/>
    </w:rPr>
  </w:style>
  <w:style w:type="paragraph" w:customStyle="1" w:styleId="10">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footnote text"/>
    <w:basedOn w:val="1"/>
    <w:next w:val="8"/>
    <w:unhideWhenUsed/>
    <w:qFormat/>
    <w:uiPriority w:val="99"/>
    <w:pPr>
      <w:snapToGrid w:val="0"/>
      <w:jc w:val="left"/>
    </w:pPr>
    <w:rPr>
      <w:rFonts w:ascii="Calibri" w:hAnsi="Calibri" w:eastAsia="仿宋" w:cs="Times New Roman"/>
      <w:sz w:val="18"/>
      <w:szCs w:val="18"/>
    </w:rPr>
  </w:style>
  <w:style w:type="paragraph" w:styleId="14">
    <w:name w:val="Body Text 2"/>
    <w:basedOn w:val="1"/>
    <w:unhideWhenUsed/>
    <w:qFormat/>
    <w:uiPriority w:val="99"/>
    <w:pPr>
      <w:spacing w:after="120" w:line="480" w:lineRule="auto"/>
    </w:pPr>
  </w:style>
  <w:style w:type="character" w:styleId="17">
    <w:name w:val="page number"/>
    <w:basedOn w:val="16"/>
    <w:qFormat/>
    <w:uiPriority w:val="0"/>
  </w:style>
  <w:style w:type="paragraph" w:customStyle="1" w:styleId="18">
    <w:name w:val="Default"/>
    <w:basedOn w:val="19"/>
    <w:next w:val="1"/>
    <w:unhideWhenUsed/>
    <w:qFormat/>
    <w:uiPriority w:val="0"/>
    <w:pPr>
      <w:tabs>
        <w:tab w:val="left" w:pos="2760"/>
      </w:tabs>
      <w:autoSpaceDE w:val="0"/>
      <w:autoSpaceDN w:val="0"/>
    </w:pPr>
    <w:rPr>
      <w:rFonts w:hAnsi="宋体" w:eastAsia="宋体"/>
      <w:color w:val="000000"/>
      <w:sz w:val="24"/>
    </w:rPr>
  </w:style>
  <w:style w:type="paragraph" w:customStyle="1" w:styleId="19">
    <w:name w:val="纯文本1"/>
    <w:basedOn w:val="1"/>
    <w:qFormat/>
    <w:uiPriority w:val="0"/>
    <w:pPr>
      <w:tabs>
        <w:tab w:val="left" w:pos="2760"/>
      </w:tabs>
      <w:adjustRightInd w:val="0"/>
    </w:pPr>
    <w:rPr>
      <w:rFonts w:ascii="宋体" w:hAnsi="Courier New"/>
    </w:rPr>
  </w:style>
  <w:style w:type="paragraph" w:customStyle="1" w:styleId="20">
    <w:name w:val="Char"/>
    <w:basedOn w:val="1"/>
    <w:qFormat/>
    <w:uiPriority w:val="0"/>
    <w:rPr>
      <w:rFonts w:cs="宋体"/>
      <w:sz w:val="28"/>
    </w:rPr>
  </w:style>
  <w:style w:type="paragraph" w:customStyle="1" w:styleId="21">
    <w:name w:val="YJ正文*"/>
    <w:basedOn w:val="1"/>
    <w:qFormat/>
    <w:uiPriority w:val="0"/>
    <w:pPr>
      <w:spacing w:line="500" w:lineRule="exact"/>
      <w:ind w:firstLine="200" w:firstLineChars="200"/>
      <w:jc w:val="both"/>
    </w:pPr>
    <w:rPr>
      <w:rFonts w:ascii="等线" w:hAnsi="等线" w:eastAsia="宋体"/>
      <w:sz w:val="24"/>
    </w:rPr>
  </w:style>
  <w:style w:type="paragraph" w:customStyle="1" w:styleId="22">
    <w:name w:val="表字-书"/>
    <w:basedOn w:val="1"/>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2168</Words>
  <Characters>2285</Characters>
  <Lines>11</Lines>
  <Paragraphs>3</Paragraphs>
  <TotalTime>1</TotalTime>
  <ScaleCrop>false</ScaleCrop>
  <LinksUpToDate>false</LinksUpToDate>
  <CharactersWithSpaces>2325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风的自由</cp:lastModifiedBy>
  <cp:lastPrinted>2024-11-21T03:27:00Z</cp:lastPrinted>
  <dcterms:modified xsi:type="dcterms:W3CDTF">2025-04-18T02:01:02Z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C565FD4ACC8F48F29B10E17AA090710F_13</vt:lpwstr>
  </property>
  <property fmtid="{D5CDD505-2E9C-101B-9397-08002B2CF9AE}" pid="4" name="KSOTemplateDocerSaveRecord">
    <vt:lpwstr>eyJoZGlkIjoiODBjNzYxYmIzOWJkMDlmNzJmZjdjMmNkNDkzMGYxZDkiLCJ1c2VySWQiOiI1NTE5NjI2NTYifQ==</vt:lpwstr>
  </property>
</Properties>
</file>