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4982"/>
        </w:tabs>
        <w:kinsoku/>
        <w:wordWrap/>
        <w:overflowPunct/>
        <w:topLinePunct w:val="0"/>
        <w:autoSpaceDE/>
        <w:autoSpaceDN/>
        <w:bidi w:val="0"/>
        <w:adjustRightInd/>
        <w:snapToGrid/>
        <w:spacing w:line="800" w:lineRule="exact"/>
        <w:textAlignment w:val="auto"/>
        <w:rPr>
          <w:rFonts w:hint="default" w:ascii="仿宋_GB2312" w:eastAsia="仿宋_GB2312"/>
          <w:snapToGrid w:val="0"/>
          <w:kern w:val="0"/>
          <w:sz w:val="32"/>
          <w:szCs w:val="32"/>
          <w:lang w:val="en-US" w:eastAsia="zh-CN"/>
        </w:rPr>
      </w:pPr>
      <w:r>
        <w:rPr>
          <w:rFonts w:hint="eastAsia" w:ascii="仿宋_GB2312" w:eastAsia="仿宋_GB2312"/>
          <w:snapToGrid w:val="0"/>
          <w:kern w:val="0"/>
          <w:sz w:val="32"/>
          <w:szCs w:val="32"/>
          <w:lang w:val="en-US" w:eastAsia="zh-CN"/>
        </w:rPr>
        <w:tab/>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仿宋_GB2312" w:cs="Times New Roman"/>
          <w:snapToGrid w:val="0"/>
          <w:kern w:val="0"/>
          <w:sz w:val="32"/>
          <w:szCs w:val="32"/>
        </w:rPr>
      </w:pPr>
      <w:r>
        <w:rPr>
          <w:rFonts w:hint="eastAsia" w:ascii="仿宋_GB2312" w:eastAsia="仿宋_GB2312"/>
          <w:snapToGrid w:val="0"/>
          <w:kern w:val="0"/>
          <w:sz w:val="32"/>
          <w:szCs w:val="32"/>
        </w:rPr>
        <w:t xml:space="preserve">                              </w:t>
      </w:r>
      <w:r>
        <w:rPr>
          <w:rFonts w:hint="default" w:ascii="Times New Roman" w:hAnsi="Times New Roman" w:eastAsia="仿宋_GB2312" w:cs="Times New Roman"/>
          <w:snapToGrid w:val="0"/>
          <w:kern w:val="0"/>
          <w:sz w:val="32"/>
          <w:szCs w:val="32"/>
        </w:rPr>
        <w:t xml:space="preserve">  师市环审〔202</w:t>
      </w:r>
      <w:r>
        <w:rPr>
          <w:rFonts w:hint="default" w:ascii="Times New Roman" w:hAnsi="Times New Roman" w:eastAsia="仿宋_GB2312" w:cs="Times New Roman"/>
          <w:snapToGrid w:val="0"/>
          <w:kern w:val="0"/>
          <w:sz w:val="32"/>
          <w:szCs w:val="32"/>
          <w:lang w:val="en-US" w:eastAsia="zh-CN"/>
        </w:rPr>
        <w:t>5</w:t>
      </w:r>
      <w:r>
        <w:rPr>
          <w:rFonts w:hint="default" w:ascii="Times New Roman" w:hAnsi="Times New Roman" w:eastAsia="仿宋_GB2312" w:cs="Times New Roman"/>
          <w:snapToGrid w:val="0"/>
          <w:kern w:val="0"/>
          <w:sz w:val="32"/>
          <w:szCs w:val="32"/>
        </w:rPr>
        <w:t>〕</w:t>
      </w:r>
      <w:r>
        <w:rPr>
          <w:rFonts w:hint="eastAsia" w:ascii="Times New Roman" w:hAnsi="Times New Roman" w:eastAsia="仿宋_GB2312" w:cs="Times New Roman"/>
          <w:snapToGrid w:val="0"/>
          <w:kern w:val="0"/>
          <w:sz w:val="32"/>
          <w:szCs w:val="32"/>
          <w:lang w:val="en-US" w:eastAsia="zh-CN"/>
        </w:rPr>
        <w:t>1</w:t>
      </w:r>
      <w:r>
        <w:rPr>
          <w:rFonts w:hint="eastAsia" w:eastAsia="仿宋_GB2312" w:cs="Times New Roman"/>
          <w:snapToGrid w:val="0"/>
          <w:kern w:val="0"/>
          <w:sz w:val="32"/>
          <w:szCs w:val="32"/>
          <w:lang w:val="en-US" w:eastAsia="zh-CN"/>
        </w:rPr>
        <w:t>6</w:t>
      </w:r>
      <w:bookmarkStart w:id="1" w:name="_GoBack"/>
      <w:bookmarkEnd w:id="1"/>
      <w:r>
        <w:rPr>
          <w:rFonts w:hint="default" w:ascii="Times New Roman" w:hAnsi="Times New Roman" w:eastAsia="仿宋_GB2312" w:cs="Times New Roman"/>
          <w:snapToGrid w:val="0"/>
          <w:kern w:val="0"/>
          <w:sz w:val="32"/>
          <w:szCs w:val="32"/>
        </w:rPr>
        <w:t>号</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方正小标宋简体" w:hAnsi="宋体" w:eastAsia="方正小标宋简体"/>
          <w:bCs/>
          <w:snapToGrid w:val="0"/>
          <w:kern w:val="0"/>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宋体" w:eastAsia="方正小标宋简体"/>
          <w:bCs/>
          <w:snapToGrid w:val="0"/>
          <w:kern w:val="0"/>
          <w:sz w:val="44"/>
          <w:szCs w:val="44"/>
          <w:lang w:val="zh-CN"/>
        </w:rPr>
      </w:pPr>
      <w:r>
        <w:rPr>
          <w:rFonts w:hint="eastAsia" w:ascii="方正小标宋简体" w:hAnsi="宋体" w:eastAsia="方正小标宋简体"/>
          <w:bCs/>
          <w:snapToGrid w:val="0"/>
          <w:kern w:val="0"/>
          <w:sz w:val="44"/>
          <w:szCs w:val="44"/>
        </w:rPr>
        <w:t>关于</w:t>
      </w:r>
      <w:r>
        <w:rPr>
          <w:rFonts w:hint="eastAsia" w:ascii="方正小标宋简体" w:hAnsi="宋体" w:eastAsia="方正小标宋简体"/>
          <w:bCs/>
          <w:snapToGrid w:val="0"/>
          <w:kern w:val="0"/>
          <w:sz w:val="44"/>
          <w:szCs w:val="44"/>
          <w:lang w:val="zh-CN"/>
        </w:rPr>
        <w:t>新疆法康尼石油化工有限公司企业研发</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hAnsi="宋体" w:eastAsia="方正小标宋简体"/>
          <w:bCs/>
          <w:snapToGrid w:val="0"/>
          <w:kern w:val="0"/>
          <w:sz w:val="44"/>
          <w:szCs w:val="44"/>
        </w:rPr>
      </w:pPr>
      <w:r>
        <w:rPr>
          <w:rFonts w:hint="eastAsia" w:ascii="方正小标宋简体" w:hAnsi="宋体" w:eastAsia="方正小标宋简体"/>
          <w:bCs/>
          <w:snapToGrid w:val="0"/>
          <w:kern w:val="0"/>
          <w:sz w:val="44"/>
          <w:szCs w:val="44"/>
          <w:lang w:val="zh-CN"/>
        </w:rPr>
        <w:t>中心项目环境影响报告</w:t>
      </w:r>
      <w:r>
        <w:rPr>
          <w:rFonts w:hint="eastAsia" w:ascii="方正小标宋简体" w:hAnsi="宋体" w:eastAsia="方正小标宋简体"/>
          <w:bCs/>
          <w:snapToGrid w:val="0"/>
          <w:kern w:val="0"/>
          <w:sz w:val="44"/>
          <w:szCs w:val="44"/>
        </w:rPr>
        <w:t>表</w:t>
      </w:r>
      <w:r>
        <w:rPr>
          <w:rFonts w:hint="eastAsia" w:ascii="方正小标宋简体" w:hAnsi="宋体" w:eastAsia="方正小标宋简体"/>
          <w:bCs/>
          <w:snapToGrid w:val="0"/>
          <w:kern w:val="0"/>
          <w:sz w:val="44"/>
          <w:szCs w:val="44"/>
          <w:lang w:val="en-US" w:eastAsia="zh-CN"/>
        </w:rPr>
        <w:t>的</w:t>
      </w:r>
      <w:r>
        <w:rPr>
          <w:rFonts w:hint="eastAsia" w:ascii="方正小标宋简体" w:hAnsi="宋体" w:eastAsia="方正小标宋简体"/>
          <w:bCs/>
          <w:snapToGrid w:val="0"/>
          <w:kern w:val="0"/>
          <w:sz w:val="44"/>
          <w:szCs w:val="44"/>
        </w:rPr>
        <w:t>批复</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Cs/>
          <w:snapToGrid w:val="0"/>
          <w:kern w:val="0"/>
          <w:sz w:val="32"/>
          <w:szCs w:val="32"/>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zh-CN"/>
        </w:rPr>
        <w:t>新疆法康尼石油化工有限公司</w:t>
      </w:r>
      <w:r>
        <w:rPr>
          <w:rFonts w:hint="default"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lang w:val="zh-CN"/>
        </w:rPr>
      </w:pPr>
      <w:r>
        <w:rPr>
          <w:rFonts w:hint="default" w:ascii="Times New Roman" w:hAnsi="Times New Roman" w:eastAsia="仿宋_GB2312" w:cs="Times New Roman"/>
          <w:sz w:val="32"/>
          <w:szCs w:val="32"/>
        </w:rPr>
        <w:t>你公司《关于审批&lt;</w:t>
      </w:r>
      <w:r>
        <w:rPr>
          <w:rFonts w:hint="default" w:ascii="Times New Roman" w:hAnsi="Times New Roman" w:eastAsia="仿宋_GB2312" w:cs="Times New Roman"/>
          <w:sz w:val="32"/>
          <w:szCs w:val="32"/>
          <w:lang w:val="zh-CN"/>
        </w:rPr>
        <w:t>新疆法康尼石油化工有限公司企业研发</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zh-CN"/>
        </w:rPr>
        <w:t>中心项目</w:t>
      </w:r>
      <w:r>
        <w:rPr>
          <w:rFonts w:hint="default" w:ascii="Times New Roman" w:hAnsi="Times New Roman" w:eastAsia="仿宋_GB2312" w:cs="Times New Roman"/>
          <w:sz w:val="32"/>
          <w:szCs w:val="32"/>
        </w:rPr>
        <w:t>&gt;的请示》收悉。经研究，批复如下：</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一、该项目</w:t>
      </w:r>
      <w:r>
        <w:rPr>
          <w:rFonts w:hint="default" w:ascii="Times New Roman" w:hAnsi="Times New Roman" w:eastAsia="仿宋_GB2312" w:cs="Times New Roman"/>
          <w:sz w:val="32"/>
          <w:szCs w:val="32"/>
          <w:lang w:val="en-US" w:eastAsia="zh-CN"/>
        </w:rPr>
        <w:t>位于第七师胡杨河经济技术开发区南园区，项目区中心地理位置坐标为</w:t>
      </w:r>
      <w:bookmarkStart w:id="0" w:name="_Hlk180516248"/>
      <w:r>
        <w:rPr>
          <w:rFonts w:hint="default" w:ascii="Times New Roman" w:hAnsi="Times New Roman" w:eastAsia="仿宋_GB2312" w:cs="Times New Roman"/>
          <w:sz w:val="32"/>
          <w:szCs w:val="32"/>
          <w:lang w:val="en-US" w:eastAsia="zh-CN"/>
        </w:rPr>
        <w:t>东经84°52′15.771″，北纬44°50′26.872″。</w:t>
      </w:r>
      <w:bookmarkEnd w:id="0"/>
      <w:r>
        <w:rPr>
          <w:rFonts w:hint="default" w:ascii="Times New Roman" w:hAnsi="Times New Roman" w:eastAsia="仿宋_GB2312" w:cs="Times New Roman"/>
          <w:sz w:val="32"/>
          <w:szCs w:val="32"/>
          <w:lang w:val="en-US" w:eastAsia="zh-CN"/>
        </w:rPr>
        <w:t>项目新建</w:t>
      </w:r>
      <w:r>
        <w:rPr>
          <w:rFonts w:hint="eastAsia" w:eastAsia="仿宋_GB2312" w:cs="Times New Roman"/>
          <w:sz w:val="32"/>
          <w:szCs w:val="32"/>
          <w:lang w:val="en-US" w:eastAsia="zh-CN"/>
        </w:rPr>
        <w:t>一座研发中心</w:t>
      </w:r>
      <w:r>
        <w:rPr>
          <w:rFonts w:hint="default" w:ascii="Times New Roman" w:hAnsi="Times New Roman" w:eastAsia="仿宋_GB2312" w:cs="Times New Roman"/>
          <w:sz w:val="32"/>
          <w:szCs w:val="32"/>
          <w:lang w:val="en-US" w:eastAsia="zh-CN"/>
        </w:rPr>
        <w:t>，建</w:t>
      </w:r>
      <w:r>
        <w:rPr>
          <w:rFonts w:hint="eastAsia" w:eastAsia="仿宋_GB2312" w:cs="Times New Roman"/>
          <w:sz w:val="32"/>
          <w:szCs w:val="32"/>
          <w:lang w:val="en-US" w:eastAsia="zh-CN"/>
        </w:rPr>
        <w:t>成后年产</w:t>
      </w:r>
      <w:r>
        <w:rPr>
          <w:rFonts w:hint="default" w:ascii="Times New Roman" w:hAnsi="Times New Roman" w:eastAsia="仿宋_GB2312" w:cs="Times New Roman"/>
          <w:sz w:val="32"/>
          <w:szCs w:val="32"/>
          <w:lang w:val="en-US" w:eastAsia="zh-CN"/>
        </w:rPr>
        <w:t>1吨高温煤焦沥青高效分离高纯品缩合芳香族化合物。项目总投资2000万元，其中环保投资57万元，占总投资的2.85%。</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w:t>
      </w:r>
      <w:r>
        <w:rPr>
          <w:rFonts w:hint="default" w:ascii="Times New Roman" w:hAnsi="Times New Roman" w:eastAsia="仿宋_GB2312" w:cs="Times New Roman"/>
          <w:bCs/>
          <w:sz w:val="32"/>
          <w:szCs w:val="32"/>
        </w:rPr>
        <w:t>项目实施后会对环境造成一定不利影响，必须严格落实各项污染防治和生态环境保护措施，采取严格的环境风险防范措施、环境管理制度、环境监控和应急措施。综合考虑，我局原则同意该项目环境影响</w:t>
      </w:r>
      <w:r>
        <w:rPr>
          <w:rFonts w:hint="eastAsia" w:eastAsia="仿宋_GB2312" w:cs="Times New Roman"/>
          <w:bCs/>
          <w:sz w:val="32"/>
          <w:szCs w:val="32"/>
          <w:lang w:eastAsia="zh-CN"/>
        </w:rPr>
        <w:t>报告</w:t>
      </w:r>
      <w:r>
        <w:rPr>
          <w:rFonts w:hint="eastAsia" w:eastAsia="仿宋_GB2312" w:cs="Times New Roman"/>
          <w:bCs/>
          <w:sz w:val="32"/>
          <w:szCs w:val="32"/>
          <w:lang w:val="en-US" w:eastAsia="zh-CN"/>
        </w:rPr>
        <w:t>表</w:t>
      </w:r>
      <w:r>
        <w:rPr>
          <w:rFonts w:hint="default" w:ascii="Times New Roman" w:hAnsi="Times New Roman" w:eastAsia="仿宋_GB2312" w:cs="Times New Roman"/>
          <w:bCs/>
          <w:sz w:val="32"/>
          <w:szCs w:val="32"/>
        </w:rPr>
        <w:t>中所列建设项目的性质、规模、地点、工艺和环境保护对策措施。</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kern w:val="0"/>
          <w:sz w:val="32"/>
          <w:szCs w:val="32"/>
        </w:rPr>
        <w:t>三、</w:t>
      </w:r>
      <w:r>
        <w:rPr>
          <w:rFonts w:hint="default" w:ascii="Times New Roman" w:hAnsi="Times New Roman" w:eastAsia="仿宋_GB2312" w:cs="Times New Roman"/>
          <w:bCs/>
          <w:sz w:val="32"/>
          <w:szCs w:val="32"/>
        </w:rPr>
        <w:t>项目建设和运营中应重点做好的工作：</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 w:val="0"/>
          <w:bCs/>
          <w:sz w:val="32"/>
          <w:szCs w:val="32"/>
          <w:lang w:val="en-US" w:eastAsia="zh-CN"/>
        </w:rPr>
      </w:pPr>
      <w:r>
        <w:rPr>
          <w:rFonts w:hint="default" w:ascii="Times New Roman" w:hAnsi="Times New Roman" w:eastAsia="仿宋_GB2312" w:cs="Times New Roman"/>
          <w:b w:val="0"/>
          <w:bCs/>
          <w:sz w:val="32"/>
          <w:szCs w:val="32"/>
        </w:rPr>
        <w:t>（一）严格落实大气污染防治措施。</w:t>
      </w:r>
      <w:r>
        <w:rPr>
          <w:rFonts w:hint="default" w:ascii="Times New Roman" w:hAnsi="Times New Roman" w:eastAsia="仿宋_GB2312" w:cs="Times New Roman"/>
          <w:b w:val="0"/>
          <w:bCs/>
          <w:sz w:val="32"/>
          <w:szCs w:val="32"/>
          <w:lang w:val="en-US" w:eastAsia="zh-CN"/>
        </w:rPr>
        <w:t>溶剂蒸发废气经“冷凝+活性炭吸附”处理，设备动静密封点废气和装卸及储存废气经“集气罩+活性炭吸附”处理后，均由15米高的排气筒排放。废气中非甲烷总烃排放</w:t>
      </w:r>
      <w:r>
        <w:rPr>
          <w:rFonts w:hint="eastAsia" w:eastAsia="仿宋_GB2312" w:cs="Times New Roman"/>
          <w:b w:val="0"/>
          <w:bCs/>
          <w:sz w:val="32"/>
          <w:szCs w:val="32"/>
          <w:lang w:val="en-US" w:eastAsia="zh-CN"/>
        </w:rPr>
        <w:t>执行</w:t>
      </w:r>
      <w:r>
        <w:rPr>
          <w:rFonts w:hint="default" w:ascii="Times New Roman" w:hAnsi="Times New Roman" w:eastAsia="仿宋_GB2312" w:cs="Times New Roman"/>
          <w:b w:val="0"/>
          <w:bCs/>
          <w:sz w:val="32"/>
          <w:szCs w:val="32"/>
          <w:lang w:val="en-US" w:eastAsia="zh-CN"/>
        </w:rPr>
        <w:t>《大气污染物综合排放标准》（GB16297-1996）表2中限值要求。</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b w:val="0"/>
          <w:bCs w:val="0"/>
          <w:w w:val="100"/>
          <w:kern w:val="2"/>
          <w:sz w:val="32"/>
          <w:szCs w:val="32"/>
          <w:lang w:val="en-US" w:eastAsia="zh-CN" w:bidi="ar-SA"/>
        </w:rPr>
      </w:pPr>
      <w:r>
        <w:rPr>
          <w:rFonts w:hint="eastAsia" w:ascii="Times New Roman" w:hAnsi="Times New Roman" w:eastAsia="仿宋_GB2312" w:cs="Times New Roman"/>
          <w:b w:val="0"/>
          <w:bCs w:val="0"/>
          <w:w w:val="100"/>
          <w:kern w:val="2"/>
          <w:sz w:val="32"/>
          <w:szCs w:val="32"/>
          <w:lang w:val="en-US" w:eastAsia="zh-CN" w:bidi="ar-SA"/>
        </w:rPr>
        <w:t>各设备均密闭，物料输送均通过密闭管道；生产中加强输料泵、管道、阀门的管理和维护，定期检测、及时修复，防止或减少“跑、冒、滴、漏”现象。厂界非甲烷总烃无组织排放</w:t>
      </w:r>
      <w:r>
        <w:rPr>
          <w:rFonts w:hint="eastAsia" w:eastAsia="仿宋_GB2312" w:cs="Times New Roman"/>
          <w:b w:val="0"/>
          <w:bCs w:val="0"/>
          <w:w w:val="100"/>
          <w:kern w:val="2"/>
          <w:sz w:val="32"/>
          <w:szCs w:val="32"/>
          <w:lang w:val="en-US" w:eastAsia="zh-CN" w:bidi="ar-SA"/>
        </w:rPr>
        <w:t>执行</w:t>
      </w:r>
      <w:r>
        <w:rPr>
          <w:rFonts w:hint="eastAsia" w:ascii="Times New Roman" w:hAnsi="Times New Roman" w:eastAsia="仿宋_GB2312" w:cs="Times New Roman"/>
          <w:b w:val="0"/>
          <w:bCs w:val="0"/>
          <w:w w:val="100"/>
          <w:kern w:val="2"/>
          <w:sz w:val="32"/>
          <w:szCs w:val="32"/>
          <w:lang w:val="en-US" w:eastAsia="zh-CN" w:bidi="ar-SA"/>
        </w:rPr>
        <w:t>《大气污染物综合排放标准》（GB16297-1996）表2大气污染物排放限值要求，厂内非甲烷总烃无组织排放</w:t>
      </w:r>
      <w:r>
        <w:rPr>
          <w:rFonts w:hint="eastAsia" w:eastAsia="仿宋_GB2312" w:cs="Times New Roman"/>
          <w:b w:val="0"/>
          <w:bCs w:val="0"/>
          <w:w w:val="100"/>
          <w:kern w:val="2"/>
          <w:sz w:val="32"/>
          <w:szCs w:val="32"/>
          <w:lang w:val="en-US" w:eastAsia="zh-CN" w:bidi="ar-SA"/>
        </w:rPr>
        <w:t>执行</w:t>
      </w:r>
      <w:r>
        <w:rPr>
          <w:rFonts w:hint="eastAsia" w:ascii="Times New Roman" w:hAnsi="Times New Roman" w:eastAsia="仿宋_GB2312" w:cs="Times New Roman"/>
          <w:b w:val="0"/>
          <w:bCs w:val="0"/>
          <w:w w:val="100"/>
          <w:kern w:val="2"/>
          <w:sz w:val="32"/>
          <w:szCs w:val="32"/>
          <w:lang w:val="en-US" w:eastAsia="zh-CN" w:bidi="ar-SA"/>
        </w:rPr>
        <w:t>《挥发性有机物无组织排放控制标准》（GB 37822-2019）中表A.1厂区内VOCs无组织排放限值要求。</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 w:val="0"/>
          <w:bCs w:val="0"/>
          <w:w w:val="100"/>
          <w:kern w:val="2"/>
          <w:sz w:val="32"/>
          <w:szCs w:val="32"/>
          <w:lang w:val="en-US" w:eastAsia="zh-CN" w:bidi="ar-SA"/>
        </w:rPr>
      </w:pPr>
      <w:r>
        <w:rPr>
          <w:rFonts w:hint="eastAsia" w:eastAsia="仿宋_GB2312" w:cs="Times New Roman"/>
          <w:b w:val="0"/>
          <w:bCs w:val="0"/>
          <w:w w:val="100"/>
          <w:kern w:val="2"/>
          <w:sz w:val="32"/>
          <w:szCs w:val="32"/>
          <w:lang w:val="en-US" w:eastAsia="zh-CN" w:bidi="ar-SA"/>
        </w:rPr>
        <w:t>该项目VOCs</w:t>
      </w:r>
      <w:r>
        <w:rPr>
          <w:rFonts w:hint="eastAsia" w:ascii="Times New Roman" w:hAnsi="Times New Roman" w:eastAsia="仿宋_GB2312" w:cs="Times New Roman"/>
          <w:b w:val="0"/>
          <w:bCs w:val="0"/>
          <w:w w:val="100"/>
          <w:kern w:val="2"/>
          <w:sz w:val="32"/>
          <w:szCs w:val="32"/>
          <w:lang w:val="en-US" w:eastAsia="zh-CN" w:bidi="ar-SA"/>
        </w:rPr>
        <w:t>排放总量不超过0.0</w:t>
      </w:r>
      <w:r>
        <w:rPr>
          <w:rFonts w:hint="eastAsia" w:eastAsia="仿宋_GB2312" w:cs="Times New Roman"/>
          <w:b w:val="0"/>
          <w:bCs w:val="0"/>
          <w:w w:val="100"/>
          <w:kern w:val="2"/>
          <w:sz w:val="32"/>
          <w:szCs w:val="32"/>
          <w:lang w:val="en-US" w:eastAsia="zh-CN" w:bidi="ar-SA"/>
        </w:rPr>
        <w:t>23</w:t>
      </w:r>
      <w:r>
        <w:rPr>
          <w:rFonts w:hint="eastAsia" w:ascii="Times New Roman" w:hAnsi="Times New Roman" w:eastAsia="仿宋_GB2312" w:cs="Times New Roman"/>
          <w:b w:val="0"/>
          <w:bCs w:val="0"/>
          <w:w w:val="100"/>
          <w:kern w:val="2"/>
          <w:sz w:val="32"/>
          <w:szCs w:val="32"/>
          <w:lang w:val="en-US" w:eastAsia="zh-CN" w:bidi="ar-SA"/>
        </w:rPr>
        <w:t>吨/年</w:t>
      </w:r>
      <w:r>
        <w:rPr>
          <w:rFonts w:hint="eastAsia" w:eastAsia="仿宋_GB2312" w:cs="Times New Roman"/>
          <w:b w:val="0"/>
          <w:bCs w:val="0"/>
          <w:w w:val="100"/>
          <w:kern w:val="2"/>
          <w:sz w:val="32"/>
          <w:szCs w:val="32"/>
          <w:lang w:val="en-US" w:eastAsia="zh-CN" w:bidi="ar-SA"/>
        </w:rPr>
        <w:t>，总量使用新疆法康尼石油化工有限公司年产20万吨改性沥青项目油气回收VOCs的减排量。</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（二）严格落实水污染防治措施。</w:t>
      </w:r>
      <w:r>
        <w:rPr>
          <w:rFonts w:hint="default" w:ascii="Times New Roman" w:hAnsi="Times New Roman" w:eastAsia="仿宋_GB2312" w:cs="Times New Roman"/>
          <w:sz w:val="32"/>
          <w:szCs w:val="32"/>
          <w:lang w:val="en-US" w:eastAsia="zh-CN"/>
        </w:rPr>
        <w:t>生活污水经化粪池收集，由吸污车拉运至法康尼20万吨/年改性沥青项目区污水处理站处理满足《石油炼制工业污染物排放标准》（GB31570-2015）表1中间接排放限值要求后排入园区下水管网。</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（三）严格落实噪声污染防治措施。选择先进可靠的低噪声设备，</w:t>
      </w:r>
      <w:r>
        <w:rPr>
          <w:rFonts w:hint="eastAsia" w:eastAsia="仿宋_GB2312" w:cs="Times New Roman"/>
          <w:sz w:val="32"/>
          <w:szCs w:val="32"/>
          <w:lang w:val="en-US" w:eastAsia="zh-CN"/>
        </w:rPr>
        <w:t>对</w:t>
      </w:r>
      <w:r>
        <w:rPr>
          <w:rFonts w:hint="default" w:ascii="Times New Roman" w:hAnsi="Times New Roman" w:eastAsia="仿宋_GB2312" w:cs="Times New Roman"/>
          <w:sz w:val="32"/>
          <w:szCs w:val="32"/>
        </w:rPr>
        <w:t>泵、风机加装消声器；强噪声设备置于室内，并采用隔声、吸音材料制作门窗、砌体等；对设备进行定期维护，确保设备运行状态良好；加强厂区绿化。厂界噪声排放</w:t>
      </w:r>
      <w:r>
        <w:rPr>
          <w:rFonts w:hint="eastAsia" w:eastAsia="仿宋_GB2312" w:cs="Times New Roman"/>
          <w:sz w:val="32"/>
          <w:szCs w:val="32"/>
          <w:lang w:val="en-US" w:eastAsia="zh-CN"/>
        </w:rPr>
        <w:t>执行</w:t>
      </w:r>
      <w:r>
        <w:rPr>
          <w:rFonts w:hint="default" w:ascii="Times New Roman" w:hAnsi="Times New Roman" w:eastAsia="仿宋_GB2312" w:cs="Times New Roman"/>
          <w:sz w:val="32"/>
          <w:szCs w:val="32"/>
        </w:rPr>
        <w:t>《工业企业厂界环境噪声排放标准》（GB12348-2008）中</w:t>
      </w:r>
      <w:r>
        <w:rPr>
          <w:rFonts w:hint="default"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类标准要求。</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（四）严格落实固体废物分类处置和综合利用措施。</w:t>
      </w:r>
      <w:r>
        <w:rPr>
          <w:rFonts w:hint="default" w:ascii="Times New Roman" w:hAnsi="Times New Roman" w:eastAsia="仿宋_GB2312" w:cs="Times New Roman"/>
          <w:sz w:val="32"/>
          <w:szCs w:val="32"/>
          <w:lang w:val="en-US" w:eastAsia="zh-CN"/>
        </w:rPr>
        <w:t>废包装桶、废活性炭</w:t>
      </w:r>
      <w:r>
        <w:rPr>
          <w:rFonts w:hint="eastAsia" w:eastAsia="仿宋_GB2312" w:cs="Times New Roman"/>
          <w:sz w:val="32"/>
          <w:szCs w:val="32"/>
          <w:lang w:val="en-US" w:eastAsia="zh-CN"/>
        </w:rPr>
        <w:t>属于危险废物，依托厂区现有工程的危险废物暂存间暂存，其中废包装桶定期交由厂家回收利用或委托有资质单位处置，废活性炭定期交由有资质单位处置。</w:t>
      </w:r>
      <w:r>
        <w:rPr>
          <w:rFonts w:hint="default" w:ascii="Times New Roman" w:hAnsi="Times New Roman" w:eastAsia="仿宋_GB2312" w:cs="Times New Roman"/>
          <w:sz w:val="32"/>
          <w:szCs w:val="32"/>
          <w:lang w:val="en-US" w:eastAsia="zh-CN"/>
        </w:rPr>
        <w:t>危险废物的收集、贮存、运输须符合《危险废物收集 贮存 运输技术规范》（HJ2025-2012）及《危险废物贮存污染控制标准》（GB18597-2023）的相关要求</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生活垃圾由环卫部门统一清运处理。</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rPr>
        <w:t>（</w:t>
      </w:r>
      <w:r>
        <w:rPr>
          <w:rFonts w:hint="eastAsia" w:eastAsia="仿宋_GB2312" w:cs="Times New Roman"/>
          <w:bCs/>
          <w:sz w:val="32"/>
          <w:szCs w:val="32"/>
          <w:lang w:val="en-US" w:eastAsia="zh-CN"/>
        </w:rPr>
        <w:t>五</w:t>
      </w:r>
      <w:r>
        <w:rPr>
          <w:rFonts w:hint="default" w:ascii="Times New Roman" w:hAnsi="Times New Roman" w:eastAsia="仿宋_GB2312" w:cs="Times New Roman"/>
          <w:bCs/>
          <w:sz w:val="32"/>
          <w:szCs w:val="32"/>
        </w:rPr>
        <w:t>）严格落实地下水及土壤污染防治措施。</w:t>
      </w:r>
      <w:r>
        <w:rPr>
          <w:rFonts w:hint="default" w:ascii="Times New Roman" w:hAnsi="Times New Roman" w:eastAsia="仿宋_GB2312" w:cs="Times New Roman"/>
          <w:bCs/>
          <w:sz w:val="32"/>
          <w:szCs w:val="32"/>
          <w:lang w:eastAsia="zh-CN"/>
        </w:rPr>
        <w:t>按照源头防控、分区防治、污染监控、应急响应的原则进行地下水污染防治。严格按照导则要求，落实分区防渗和监控措施，</w:t>
      </w:r>
      <w:r>
        <w:rPr>
          <w:rFonts w:hint="default" w:ascii="Times New Roman" w:hAnsi="Times New Roman" w:eastAsia="仿宋_GB2312" w:cs="Times New Roman"/>
          <w:bCs/>
          <w:sz w:val="32"/>
          <w:szCs w:val="32"/>
          <w:lang w:val="en-US" w:eastAsia="zh-CN"/>
        </w:rPr>
        <w:t>对生产车间</w:t>
      </w:r>
      <w:r>
        <w:rPr>
          <w:rFonts w:hint="default" w:ascii="Times New Roman" w:hAnsi="Times New Roman" w:eastAsia="仿宋_GB2312" w:cs="Times New Roman"/>
          <w:bCs/>
          <w:sz w:val="32"/>
          <w:szCs w:val="32"/>
          <w:lang w:eastAsia="zh-CN"/>
        </w:rPr>
        <w:t>进行重点防渗</w:t>
      </w:r>
      <w:r>
        <w:rPr>
          <w:rFonts w:hint="eastAsia" w:eastAsia="仿宋_GB2312" w:cs="Times New Roman"/>
          <w:bCs/>
          <w:sz w:val="32"/>
          <w:szCs w:val="32"/>
          <w:lang w:eastAsia="zh-CN"/>
        </w:rPr>
        <w:t>，</w:t>
      </w:r>
      <w:r>
        <w:rPr>
          <w:rFonts w:hint="eastAsia" w:eastAsia="仿宋_GB2312" w:cs="Times New Roman"/>
          <w:bCs/>
          <w:sz w:val="32"/>
          <w:szCs w:val="32"/>
          <w:lang w:val="en-US" w:eastAsia="zh-CN"/>
        </w:rPr>
        <w:t>对生产车间外的其他区域</w:t>
      </w:r>
      <w:r>
        <w:rPr>
          <w:rFonts w:hint="default" w:ascii="Times New Roman" w:hAnsi="Times New Roman" w:eastAsia="仿宋_GB2312" w:cs="Times New Roman"/>
          <w:bCs/>
          <w:sz w:val="32"/>
          <w:szCs w:val="32"/>
          <w:lang w:eastAsia="zh-CN"/>
        </w:rPr>
        <w:t>进行</w:t>
      </w:r>
      <w:r>
        <w:rPr>
          <w:rFonts w:hint="eastAsia" w:ascii="Times New Roman" w:hAnsi="Times New Roman" w:eastAsia="仿宋_GB2312" w:cs="Times New Roman"/>
          <w:bCs/>
          <w:sz w:val="32"/>
          <w:szCs w:val="32"/>
          <w:lang w:val="en-US" w:eastAsia="zh-CN"/>
        </w:rPr>
        <w:t>一般</w:t>
      </w:r>
      <w:r>
        <w:rPr>
          <w:rFonts w:hint="default" w:ascii="Times New Roman" w:hAnsi="Times New Roman" w:eastAsia="仿宋_GB2312" w:cs="Times New Roman"/>
          <w:bCs/>
          <w:sz w:val="32"/>
          <w:szCs w:val="32"/>
          <w:lang w:eastAsia="zh-CN"/>
        </w:rPr>
        <w:t>防渗。</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Times New Roman" w:hAnsi="Times New Roman" w:eastAsia="仿宋_GB2312" w:cs="Times New Roman"/>
          <w:bCs/>
          <w:sz w:val="32"/>
          <w:szCs w:val="32"/>
          <w:lang w:eastAsia="zh-CN"/>
        </w:rPr>
      </w:pPr>
      <w:r>
        <w:rPr>
          <w:rFonts w:hint="default" w:ascii="Times New Roman" w:hAnsi="Times New Roman" w:eastAsia="仿宋_GB2312" w:cs="Times New Roman"/>
          <w:bCs/>
          <w:sz w:val="32"/>
          <w:szCs w:val="32"/>
        </w:rPr>
        <w:t>（</w:t>
      </w:r>
      <w:r>
        <w:rPr>
          <w:rFonts w:hint="eastAsia" w:eastAsia="仿宋_GB2312" w:cs="Times New Roman"/>
          <w:bCs/>
          <w:sz w:val="32"/>
          <w:szCs w:val="32"/>
          <w:lang w:val="en-US" w:eastAsia="zh-CN"/>
        </w:rPr>
        <w:t>六</w:t>
      </w:r>
      <w:r>
        <w:rPr>
          <w:rFonts w:hint="default" w:ascii="Times New Roman" w:hAnsi="Times New Roman" w:eastAsia="仿宋_GB2312" w:cs="Times New Roman"/>
          <w:bCs/>
          <w:sz w:val="32"/>
          <w:szCs w:val="32"/>
        </w:rPr>
        <w:t>）强化各项环境风险防范措施，有效防范环境风险。厂内定期开展环境风险应急培训和演练，落实各项应急环境管理措施以及各项风险防范措施，确保风险事故得到有效控制。</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lang w:eastAsia="zh-CN"/>
        </w:rPr>
        <w:t>（</w:t>
      </w:r>
      <w:r>
        <w:rPr>
          <w:rFonts w:hint="eastAsia" w:eastAsia="仿宋_GB2312" w:cs="Times New Roman"/>
          <w:bCs/>
          <w:sz w:val="32"/>
          <w:szCs w:val="32"/>
          <w:lang w:val="en-US" w:eastAsia="zh-CN"/>
        </w:rPr>
        <w:t>七</w:t>
      </w:r>
      <w:r>
        <w:rPr>
          <w:rFonts w:hint="default" w:ascii="Times New Roman" w:hAnsi="Times New Roman" w:eastAsia="仿宋_GB2312" w:cs="Times New Roman"/>
          <w:bCs/>
          <w:sz w:val="32"/>
          <w:szCs w:val="32"/>
          <w:lang w:eastAsia="zh-CN"/>
        </w:rPr>
        <w:t>）加强施工期环境保护，防止施工废水、扬尘、噪声污染。</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eastAsia" w:eastAsia="仿宋_GB2312" w:cs="Times New Roman"/>
          <w:bCs/>
          <w:sz w:val="32"/>
          <w:szCs w:val="32"/>
          <w:lang w:eastAsia="zh-CN"/>
        </w:rPr>
        <w:t>（</w:t>
      </w:r>
      <w:r>
        <w:rPr>
          <w:rFonts w:hint="eastAsia" w:eastAsia="仿宋_GB2312" w:cs="Times New Roman"/>
          <w:bCs/>
          <w:sz w:val="32"/>
          <w:szCs w:val="32"/>
          <w:lang w:val="en-US" w:eastAsia="zh-CN"/>
        </w:rPr>
        <w:t>八</w:t>
      </w:r>
      <w:r>
        <w:rPr>
          <w:rFonts w:hint="eastAsia" w:eastAsia="仿宋_GB2312" w:cs="Times New Roman"/>
          <w:bCs/>
          <w:sz w:val="32"/>
          <w:szCs w:val="32"/>
          <w:lang w:eastAsia="zh-CN"/>
        </w:rPr>
        <w:t>）</w:t>
      </w:r>
      <w:r>
        <w:rPr>
          <w:rFonts w:hint="default" w:ascii="Times New Roman" w:hAnsi="Times New Roman" w:eastAsia="仿宋_GB2312" w:cs="Times New Roman"/>
          <w:bCs/>
          <w:sz w:val="32"/>
          <w:szCs w:val="32"/>
        </w:rPr>
        <w:t>在工程运营过程中，应建立畅通的公众参与平台，加强宣传与沟通工作，及时解决公众提出的合理环境诉求。定期发布企业环境信息，并主动接受社会监督。</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四、项目建设必须严格执行配套的环境保护设施与主体工程同时设计、同时施工、同时投产使用的环境保护“三同时”制度。施工招标文件和施工合同招标文件中应明确环保条款和责任，项目竣工后，须按规定程序实施竣工环境保护验收。</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五、环境影响</w:t>
      </w:r>
      <w:r>
        <w:rPr>
          <w:rFonts w:hint="eastAsia" w:eastAsia="仿宋_GB2312" w:cs="Times New Roman"/>
          <w:bCs/>
          <w:sz w:val="32"/>
          <w:szCs w:val="32"/>
          <w:lang w:eastAsia="zh-CN"/>
        </w:rPr>
        <w:t>报告</w:t>
      </w:r>
      <w:r>
        <w:rPr>
          <w:rFonts w:hint="eastAsia" w:eastAsia="仿宋_GB2312" w:cs="Times New Roman"/>
          <w:bCs/>
          <w:sz w:val="32"/>
          <w:szCs w:val="32"/>
          <w:lang w:val="en-US" w:eastAsia="zh-CN"/>
        </w:rPr>
        <w:t>表</w:t>
      </w:r>
      <w:r>
        <w:rPr>
          <w:rFonts w:hint="default" w:ascii="Times New Roman" w:hAnsi="Times New Roman" w:eastAsia="仿宋_GB2312" w:cs="Times New Roman"/>
          <w:bCs/>
          <w:sz w:val="32"/>
          <w:szCs w:val="32"/>
        </w:rPr>
        <w:t>经批准后，该项目的性质、规模、地点、生产工艺和环境保护措施发生重大变动，且可能导致环境影响显著变化</w:t>
      </w:r>
      <w:r>
        <w:rPr>
          <w:rFonts w:hint="eastAsia" w:eastAsia="仿宋_GB2312" w:cs="Times New Roman"/>
          <w:bCs/>
          <w:sz w:val="32"/>
          <w:szCs w:val="32"/>
          <w:lang w:eastAsia="zh-CN"/>
        </w:rPr>
        <w:t>（</w:t>
      </w:r>
      <w:r>
        <w:rPr>
          <w:rFonts w:hint="default" w:ascii="Times New Roman" w:hAnsi="Times New Roman" w:eastAsia="仿宋_GB2312" w:cs="Times New Roman"/>
          <w:bCs/>
          <w:sz w:val="32"/>
          <w:szCs w:val="32"/>
        </w:rPr>
        <w:t>特别是不利环境影响加重</w:t>
      </w:r>
      <w:r>
        <w:rPr>
          <w:rFonts w:hint="eastAsia" w:eastAsia="仿宋_GB2312" w:cs="Times New Roman"/>
          <w:bCs/>
          <w:sz w:val="32"/>
          <w:szCs w:val="32"/>
          <w:lang w:eastAsia="zh-CN"/>
        </w:rPr>
        <w:t>）</w:t>
      </w:r>
      <w:r>
        <w:rPr>
          <w:rFonts w:hint="default" w:ascii="Times New Roman" w:hAnsi="Times New Roman" w:eastAsia="仿宋_GB2312" w:cs="Times New Roman"/>
          <w:bCs/>
          <w:sz w:val="32"/>
          <w:szCs w:val="32"/>
        </w:rPr>
        <w:t>的，应当重新报批该项目环境影响评价报告。</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color w:val="FF0000"/>
          <w:sz w:val="32"/>
          <w:szCs w:val="32"/>
          <w:highlight w:val="none"/>
        </w:rPr>
      </w:pPr>
      <w:r>
        <w:rPr>
          <w:rFonts w:hint="default" w:ascii="Times New Roman" w:hAnsi="Times New Roman" w:eastAsia="仿宋_GB2312" w:cs="Times New Roman"/>
          <w:bCs/>
          <w:sz w:val="32"/>
          <w:szCs w:val="32"/>
        </w:rPr>
        <w:t>六、在启动生产设施或者在实际排污之前，按照经批准的环境影响评价文件认真梳理并确认各项环境保护措施落实</w:t>
      </w:r>
      <w:r>
        <w:rPr>
          <w:rFonts w:hint="default" w:ascii="Times New Roman" w:hAnsi="Times New Roman" w:eastAsia="仿宋_GB2312" w:cs="Times New Roman"/>
          <w:bCs/>
          <w:color w:val="auto"/>
          <w:sz w:val="32"/>
          <w:szCs w:val="32"/>
        </w:rPr>
        <w:t>后，</w:t>
      </w:r>
      <w:r>
        <w:rPr>
          <w:rFonts w:hint="default" w:ascii="Times New Roman" w:hAnsi="Times New Roman" w:eastAsia="仿宋_GB2312" w:cs="Times New Roman"/>
          <w:bCs/>
          <w:color w:val="auto"/>
          <w:sz w:val="32"/>
          <w:szCs w:val="32"/>
          <w:highlight w:val="none"/>
        </w:rPr>
        <w:t>依法申领排污许可证。</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七、胡杨河经济技术开发区应急管理和环境保护局要切实承担事中事后监管主要责任，履行属地监管职责，按照《关于进一步完善建设项目环境保护“三同时”及竣工环境保护自主验收监管工作机制的意见》（环执法〔2021〕70号）要求，加强对该项目环境保护“三同时”及自主验收监管。</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八、我局委托师市生态环境保护综合行政执法支队负责该项目的事中事后监管，生态环境监测站按职责开展相关监管工作，我局负责对“三同时”及自主验收监管工作的监督指导。你单位应在接到本批复后20个工作日内，将批准后的环境影响</w:t>
      </w:r>
      <w:r>
        <w:rPr>
          <w:rFonts w:hint="eastAsia" w:eastAsia="仿宋_GB2312" w:cs="Times New Roman"/>
          <w:bCs/>
          <w:sz w:val="32"/>
          <w:szCs w:val="32"/>
          <w:lang w:eastAsia="zh-CN"/>
        </w:rPr>
        <w:t>报告</w:t>
      </w:r>
      <w:r>
        <w:rPr>
          <w:rFonts w:hint="eastAsia" w:eastAsia="仿宋_GB2312" w:cs="Times New Roman"/>
          <w:bCs/>
          <w:sz w:val="32"/>
          <w:szCs w:val="32"/>
          <w:lang w:val="en-US" w:eastAsia="zh-CN"/>
        </w:rPr>
        <w:t>表</w:t>
      </w:r>
      <w:r>
        <w:rPr>
          <w:rFonts w:hint="default" w:ascii="Times New Roman" w:hAnsi="Times New Roman" w:eastAsia="仿宋_GB2312" w:cs="Times New Roman"/>
          <w:bCs/>
          <w:sz w:val="32"/>
          <w:szCs w:val="32"/>
        </w:rPr>
        <w:t>送师市生态环境保护综合行政执法支队、生态环境监测站、胡杨河经济技术开发区应急管理和环境保护局，并按规定接受各级生态环境主管部门的监督检查。</w:t>
      </w:r>
    </w:p>
    <w:p>
      <w:pPr>
        <w:keepNext w:val="0"/>
        <w:keepLines w:val="0"/>
        <w:pageBreakBefore w:val="0"/>
        <w:widowControl w:val="0"/>
        <w:kinsoku/>
        <w:wordWrap/>
        <w:overflowPunct/>
        <w:topLinePunct w:val="0"/>
        <w:autoSpaceDE/>
        <w:autoSpaceDN/>
        <w:bidi w:val="0"/>
        <w:adjustRightInd/>
        <w:snapToGrid/>
        <w:spacing w:line="740" w:lineRule="exact"/>
        <w:ind w:firstLine="4480" w:firstLineChars="1400"/>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snapToGrid/>
        <w:spacing w:line="740" w:lineRule="exact"/>
        <w:ind w:firstLine="4480" w:firstLineChars="1400"/>
        <w:textAlignment w:val="auto"/>
        <w:rPr>
          <w:rFonts w:hint="default" w:ascii="Times New Roman" w:hAnsi="Times New Roman" w:eastAsia="仿宋_GB2312" w:cs="Times New Roman"/>
          <w:bCs/>
          <w:sz w:val="32"/>
          <w:szCs w:val="32"/>
        </w:rPr>
      </w:pPr>
    </w:p>
    <w:p>
      <w:pPr>
        <w:spacing w:line="440" w:lineRule="exact"/>
        <w:ind w:firstLine="4800" w:firstLineChars="1500"/>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第七师胡杨河市生态环境局</w:t>
      </w:r>
    </w:p>
    <w:p>
      <w:pPr>
        <w:spacing w:line="440" w:lineRule="exact"/>
        <w:ind w:firstLine="5440" w:firstLineChars="1700"/>
        <w:rPr>
          <w:rFonts w:hint="eastAsia"/>
        </w:rPr>
      </w:pPr>
      <w:r>
        <w:rPr>
          <w:rFonts w:hint="default" w:ascii="Times New Roman" w:hAnsi="Times New Roman" w:eastAsia="仿宋_GB2312" w:cs="Times New Roman"/>
          <w:bCs/>
          <w:sz w:val="32"/>
          <w:szCs w:val="32"/>
        </w:rPr>
        <w:t>202</w:t>
      </w:r>
      <w:r>
        <w:rPr>
          <w:rFonts w:hint="eastAsia" w:eastAsia="仿宋_GB2312" w:cs="Times New Roman"/>
          <w:bCs/>
          <w:sz w:val="32"/>
          <w:szCs w:val="32"/>
          <w:lang w:val="en-US" w:eastAsia="zh-CN"/>
        </w:rPr>
        <w:t>5</w:t>
      </w:r>
      <w:r>
        <w:rPr>
          <w:rFonts w:hint="default" w:ascii="Times New Roman" w:hAnsi="Times New Roman" w:eastAsia="仿宋_GB2312" w:cs="Times New Roman"/>
          <w:bCs/>
          <w:sz w:val="32"/>
          <w:szCs w:val="32"/>
        </w:rPr>
        <w:t>年</w:t>
      </w:r>
      <w:r>
        <w:rPr>
          <w:rFonts w:hint="eastAsia" w:eastAsia="仿宋_GB2312" w:cs="Times New Roman"/>
          <w:bCs/>
          <w:sz w:val="32"/>
          <w:szCs w:val="32"/>
          <w:lang w:val="en-US" w:eastAsia="zh-CN"/>
        </w:rPr>
        <w:t>4</w:t>
      </w:r>
      <w:r>
        <w:rPr>
          <w:rFonts w:hint="default" w:ascii="Times New Roman" w:hAnsi="Times New Roman" w:eastAsia="仿宋_GB2312" w:cs="Times New Roman"/>
          <w:bCs/>
          <w:sz w:val="32"/>
          <w:szCs w:val="32"/>
        </w:rPr>
        <w:t>月</w:t>
      </w:r>
      <w:r>
        <w:rPr>
          <w:rFonts w:hint="eastAsia" w:eastAsia="仿宋_GB2312" w:cs="Times New Roman"/>
          <w:bCs/>
          <w:sz w:val="32"/>
          <w:szCs w:val="32"/>
          <w:lang w:val="en-US" w:eastAsia="zh-CN"/>
        </w:rPr>
        <w:t>14</w:t>
      </w:r>
      <w:r>
        <w:rPr>
          <w:rFonts w:hint="default" w:ascii="Times New Roman" w:hAnsi="Times New Roman" w:eastAsia="仿宋_GB2312" w:cs="Times New Roman"/>
          <w:bCs/>
          <w:sz w:val="32"/>
          <w:szCs w:val="32"/>
        </w:rPr>
        <w:t>日</w:t>
      </w:r>
    </w:p>
    <w:p>
      <w:pPr>
        <w:rPr>
          <w:rFonts w:hint="eastAsia"/>
        </w:rPr>
      </w:pPr>
    </w:p>
    <w:p>
      <w:pPr>
        <w:keepNext w:val="0"/>
        <w:keepLines w:val="0"/>
        <w:pageBreakBefore w:val="0"/>
        <w:widowControl w:val="0"/>
        <w:kinsoku/>
        <w:wordWrap/>
        <w:overflowPunct/>
        <w:topLinePunct w:val="0"/>
        <w:autoSpaceDE/>
        <w:autoSpaceDN/>
        <w:bidi w:val="0"/>
        <w:adjustRightInd/>
        <w:snapToGrid/>
        <w:spacing w:line="440" w:lineRule="exact"/>
        <w:ind w:left="0" w:right="210" w:rightChars="100" w:hanging="840" w:hangingChars="300"/>
        <w:textAlignment w:val="auto"/>
        <w:rPr>
          <w:rFonts w:hint="eastAsia" w:ascii="仿宋_GB2312" w:hAnsi="仿宋_GB2312" w:eastAsia="仿宋_GB2312" w:cs="仿宋_GB2312"/>
          <w:sz w:val="28"/>
          <w:szCs w:val="28"/>
          <w:lang w:eastAsia="zh-CN"/>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-142240</wp:posOffset>
                </wp:positionH>
                <wp:positionV relativeFrom="paragraph">
                  <wp:posOffset>2540</wp:posOffset>
                </wp:positionV>
                <wp:extent cx="5901055" cy="0"/>
                <wp:effectExtent l="0" t="9525" r="4445" b="9525"/>
                <wp:wrapNone/>
                <wp:docPr id="1" name="直接连接符 5"/>
                <wp:cNvGraphicFramePr/>
                <a:graphic xmlns:a="http://schemas.openxmlformats.org/drawingml/2006/main">
                  <a:graphicData uri="http://schemas.microsoft.com/office/word/2010/wordprocessingShape">
                    <wps:wsp>
                      <wps:cNvCnPr/>
                      <wps:spPr>
                        <a:xfrm>
                          <a:off x="0" y="0"/>
                          <a:ext cx="5901055" cy="0"/>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接连接符 5" o:spid="_x0000_s1026" o:spt="32" type="#_x0000_t32" style="position:absolute;left:0pt;margin-left:-11.2pt;margin-top:0.2pt;height:0pt;width:464.65pt;z-index:251660288;mso-width-relative:page;mso-height-relative:page;" filled="f" stroked="t" coordsize="21600,21600" o:gfxdata="UEsDBAoAAAAAAIdO4kAAAAAAAAAAAAAAAAAEAAAAZHJzL1BLAwQUAAAACACHTuJAcwRcddEAAAAF&#10;AQAADwAAAGRycy9kb3ducmV2LnhtbE2OQUvEMBSE74L/ITzBi+wmW6R0a9M9CJ48WFd/QNo822Lz&#10;Upp0G/+9b096GRhmmPmqU3KTuOASRk8aDnsFAqnzdqRew+fHy64AEaIhayZPqOEHA5zq25vKlNZv&#10;9I6Xc+wFj1AojYYhxrmUMnQDOhP2fkbi7MsvzkS2Sy/tYjYed5PMlMqlMyPxw2BmfB6w+z6vTkN6&#10;yymmpkjtRutrKB6aZFyj9f3dQT2BiJjiXxmu+IwONTO1fiUbxKRhl2WPXNXAyvFR5UcQ7dXKupL/&#10;6etfUEsDBBQAAAAIAIdO4kB22esL3gEAAKMDAAAOAAAAZHJzL2Uyb0RvYy54bWytU0uOEzEQ3SNx&#10;B8t70p2RGjGtdGaRMGwQRAIOULHd3Zb8k8uTTi7BBZDYwYole27DzDEoO5kMnw1C9KK67Pq+V+XF&#10;1d4atlMRtXcdn89qzpQTXmo3dPzd2+snzzjDBE6C8U51/KCQXy0fP1pMoVUXfvRGqsgoicN2Ch0f&#10;UwptVaEYlQWc+aAcGXsfLSQ6xqGSESbKbk11UddPq8lHGaIXCpFu10cjX5b8fa9Eet33qBIzHafe&#10;UpGxyG2W1XIB7RAhjFqc2oB/6MKCdlT0nGoNCdhN1H+kslpEj75PM+Ft5fteC1UwEJp5/RuaNyME&#10;VbAQORjONOH/Syte7TaRaUmz48yBpRHdfvj6/f2nu28fSd5++cyaTNIUsCXfldvE0wnDJmbE+z7a&#10;/CcsbF+IPZyJVfvEBF02lwSuaTgT97bqITBETC+UtywrHccUQQ9jWnnnaHw+zguxsHuJiUpT4H1A&#10;rmocm6j3y7qh6QqgDeoNJFJtIEzohhKM3mh5rY3JIRiH7cpEtoO8E+XLCCnxL265yhpwPPoV03Fb&#10;or9xkgKgHRXI506ydAjEm6MF57kbqyRnRtF7yFrxTKDN33hSE8ZRL5nuI8FZ23p5KLyXe9qE0u1p&#10;a/Oq/Xwu0Q9va/k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cwRcddEAAAAFAQAADwAAAAAAAAAB&#10;ACAAAAAiAAAAZHJzL2Rvd25yZXYueG1sUEsBAhQAFAAAAAgAh07iQHbZ6wveAQAAowMAAA4AAAAA&#10;AAAAAQAgAAAAIAEAAGRycy9lMm9Eb2MueG1sUEsFBgAAAAAGAAYAWQEAAHAFAAAAAA==&#10;">
                <v:fill on="f" focussize="0,0"/>
                <v:stroke weight="1.5pt" color="#000000" joinstyle="round"/>
                <v:imagedata o:title=""/>
                <o:lock v:ext="edit" aspectratio="f"/>
              </v:shape>
            </w:pict>
          </mc:Fallback>
        </mc:AlternateContent>
      </w:r>
      <w:r>
        <w:rPr>
          <w:rFonts w:hint="default" w:ascii="Times New Roman" w:hAnsi="Times New Roman" w:eastAsia="仿宋_GB2312" w:cs="Times New Roman"/>
          <w:sz w:val="28"/>
          <w:szCs w:val="28"/>
        </w:rPr>
        <w:t>抄送</w:t>
      </w:r>
      <w:r>
        <w:rPr>
          <w:rFonts w:hint="eastAsia" w:ascii="仿宋_GB2312" w:hAnsi="仿宋_GB2312" w:eastAsia="仿宋_GB2312" w:cs="仿宋_GB2312"/>
          <w:sz w:val="28"/>
          <w:szCs w:val="28"/>
        </w:rPr>
        <w:t>：师市生态环境保护综合行政执法支队、生态环境监测站、胡杨河经济技术开发区应急管理和环境保护局</w:t>
      </w:r>
      <w:r>
        <w:rPr>
          <w:rFonts w:hint="eastAsia" w:ascii="仿宋_GB2312" w:hAnsi="仿宋_GB2312" w:eastAsia="仿宋_GB2312" w:cs="仿宋_GB2312"/>
          <w:sz w:val="28"/>
          <w:szCs w:val="28"/>
          <w:lang w:eastAsia="zh-CN"/>
        </w:rPr>
        <w:t>。</w:t>
      </w:r>
    </w:p>
    <w:p>
      <w:pPr>
        <w:spacing w:line="600" w:lineRule="exact"/>
        <w:ind w:right="210" w:rightChars="100"/>
        <w:rPr>
          <w:rFonts w:hint="eastAsia" w:ascii="仿宋_GB2312" w:hAnsi="仿宋_GB2312" w:eastAsia="仿宋_GB2312" w:cs="仿宋_GB2312"/>
          <w:lang w:val="en-US" w:eastAsia="zh-CN"/>
        </w:rPr>
      </w:pPr>
      <w:r>
        <w:rPr>
          <w:rFonts w:hint="eastAsia" w:ascii="仿宋_GB2312" w:hAnsi="仿宋_GB2312" w:eastAsia="仿宋_GB2312" w:cs="仿宋_GB2312"/>
          <w:sz w:val="28"/>
          <w:szCs w:val="28"/>
        </w:rPr>
        <mc:AlternateContent>
          <mc:Choice Requires="wps">
            <w:drawing>
              <wp:anchor distT="0" distB="0" distL="114300" distR="114300" simplePos="0" relativeHeight="251662336" behindDoc="0" locked="0" layoutInCell="1" allowOverlap="1">
                <wp:simplePos x="0" y="0"/>
                <wp:positionH relativeFrom="column">
                  <wp:posOffset>-152400</wp:posOffset>
                </wp:positionH>
                <wp:positionV relativeFrom="paragraph">
                  <wp:posOffset>371475</wp:posOffset>
                </wp:positionV>
                <wp:extent cx="5930265" cy="1270"/>
                <wp:effectExtent l="0" t="9525" r="13335" b="17780"/>
                <wp:wrapNone/>
                <wp:docPr id="3" name="直接连接符 4"/>
                <wp:cNvGraphicFramePr/>
                <a:graphic xmlns:a="http://schemas.openxmlformats.org/drawingml/2006/main">
                  <a:graphicData uri="http://schemas.microsoft.com/office/word/2010/wordprocessingShape">
                    <wps:wsp>
                      <wps:cNvCnPr/>
                      <wps:spPr>
                        <a:xfrm flipV="1">
                          <a:off x="0" y="0"/>
                          <a:ext cx="5930265" cy="1270"/>
                        </a:xfrm>
                        <a:prstGeom prst="straightConnector1">
                          <a:avLst/>
                        </a:prstGeom>
                        <a:ln w="19050" cap="flat" cmpd="sng">
                          <a:solidFill>
                            <a:srgbClr val="000000"/>
                          </a:solidFill>
                          <a:prstDash val="solid"/>
                          <a:round/>
                          <a:headEnd type="none" w="med" len="med"/>
                          <a:tailEnd type="none" w="med" len="med"/>
                        </a:ln>
                      </wps:spPr>
                      <wps:bodyPr/>
                    </wps:wsp>
                  </a:graphicData>
                </a:graphic>
              </wp:anchor>
            </w:drawing>
          </mc:Choice>
          <mc:Fallback>
            <w:pict>
              <v:shape id="直接连接符 4" o:spid="_x0000_s1026" o:spt="32" type="#_x0000_t32" style="position:absolute;left:0pt;flip:y;margin-left:-12pt;margin-top:29.25pt;height:0.1pt;width:466.95pt;z-index:251662336;mso-width-relative:page;mso-height-relative:page;" filled="f" stroked="t" coordsize="21600,21600" o:gfxdata="UEsDBAoAAAAAAIdO4kAAAAAAAAAAAAAAAAAEAAAAZHJzL1BLAwQUAAAACACHTuJAqhDXPtgAAAAJ&#10;AQAADwAAAGRycy9kb3ducmV2LnhtbE2PO28CMRCE+0j5D9ZGSgc2b+5yPgoQRSSKQFKkNOfN3Sn2&#10;+rDN89djqqScndHsN8XiYg07oQ+tIwmDvgCGVDndUi3h63PdmwMLUZFWxhFKuGKARfn8VKhcuzNt&#10;8bSLNUslFHIloYmxyzkPVYNWhb7rkJL347xVMUlfc+3VOZVbw4dCTLlVLaUPjepw2WD1uztaCSIc&#10;tpuNmx2+p6N382Hb1Xrlb1K+vgzEG7CIl/gXhgd+QocyMe3dkXRgRkJvOE5booTJfAIsBTKRZcD2&#10;j8MMeFnw/wvKO1BLAwQUAAAACACHTuJAPZCvaO0BAACwAwAADgAAAGRycy9lMm9Eb2MueG1srVNL&#10;jhMxEN0jcQfLe9KdDBlmWunMImHYIIjEZ1/xp9uSf7I96eQSXACJHaxYzp7bMHMMyu4QfhuE6EWp&#10;7Kp6fvWqenG1N5rsRIjK2ZZOJzUlwjLHle1a+ub19aMLSmICy0E7K1p6EJFeLR8+WAy+ETPXO81F&#10;IAhiYzP4lvYp+aaqIuuFgThxXlgMShcMJDyGruIBBkQ3uprV9Xk1uMB9cEzEiLfrMUiXBV9KwdJL&#10;KaNIRLcUuaViQ7HbbKvlApougO8VO9KAf2BhQFl89AS1hgTkJqg/oIxiwUUn04Q5UzkpFROlB+xm&#10;Wv/WzasevCi9oDjRn2SK/w+WvdhtAlG8pWeUWDA4orv3t1/ffbz/8gHt3edP5HEWafCxwdyV3YTj&#10;KfpNyB3vZTBEauXf4vyLBtgV2ReJDyeJxT4Rhpfzy7N6dj6nhGFsOntSJlCNKBnNh5ieCWdIdloa&#10;UwDV9WnlrMVZujC+ALvnMSEPLPxekIu1JQOiXtZzHDUDXCepIaFrPDYYbVfoRacVv1Za55IYuu1K&#10;B7KDvCDly+0i8C9p+ZU1xH7MK6FxdYK7sRwLoOkF8KeWk3TwKKLFbaeZjRGcEi3w58heyUyg9N9k&#10;IgltkUvWflQ7e1vHD2UI5R7XorA9rnDeu5/PpfrHj7b8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KoQ1z7YAAAACQEAAA8AAAAAAAAAAQAgAAAAIgAAAGRycy9kb3ducmV2LnhtbFBLAQIUABQAAAAI&#10;AIdO4kA9kK9o7QEAALADAAAOAAAAAAAAAAEAIAAAACcBAABkcnMvZTJvRG9jLnhtbFBLBQYAAAAA&#10;BgAGAFkBAACGBQAAAAA=&#10;">
                <v:fill on="f" focussize="0,0"/>
                <v:stroke weight="1.5pt" color="#000000" joinstyle="round"/>
                <v:imagedata o:title=""/>
                <o:lock v:ext="edit" aspectratio="f"/>
              </v:shape>
            </w:pict>
          </mc:Fallback>
        </mc:AlternateContent>
      </w:r>
      <w:r>
        <w:rPr>
          <w:rFonts w:hint="eastAsia" w:ascii="仿宋_GB2312" w:hAnsi="仿宋_GB2312" w:eastAsia="仿宋_GB2312" w:cs="仿宋_GB2312"/>
          <w:sz w:val="28"/>
          <w:szCs w:val="28"/>
        </w:rPr>
        <mc:AlternateContent>
          <mc:Choice Requires="wps">
            <w:drawing>
              <wp:anchor distT="0" distB="0" distL="114300" distR="114300" simplePos="0" relativeHeight="251661312" behindDoc="0" locked="0" layoutInCell="1" allowOverlap="1">
                <wp:simplePos x="0" y="0"/>
                <wp:positionH relativeFrom="column">
                  <wp:posOffset>-142875</wp:posOffset>
                </wp:positionH>
                <wp:positionV relativeFrom="paragraph">
                  <wp:posOffset>0</wp:posOffset>
                </wp:positionV>
                <wp:extent cx="5882640" cy="0"/>
                <wp:effectExtent l="0" t="0" r="0" b="0"/>
                <wp:wrapNone/>
                <wp:docPr id="2" name="直接连接符 3"/>
                <wp:cNvGraphicFramePr/>
                <a:graphic xmlns:a="http://schemas.openxmlformats.org/drawingml/2006/main">
                  <a:graphicData uri="http://schemas.microsoft.com/office/word/2010/wordprocessingShape">
                    <wps:wsp>
                      <wps:cNvCnPr/>
                      <wps:spPr>
                        <a:xfrm>
                          <a:off x="0" y="0"/>
                          <a:ext cx="5882640" cy="0"/>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直接连接符 3" o:spid="_x0000_s1026" o:spt="32" type="#_x0000_t32" style="position:absolute;left:0pt;margin-left:-11.25pt;margin-top:0pt;height:0pt;width:463.2pt;z-index:251661312;mso-width-relative:page;mso-height-relative:page;" filled="f" stroked="t" coordsize="21600,21600" o:gfxdata="UEsDBAoAAAAAAIdO4kAAAAAAAAAAAAAAAAAEAAAAZHJzL1BLAwQUAAAACACHTuJAOC7RzdQAAAAF&#10;AQAADwAAAGRycy9kb3ducmV2LnhtbE2PwW7CMBBE75X6D9Yi9VKBnVRUTYiDqko99FhA6tXE2yQQ&#10;r6PYIZSv73KC42hGM2+K9dl14oRDaD1pSBYKBFLlbUu1ht32c/4GIkRD1nSeUMMfBliXjw+Fya2f&#10;6BtPm1gLLqGQGw1NjH0uZagadCYsfI/E3q8fnIksh1rawUxc7jqZKvUqnWmJFxrT40eD1XEzOg0Y&#10;xmWi3jNX774u0/NPejlM/Vbrp1miViAinuMtDFd8RoeSmfZ+JBtEp2GepkuOauBHbGfqJQOxv0pZ&#10;FvKevvwHUEsDBBQAAAAIAIdO4kCFaGoK4QEAAKIDAAAOAAAAZHJzL2Uyb0RvYy54bWytU0uOEzEQ&#10;3SNxB8t70kkgo9BKZxYJwwZBJOAAFdvdbck/lT3p5BJcAIkdrFiy5zYMx6DsZDIzsEGIXlSX7apX&#10;9Z7Li8u9NWynMGrvGj4ZjTlTTnipXdfw9++unsw5iwmcBOOdavhBRX65fPxoMYRaTX3vjVTICMTF&#10;eggN71MKdVVF0SsLceSDcnTYerSQaIldJREGQremmo7HF9XgUQb0QsVIu+vjIV8W/LZVIr1p26gS&#10;Mw2n3lKxWOw222q5gLpDCL0WpzbgH7qwoB0VPUOtIQG7Rv0HlNUCffRtGglvK9+2WqjCgdhMxr+x&#10;edtDUIULiRPDWab4/2DF690GmZYNn3LmwNIV3Xz89uPD55/fP5G9+fqFPc0iDSHWFLtyGzytYthg&#10;Zrxv0eY/cWH7IuzhLKzaJyZoczafTy+ekf7i9qy6SwwY00vlLctOw2NC0F2fVt45uj6PkyIs7F7F&#10;RKUp8TYhVzWODQ1/PpvOCBxogFoDiVwbiFJ0XcmN3mh5pY3JGRG77cog20EeifJlgoT7ICwXWUPs&#10;j3Hl6Dgs6K+dpASoewXyhZMsHQLJ5mi+eW7GKsmZUfQcslciE2jzN5HUhHHUS1b7qG/2tl4eiuxl&#10;nwahdHsa2jxp99cl++5pLX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OC7RzdQAAAAFAQAADwAA&#10;AAAAAAABACAAAAAiAAAAZHJzL2Rvd25yZXYueG1sUEsBAhQAFAAAAAgAh07iQIVoagrhAQAAogMA&#10;AA4AAAAAAAAAAQAgAAAAIwEAAGRycy9lMm9Eb2MueG1sUEsFBgAAAAAGAAYAWQEAAHYFAAAAAA==&#10;">
                <v:fill on="f" focussize="0,0"/>
                <v:stroke color="#000000" joinstyle="round"/>
                <v:imagedata o:title=""/>
                <o:lock v:ext="edit" aspectratio="f"/>
              </v:shape>
            </w:pict>
          </mc:Fallback>
        </mc:AlternateContent>
      </w:r>
      <w:r>
        <w:rPr>
          <w:rFonts w:hint="eastAsia" w:ascii="仿宋_GB2312" w:hAnsi="仿宋_GB2312" w:eastAsia="仿宋_GB2312" w:cs="仿宋_GB2312"/>
          <w:sz w:val="28"/>
          <w:szCs w:val="28"/>
        </w:rPr>
        <w:t xml:space="preserve">兵团第七师胡杨河市生态环境局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202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rPr>
        <w:t>日印</w:t>
      </w:r>
      <w:r>
        <w:rPr>
          <w:rFonts w:hint="eastAsia" w:ascii="仿宋_GB2312" w:hAnsi="仿宋_GB2312" w:eastAsia="仿宋_GB2312" w:cs="仿宋_GB2312"/>
          <w:sz w:val="28"/>
          <w:szCs w:val="28"/>
          <w:lang w:val="en-US" w:eastAsia="zh-CN"/>
        </w:rPr>
        <w:t>发</w:t>
      </w:r>
    </w:p>
    <w:sectPr>
      <w:footerReference r:id="rId3" w:type="default"/>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-114300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9pt;height:144pt;width:144pt;mso-position-horizontal:outside;mso-position-horizontal-relative:margin;mso-wrap-style:none;z-index:251659264;mso-width-relative:page;mso-height-relative:page;" filled="f" stroked="f" coordsize="21600,21600" o:gfxdata="UEsDBAoAAAAAAIdO4kAAAAAAAAAAAAAAAAAEAAAAZHJzL1BLAwQUAAAACACHTuJAXaJ/59QAAAAI&#10;AQAADwAAAGRycy9kb3ducmV2LnhtbE2PwU7DMBBE70j8g7VI3Fo7BUEU4lSiIhyRaHrg6MZLEojX&#10;ke2m4e/ZnuD2VjOanSm3ixvFjCEOnjRkawUCqfV2oE7DoalXOYiYDFkzekINPxhhW11flaaw/kzv&#10;OO9TJziEYmE09ClNhZSx7dGZuPYTEmufPjiT+AydtMGcOdyNcqPUg3RmIP7Qmwl3Pbbf+5PTsKub&#10;JswYw/iBr/Xd19vzPb4sWt/eZOoJRMIl/ZnhUp+rQ8Wdjv5ENopRAw9JGlZZzsDyJr/AkeFRKZBV&#10;Kf8PqH4BUEsDBBQAAAAIAIdO4kCb0gwvFQIAABMEAAAOAAAAZHJzL2Uyb0RvYy54bWytU02O0zAU&#10;3iNxB8t7mrQMo6pqOiozKkKqmJEKYu06dmPJ9rNst0k5ANyAFRv2nKvn4NlpOmiGFWLjfPH7/97n&#10;+U1nNDkIHxTYio5HJSXCcqiV3VX008fVqyklITJbMw1WVPQoAr1ZvHwxb91MTKABXQtPMIkNs9ZV&#10;tInRzYoi8EYYFkbghEWjBG9YxF+/K2rPWsxudDEpy+uiBV87D1yEgLd3vZEucn4pBY/3UgYRia4o&#10;9hbz6fO5TWexmLPZzjPXKH5ug/1DF4Ypi0Uvqe5YZGTv1bNURnEPAWQccTAFSKm4yDPgNOPyyTSb&#10;hjmRZ0FygrvQFP5fWv7h8OCJqit6RYllBld0+v7t9OPX6edXcpXoaV2YodfGoV/s3kKHax7uA16m&#10;qTvpTfriPATtSPTxQq7oIuEpaDqZTks0cbQNP5i/eAx3PsR3AgxJoKIet5dJZYd1iL3r4JKqWVgp&#10;rfMGtSVtRa9fvylzwMWCybXFGmmIvtmEYrftzpNtoT7iYB56ZQTHVwqLr1mID8yjFLBhlHe8x0Nq&#10;wCJwRpQ04L/87T7544bQSkmL0qqoRe1Tot9b3FxS4QD8ALYDsHtzC6jVMT4bxzPEAB/1AKUH8xk1&#10;v0w10MQsx0oVjQO8jb288c1wsVxmp73zatf0Aag7x+LabhxPZRKRwS33EcnMHCeCelbOvKHy8pbO&#10;ryRJ+8//7PX4lhe/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F2if+fUAAAACAEAAA8AAAAAAAAA&#10;AQAgAAAAIgAAAGRycy9kb3ducmV2LnhtbFBLAQIUABQAAAAIAIdO4kCb0gwvFQIAABMEAAAOAAAA&#10;AAAAAAEAIAAAACMBAABkcnMvZTJvRG9jLnhtbFBLBQYAAAAABgAGAFkBAACq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val="en-US" w:eastAsia="zh-CN"/>
                      </w:rPr>
                      <w:t xml:space="preserve"> </w:t>
                    </w:r>
                    <w:r>
                      <w:rPr>
                        <w:rFonts w:hint="eastAsia" w:asciiTheme="minorEastAsia" w:hAnsiTheme="minorEastAsia" w:cstheme="minorEastAsia"/>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ljZTQ2MWYyYTY5MDNmZDNlOGVlYzE1OWZlNTE2NTUifQ=="/>
  </w:docVars>
  <w:rsids>
    <w:rsidRoot w:val="19A61553"/>
    <w:rsid w:val="00301E8D"/>
    <w:rsid w:val="006F367F"/>
    <w:rsid w:val="00742AA9"/>
    <w:rsid w:val="01B110AA"/>
    <w:rsid w:val="025F2F6C"/>
    <w:rsid w:val="03E07A24"/>
    <w:rsid w:val="0402172C"/>
    <w:rsid w:val="06103791"/>
    <w:rsid w:val="064F49ED"/>
    <w:rsid w:val="07EF0236"/>
    <w:rsid w:val="0A0D21E1"/>
    <w:rsid w:val="0A6D7B38"/>
    <w:rsid w:val="0A717628"/>
    <w:rsid w:val="0BD55735"/>
    <w:rsid w:val="0CD67C16"/>
    <w:rsid w:val="0CEB02C3"/>
    <w:rsid w:val="0DEC6201"/>
    <w:rsid w:val="0E927B6D"/>
    <w:rsid w:val="0F3A0A84"/>
    <w:rsid w:val="0F8E2A2A"/>
    <w:rsid w:val="0F9811B3"/>
    <w:rsid w:val="10415B91"/>
    <w:rsid w:val="13222B5F"/>
    <w:rsid w:val="1367781A"/>
    <w:rsid w:val="13B33653"/>
    <w:rsid w:val="15E46F00"/>
    <w:rsid w:val="19A61553"/>
    <w:rsid w:val="1ABC044C"/>
    <w:rsid w:val="1CB3762C"/>
    <w:rsid w:val="1D4B3D09"/>
    <w:rsid w:val="1E1F706C"/>
    <w:rsid w:val="1E222CBC"/>
    <w:rsid w:val="1E2F2A87"/>
    <w:rsid w:val="1F0C482E"/>
    <w:rsid w:val="1F6410B2"/>
    <w:rsid w:val="2177331E"/>
    <w:rsid w:val="21A1039B"/>
    <w:rsid w:val="24C7636B"/>
    <w:rsid w:val="24F3437F"/>
    <w:rsid w:val="274A3283"/>
    <w:rsid w:val="27E6038A"/>
    <w:rsid w:val="293E30BA"/>
    <w:rsid w:val="29ED02E2"/>
    <w:rsid w:val="2A0C4820"/>
    <w:rsid w:val="2BE9171D"/>
    <w:rsid w:val="2DB71358"/>
    <w:rsid w:val="2E6647A7"/>
    <w:rsid w:val="2FE778C1"/>
    <w:rsid w:val="30766E97"/>
    <w:rsid w:val="308621F1"/>
    <w:rsid w:val="319A0963"/>
    <w:rsid w:val="31DB1B10"/>
    <w:rsid w:val="31DE6AA2"/>
    <w:rsid w:val="325A00D3"/>
    <w:rsid w:val="32EA1B39"/>
    <w:rsid w:val="334B0167"/>
    <w:rsid w:val="3390201E"/>
    <w:rsid w:val="34552334"/>
    <w:rsid w:val="345D63A4"/>
    <w:rsid w:val="34DB0164"/>
    <w:rsid w:val="34DB0F65"/>
    <w:rsid w:val="35222615"/>
    <w:rsid w:val="35335B87"/>
    <w:rsid w:val="3763266A"/>
    <w:rsid w:val="37C91FA2"/>
    <w:rsid w:val="389B146D"/>
    <w:rsid w:val="390336C5"/>
    <w:rsid w:val="39586DFD"/>
    <w:rsid w:val="3B901665"/>
    <w:rsid w:val="3E3F2FBE"/>
    <w:rsid w:val="3E5263F1"/>
    <w:rsid w:val="3E8F41EC"/>
    <w:rsid w:val="3ED656D0"/>
    <w:rsid w:val="41E12475"/>
    <w:rsid w:val="41F36599"/>
    <w:rsid w:val="425C5EED"/>
    <w:rsid w:val="4475215D"/>
    <w:rsid w:val="44AC37CB"/>
    <w:rsid w:val="465316EE"/>
    <w:rsid w:val="46C2653A"/>
    <w:rsid w:val="46CD5F17"/>
    <w:rsid w:val="46F76C15"/>
    <w:rsid w:val="47623535"/>
    <w:rsid w:val="4B4732F2"/>
    <w:rsid w:val="4B9E0BAE"/>
    <w:rsid w:val="4BE111CF"/>
    <w:rsid w:val="4D3248D1"/>
    <w:rsid w:val="4DF46F02"/>
    <w:rsid w:val="4E1C7BCA"/>
    <w:rsid w:val="4E23273D"/>
    <w:rsid w:val="4E2A19FE"/>
    <w:rsid w:val="4E8B592A"/>
    <w:rsid w:val="5144471C"/>
    <w:rsid w:val="51CA44D0"/>
    <w:rsid w:val="52016A0C"/>
    <w:rsid w:val="521E31BF"/>
    <w:rsid w:val="53732803"/>
    <w:rsid w:val="5445681C"/>
    <w:rsid w:val="54E21B59"/>
    <w:rsid w:val="55F63B99"/>
    <w:rsid w:val="576461D9"/>
    <w:rsid w:val="58D34BF9"/>
    <w:rsid w:val="593C3F2A"/>
    <w:rsid w:val="598D4786"/>
    <w:rsid w:val="59BB12F3"/>
    <w:rsid w:val="5A0B54BA"/>
    <w:rsid w:val="5A132EDD"/>
    <w:rsid w:val="5A2854B0"/>
    <w:rsid w:val="5AD563E4"/>
    <w:rsid w:val="5ADB6D32"/>
    <w:rsid w:val="5BBE331C"/>
    <w:rsid w:val="5E116A2B"/>
    <w:rsid w:val="5EAF46C2"/>
    <w:rsid w:val="5EE50BC0"/>
    <w:rsid w:val="5F304919"/>
    <w:rsid w:val="5FCF6BF0"/>
    <w:rsid w:val="609D79A4"/>
    <w:rsid w:val="60BB7E2A"/>
    <w:rsid w:val="6109328C"/>
    <w:rsid w:val="612B239E"/>
    <w:rsid w:val="623C143F"/>
    <w:rsid w:val="62A019CE"/>
    <w:rsid w:val="62E3579C"/>
    <w:rsid w:val="644952F5"/>
    <w:rsid w:val="651D40D0"/>
    <w:rsid w:val="6703077D"/>
    <w:rsid w:val="679C6136"/>
    <w:rsid w:val="68152516"/>
    <w:rsid w:val="698B1E19"/>
    <w:rsid w:val="6CC3509F"/>
    <w:rsid w:val="6F2512C7"/>
    <w:rsid w:val="6F4158DC"/>
    <w:rsid w:val="708446DD"/>
    <w:rsid w:val="7375588F"/>
    <w:rsid w:val="73E5637C"/>
    <w:rsid w:val="75006CB2"/>
    <w:rsid w:val="7516167C"/>
    <w:rsid w:val="75F30136"/>
    <w:rsid w:val="76017E90"/>
    <w:rsid w:val="79AC0800"/>
    <w:rsid w:val="7BE007E5"/>
    <w:rsid w:val="7F4A4B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index 5"/>
    <w:basedOn w:val="1"/>
    <w:next w:val="1"/>
    <w:qFormat/>
    <w:uiPriority w:val="0"/>
    <w:pPr>
      <w:ind w:left="800" w:leftChars="800"/>
    </w:pPr>
  </w:style>
  <w:style w:type="paragraph" w:styleId="3">
    <w:name w:val="Body Text"/>
    <w:basedOn w:val="1"/>
    <w:next w:val="1"/>
    <w:qFormat/>
    <w:uiPriority w:val="0"/>
    <w:rPr>
      <w:rFonts w:eastAsia="华文中宋"/>
      <w:b/>
      <w:bCs/>
      <w:w w:val="90"/>
      <w:sz w:val="44"/>
    </w:rPr>
  </w:style>
  <w:style w:type="paragraph" w:styleId="4">
    <w:name w:val="footer"/>
    <w:basedOn w:val="1"/>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List"/>
    <w:basedOn w:val="1"/>
    <w:qFormat/>
    <w:uiPriority w:val="0"/>
    <w:pPr>
      <w:ind w:left="200" w:hanging="200" w:hangingChars="200"/>
    </w:pPr>
  </w:style>
  <w:style w:type="paragraph" w:styleId="6">
    <w:name w:val="footnote text"/>
    <w:basedOn w:val="1"/>
    <w:next w:val="2"/>
    <w:unhideWhenUsed/>
    <w:qFormat/>
    <w:uiPriority w:val="99"/>
    <w:pPr>
      <w:snapToGrid w:val="0"/>
      <w:jc w:val="left"/>
    </w:pPr>
    <w:rPr>
      <w:rFonts w:ascii="Calibri" w:hAnsi="Calibri" w:eastAsia="仿宋" w:cs="Times New Roman"/>
      <w:sz w:val="18"/>
      <w:szCs w:val="18"/>
    </w:rPr>
  </w:style>
  <w:style w:type="paragraph" w:styleId="7">
    <w:name w:val="Body Text 2"/>
    <w:basedOn w:val="1"/>
    <w:unhideWhenUsed/>
    <w:qFormat/>
    <w:uiPriority w:val="99"/>
    <w:pPr>
      <w:spacing w:after="120" w:line="480" w:lineRule="auto"/>
    </w:pPr>
  </w:style>
  <w:style w:type="paragraph" w:customStyle="1" w:styleId="10">
    <w:name w:val="Default"/>
    <w:basedOn w:val="11"/>
    <w:next w:val="1"/>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
    <w:name w:val="1 表头"/>
    <w:basedOn w:val="1"/>
    <w:qFormat/>
    <w:uiPriority w:val="0"/>
    <w:pPr>
      <w:adjustRightInd w:val="0"/>
      <w:snapToGrid w:val="0"/>
      <w:spacing w:line="240" w:lineRule="auto"/>
      <w:ind w:firstLine="0" w:firstLineChars="0"/>
      <w:jc w:val="center"/>
    </w:pPr>
    <w:rPr>
      <w:b/>
      <w:color w:val="000000"/>
      <w:sz w:val="21"/>
      <w:szCs w:val="21"/>
    </w:rPr>
  </w:style>
  <w:style w:type="paragraph" w:customStyle="1" w:styleId="12">
    <w:name w:val="纯文本1"/>
    <w:basedOn w:val="1"/>
    <w:qFormat/>
    <w:uiPriority w:val="0"/>
    <w:pPr>
      <w:adjustRightInd w:val="0"/>
      <w:textAlignment w:val="baseline"/>
    </w:pPr>
    <w:rPr>
      <w:rFonts w:ascii="宋体" w:hAnsi="Courier New"/>
      <w:szCs w:val="20"/>
    </w:rPr>
  </w:style>
  <w:style w:type="paragraph" w:customStyle="1" w:styleId="13">
    <w:name w:val="xl27"/>
    <w:basedOn w:val="1"/>
    <w:qFormat/>
    <w:uiPriority w:val="0"/>
    <w:pPr>
      <w:widowControl/>
      <w:pBdr>
        <w:bottom w:val="single" w:color="auto" w:sz="4" w:space="0"/>
        <w:right w:val="single" w:color="auto" w:sz="4" w:space="0"/>
      </w:pBdr>
      <w:spacing w:before="100" w:beforeAutospacing="1" w:after="100" w:afterAutospacing="1"/>
      <w:jc w:val="center"/>
    </w:pPr>
    <w:rPr>
      <w:rFonts w:eastAsia="Arial Unicode MS"/>
      <w:kern w:val="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2030</Words>
  <Characters>2168</Characters>
  <Lines>0</Lines>
  <Paragraphs>0</Paragraphs>
  <TotalTime>16</TotalTime>
  <ScaleCrop>false</ScaleCrop>
  <LinksUpToDate>false</LinksUpToDate>
  <CharactersWithSpaces>2217</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2024-08-23T02:46:00Z</dcterms:created>
  <dc:creator>Administrator</dc:creator>
  <cp:lastModifiedBy>Administrator</cp:lastModifiedBy>
  <cp:lastPrinted>2025-02-07T08:04:00Z</cp:lastPrinted>
  <dcterms:modified xsi:type="dcterms:W3CDTF">2025-04-14T10:24:53Z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y fmtid="{D5CDD505-2E9C-101B-9397-08002B2CF9AE}" pid="3" name="ICV">
    <vt:lpwstr>850A5E02EE434281B78AFE41349D635E_13</vt:lpwstr>
  </property>
  <property fmtid="{D5CDD505-2E9C-101B-9397-08002B2CF9AE}" pid="4" name="KSOTemplateDocerSaveRecord">
    <vt:lpwstr>eyJoZGlkIjoiODBjNzYxYmIzOWJkMDlmNzJmZjdjMmNkNDkzMGYxZDkiLCJ1c2VySWQiOiI1NTE5NjI2NTYifQ==</vt:lpwstr>
  </property>
</Properties>
</file>